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1C5793" w:rsidRPr="00245298" w:rsidRDefault="000973D0" w:rsidP="001C5793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Sukně stejnokrojová</w:t>
      </w:r>
      <w:r w:rsidR="00245298" w:rsidRPr="00245298">
        <w:rPr>
          <w:b/>
          <w:bCs/>
          <w:lang w:bidi="cs-CZ"/>
        </w:rPr>
        <w:t xml:space="preserve"> </w:t>
      </w:r>
      <w:r w:rsidR="001C5793" w:rsidRPr="005A270F">
        <w:rPr>
          <w:lang w:bidi="cs-CZ"/>
        </w:rPr>
        <w:t xml:space="preserve">(dále jen </w:t>
      </w:r>
      <w:r w:rsidR="001C5793">
        <w:rPr>
          <w:lang w:bidi="cs-CZ"/>
        </w:rPr>
        <w:t>sukně</w:t>
      </w:r>
      <w:r w:rsidR="001C5793" w:rsidRPr="005A270F">
        <w:rPr>
          <w:lang w:bidi="cs-CZ"/>
        </w:rPr>
        <w:t>)</w:t>
      </w:r>
      <w:r w:rsidR="001C5793">
        <w:rPr>
          <w:b/>
          <w:bCs/>
          <w:lang w:bidi="cs-CZ"/>
        </w:rPr>
        <w:t xml:space="preserve"> </w:t>
      </w:r>
      <w:r w:rsidR="001C5793">
        <w:rPr>
          <w:lang w:bidi="cs-CZ"/>
        </w:rPr>
        <w:t>je celoroční oděvní součástkou pro dolní část těla stejnokroje</w:t>
      </w:r>
      <w:r w:rsidR="001C5793" w:rsidRPr="00245298">
        <w:rPr>
          <w:lang w:bidi="cs-CZ"/>
        </w:rPr>
        <w:t xml:space="preserve"> Správ</w:t>
      </w:r>
      <w:r w:rsidR="001C5793">
        <w:rPr>
          <w:lang w:bidi="cs-CZ"/>
        </w:rPr>
        <w:t>y</w:t>
      </w:r>
      <w:r w:rsidR="001C5793" w:rsidRPr="00245298">
        <w:rPr>
          <w:lang w:bidi="cs-CZ"/>
        </w:rPr>
        <w:t xml:space="preserve"> železniční do</w:t>
      </w:r>
      <w:r w:rsidR="001C5793">
        <w:rPr>
          <w:lang w:bidi="cs-CZ"/>
        </w:rPr>
        <w:t>pravní cesty (dále jen SŽDC) pro ženy.</w:t>
      </w: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 xml:space="preserve">Dámská podšitá sukně. Přední díl členěný </w:t>
      </w:r>
      <w:r w:rsidR="001C5793">
        <w:rPr>
          <w:lang w:bidi="cs-CZ"/>
        </w:rPr>
        <w:t xml:space="preserve">svislými </w:t>
      </w:r>
      <w:r w:rsidRPr="000973D0">
        <w:rPr>
          <w:lang w:bidi="cs-CZ"/>
        </w:rPr>
        <w:t>šv</w:t>
      </w:r>
      <w:r w:rsidR="001C5793">
        <w:rPr>
          <w:lang w:bidi="cs-CZ"/>
        </w:rPr>
        <w:t xml:space="preserve">y, v dolním okraji jsou v členících švech </w:t>
      </w:r>
      <w:r w:rsidRPr="000973D0">
        <w:rPr>
          <w:lang w:bidi="cs-CZ"/>
        </w:rPr>
        <w:t>složen</w:t>
      </w:r>
      <w:r w:rsidR="001C5793">
        <w:rPr>
          <w:lang w:bidi="cs-CZ"/>
        </w:rPr>
        <w:t>é</w:t>
      </w:r>
      <w:r w:rsidRPr="000973D0">
        <w:rPr>
          <w:lang w:bidi="cs-CZ"/>
        </w:rPr>
        <w:t xml:space="preserve"> záhyb</w:t>
      </w:r>
      <w:r w:rsidR="001C5793">
        <w:rPr>
          <w:lang w:bidi="cs-CZ"/>
        </w:rPr>
        <w:t>y. B</w:t>
      </w:r>
      <w:r w:rsidRPr="000973D0">
        <w:rPr>
          <w:lang w:bidi="cs-CZ"/>
        </w:rPr>
        <w:t>oční</w:t>
      </w:r>
      <w:r w:rsidR="001C5793">
        <w:rPr>
          <w:lang w:bidi="cs-CZ"/>
        </w:rPr>
        <w:t xml:space="preserve"> kapsy </w:t>
      </w:r>
      <w:r w:rsidRPr="000973D0">
        <w:rPr>
          <w:lang w:bidi="cs-CZ"/>
        </w:rPr>
        <w:t>klíno</w:t>
      </w:r>
      <w:r w:rsidR="001C5793">
        <w:rPr>
          <w:lang w:bidi="cs-CZ"/>
        </w:rPr>
        <w:t>vé</w:t>
      </w:r>
      <w:r w:rsidRPr="000973D0">
        <w:rPr>
          <w:lang w:bidi="cs-CZ"/>
        </w:rPr>
        <w:t>. Zadní díl se</w:t>
      </w:r>
      <w:r w:rsidR="001C5793">
        <w:rPr>
          <w:lang w:bidi="cs-CZ"/>
        </w:rPr>
        <w:t xml:space="preserve"> středovým švem a dvěma </w:t>
      </w:r>
      <w:r w:rsidRPr="000973D0">
        <w:rPr>
          <w:lang w:bidi="cs-CZ"/>
        </w:rPr>
        <w:t xml:space="preserve">záševky. V horní části </w:t>
      </w:r>
      <w:r w:rsidR="001C5793">
        <w:rPr>
          <w:lang w:bidi="cs-CZ"/>
        </w:rPr>
        <w:t xml:space="preserve">středového švu zadního dílu </w:t>
      </w:r>
      <w:r w:rsidRPr="000973D0">
        <w:rPr>
          <w:lang w:bidi="cs-CZ"/>
        </w:rPr>
        <w:t>rozparek zapínaný na zdrhovadlo, v dolní části středového švu s</w:t>
      </w:r>
      <w:r w:rsidR="001C5793">
        <w:rPr>
          <w:lang w:bidi="cs-CZ"/>
        </w:rPr>
        <w:t> podkrytovým levostranným</w:t>
      </w:r>
      <w:r w:rsidRPr="000973D0">
        <w:rPr>
          <w:lang w:bidi="cs-CZ"/>
        </w:rPr>
        <w:t xml:space="preserve"> rozparkem. Pasový límec zapínaný na knoflík a dírku, regulovatelný po bočních stranách autospon</w:t>
      </w:r>
      <w:r w:rsidR="001C5793">
        <w:rPr>
          <w:lang w:bidi="cs-CZ"/>
        </w:rPr>
        <w:t>ami</w:t>
      </w:r>
      <w:r w:rsidRPr="000973D0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Přední díl:</w:t>
      </w:r>
    </w:p>
    <w:p w:rsidR="000973D0" w:rsidRPr="000973D0" w:rsidRDefault="000D0F92" w:rsidP="000973D0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Č</w:t>
      </w:r>
      <w:r w:rsidR="0093456D" w:rsidRPr="000973D0">
        <w:rPr>
          <w:lang w:bidi="cs-CZ"/>
        </w:rPr>
        <w:t xml:space="preserve">leněný </w:t>
      </w:r>
      <w:r w:rsidR="0093456D">
        <w:rPr>
          <w:lang w:bidi="cs-CZ"/>
        </w:rPr>
        <w:t xml:space="preserve">svislými </w:t>
      </w:r>
      <w:r w:rsidR="0093456D" w:rsidRPr="000973D0">
        <w:rPr>
          <w:lang w:bidi="cs-CZ"/>
        </w:rPr>
        <w:t>šv</w:t>
      </w:r>
      <w:r w:rsidR="0093456D">
        <w:rPr>
          <w:lang w:bidi="cs-CZ"/>
        </w:rPr>
        <w:t>y, do kterých jsou střihovou manipulací přenesené záševky.</w:t>
      </w:r>
      <w:r w:rsidR="000973D0" w:rsidRPr="000973D0">
        <w:rPr>
          <w:lang w:bidi="cs-CZ"/>
        </w:rPr>
        <w:t xml:space="preserve"> V</w:t>
      </w:r>
      <w:r w:rsidR="0093456D">
        <w:rPr>
          <w:lang w:bidi="cs-CZ"/>
        </w:rPr>
        <w:t xml:space="preserve"> členících švech jsou od </w:t>
      </w:r>
      <w:r w:rsidR="000973D0" w:rsidRPr="000973D0">
        <w:rPr>
          <w:lang w:bidi="cs-CZ"/>
        </w:rPr>
        <w:t>dolní</w:t>
      </w:r>
      <w:r w:rsidR="0093456D">
        <w:rPr>
          <w:lang w:bidi="cs-CZ"/>
        </w:rPr>
        <w:t>ho</w:t>
      </w:r>
      <w:r w:rsidR="000973D0" w:rsidRPr="000973D0">
        <w:rPr>
          <w:lang w:bidi="cs-CZ"/>
        </w:rPr>
        <w:t xml:space="preserve"> okraj</w:t>
      </w:r>
      <w:r w:rsidR="0093456D">
        <w:rPr>
          <w:lang w:bidi="cs-CZ"/>
        </w:rPr>
        <w:t>e</w:t>
      </w:r>
      <w:r w:rsidR="000973D0" w:rsidRPr="000973D0">
        <w:rPr>
          <w:lang w:bidi="cs-CZ"/>
        </w:rPr>
        <w:t xml:space="preserve"> přinechan</w:t>
      </w:r>
      <w:r w:rsidR="0093456D">
        <w:rPr>
          <w:lang w:bidi="cs-CZ"/>
        </w:rPr>
        <w:t>é</w:t>
      </w:r>
      <w:r w:rsidR="000973D0" w:rsidRPr="000973D0">
        <w:rPr>
          <w:lang w:bidi="cs-CZ"/>
        </w:rPr>
        <w:t xml:space="preserve"> a složen</w:t>
      </w:r>
      <w:r w:rsidR="0093456D">
        <w:rPr>
          <w:lang w:bidi="cs-CZ"/>
        </w:rPr>
        <w:t>é</w:t>
      </w:r>
      <w:r w:rsidR="000973D0" w:rsidRPr="000973D0">
        <w:rPr>
          <w:lang w:bidi="cs-CZ"/>
        </w:rPr>
        <w:t xml:space="preserve"> </w:t>
      </w:r>
      <w:r w:rsidR="0093456D">
        <w:rPr>
          <w:lang w:bidi="cs-CZ"/>
        </w:rPr>
        <w:t xml:space="preserve">21,5cm dlouhé </w:t>
      </w:r>
      <w:r w:rsidR="000973D0" w:rsidRPr="000973D0">
        <w:rPr>
          <w:lang w:bidi="cs-CZ"/>
        </w:rPr>
        <w:t>záhyb</w:t>
      </w:r>
      <w:r w:rsidR="0093456D">
        <w:rPr>
          <w:lang w:bidi="cs-CZ"/>
        </w:rPr>
        <w:t>y hluboké</w:t>
      </w:r>
      <w:r w:rsidR="000973D0" w:rsidRPr="000973D0">
        <w:rPr>
          <w:lang w:bidi="cs-CZ"/>
        </w:rPr>
        <w:t xml:space="preserve"> </w:t>
      </w:r>
      <w:proofErr w:type="gramStart"/>
      <w:r w:rsidR="000973D0" w:rsidRPr="000973D0">
        <w:rPr>
          <w:lang w:bidi="cs-CZ"/>
        </w:rPr>
        <w:t>45mm</w:t>
      </w:r>
      <w:proofErr w:type="gramEnd"/>
      <w:r w:rsidR="000973D0" w:rsidRPr="000973D0">
        <w:rPr>
          <w:lang w:bidi="cs-CZ"/>
        </w:rPr>
        <w:t xml:space="preserve">, </w:t>
      </w:r>
      <w:r w:rsidR="0093456D">
        <w:rPr>
          <w:lang w:bidi="cs-CZ"/>
        </w:rPr>
        <w:t xml:space="preserve">otočené směrem do středu předního dílu, ukončení záhybu je </w:t>
      </w:r>
      <w:r w:rsidR="000973D0" w:rsidRPr="000973D0">
        <w:rPr>
          <w:lang w:bidi="cs-CZ"/>
        </w:rPr>
        <w:t>prošit</w:t>
      </w:r>
      <w:r w:rsidR="0093456D">
        <w:rPr>
          <w:lang w:bidi="cs-CZ"/>
        </w:rPr>
        <w:t>é</w:t>
      </w:r>
      <w:r w:rsidR="000973D0" w:rsidRPr="000973D0">
        <w:rPr>
          <w:lang w:bidi="cs-CZ"/>
        </w:rPr>
        <w:t xml:space="preserve"> </w:t>
      </w:r>
      <w:r w:rsidR="0093456D">
        <w:rPr>
          <w:lang w:bidi="cs-CZ"/>
        </w:rPr>
        <w:t xml:space="preserve">šikmo </w:t>
      </w:r>
      <w:r w:rsidR="000973D0" w:rsidRPr="000973D0">
        <w:rPr>
          <w:lang w:bidi="cs-CZ"/>
        </w:rPr>
        <w:t>do hloubky 45mm.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b/>
          <w:lang w:bidi="cs-CZ"/>
        </w:rPr>
        <w:t>Boční kapsy: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>Kl</w:t>
      </w:r>
      <w:r w:rsidR="0022749C">
        <w:rPr>
          <w:lang w:bidi="cs-CZ"/>
        </w:rPr>
        <w:t xml:space="preserve">ínové, </w:t>
      </w:r>
      <w:r w:rsidRPr="000973D0">
        <w:rPr>
          <w:lang w:bidi="cs-CZ"/>
        </w:rPr>
        <w:t>ukončení kap</w:t>
      </w:r>
      <w:r w:rsidR="0022749C">
        <w:rPr>
          <w:lang w:bidi="cs-CZ"/>
        </w:rPr>
        <w:t>es</w:t>
      </w:r>
      <w:r w:rsidRPr="000973D0">
        <w:rPr>
          <w:lang w:bidi="cs-CZ"/>
        </w:rPr>
        <w:t xml:space="preserve"> zajištěn</w:t>
      </w:r>
      <w:r w:rsidR="0022749C">
        <w:rPr>
          <w:lang w:bidi="cs-CZ"/>
        </w:rPr>
        <w:t>ě</w:t>
      </w:r>
      <w:r w:rsidRPr="000973D0">
        <w:rPr>
          <w:lang w:bidi="cs-CZ"/>
        </w:rPr>
        <w:t xml:space="preserve"> uzávěrk</w:t>
      </w:r>
      <w:r w:rsidR="0022749C">
        <w:rPr>
          <w:lang w:bidi="cs-CZ"/>
        </w:rPr>
        <w:t>ami zhotovenými na závorovacím šicím stroji</w:t>
      </w:r>
      <w:r w:rsidRPr="000973D0">
        <w:rPr>
          <w:lang w:bidi="cs-CZ"/>
        </w:rPr>
        <w:t xml:space="preserve">. Délka </w:t>
      </w:r>
      <w:r w:rsidR="0022749C">
        <w:rPr>
          <w:lang w:bidi="cs-CZ"/>
        </w:rPr>
        <w:t>kapes</w:t>
      </w:r>
      <w:r w:rsidRPr="000973D0">
        <w:rPr>
          <w:lang w:bidi="cs-CZ"/>
        </w:rPr>
        <w:t xml:space="preserve"> </w:t>
      </w:r>
      <w:proofErr w:type="gramStart"/>
      <w:r w:rsidRPr="000973D0">
        <w:rPr>
          <w:lang w:bidi="cs-CZ"/>
        </w:rPr>
        <w:t>155mm</w:t>
      </w:r>
      <w:proofErr w:type="gramEnd"/>
      <w:r w:rsidRPr="000973D0">
        <w:rPr>
          <w:lang w:bidi="cs-CZ"/>
        </w:rPr>
        <w:t xml:space="preserve">, </w:t>
      </w:r>
      <w:r w:rsidR="0022749C">
        <w:rPr>
          <w:lang w:bidi="cs-CZ"/>
        </w:rPr>
        <w:t>průhmat kapes prošitý za 5mm</w:t>
      </w:r>
      <w:r w:rsidRPr="000973D0">
        <w:rPr>
          <w:lang w:bidi="cs-CZ"/>
        </w:rPr>
        <w:t>. Kapesní váč</w:t>
      </w:r>
      <w:r w:rsidR="0022749C">
        <w:rPr>
          <w:lang w:bidi="cs-CZ"/>
        </w:rPr>
        <w:t>ky</w:t>
      </w:r>
      <w:r w:rsidRPr="000973D0">
        <w:rPr>
          <w:lang w:bidi="cs-CZ"/>
        </w:rPr>
        <w:t xml:space="preserve"> s</w:t>
      </w:r>
      <w:r w:rsidR="0022749C">
        <w:rPr>
          <w:lang w:bidi="cs-CZ"/>
        </w:rPr>
        <w:t> </w:t>
      </w:r>
      <w:r w:rsidRPr="000973D0">
        <w:rPr>
          <w:lang w:bidi="cs-CZ"/>
        </w:rPr>
        <w:t>našit</w:t>
      </w:r>
      <w:r w:rsidR="0022749C">
        <w:rPr>
          <w:lang w:bidi="cs-CZ"/>
        </w:rPr>
        <w:t>ými</w:t>
      </w:r>
      <w:r w:rsidRPr="000973D0">
        <w:rPr>
          <w:lang w:bidi="cs-CZ"/>
        </w:rPr>
        <w:t xml:space="preserve"> </w:t>
      </w:r>
      <w:r w:rsidR="0022749C">
        <w:rPr>
          <w:lang w:bidi="cs-CZ"/>
        </w:rPr>
        <w:t>podkladovými podsádkami</w:t>
      </w:r>
      <w:r w:rsidRPr="000973D0">
        <w:rPr>
          <w:lang w:bidi="cs-CZ"/>
        </w:rPr>
        <w:t>, v místě členění pasového límce prostřižen</w:t>
      </w:r>
      <w:r w:rsidR="0022749C">
        <w:rPr>
          <w:lang w:bidi="cs-CZ"/>
        </w:rPr>
        <w:t>é</w:t>
      </w:r>
      <w:r w:rsidRPr="000973D0">
        <w:rPr>
          <w:lang w:bidi="cs-CZ"/>
        </w:rPr>
        <w:t xml:space="preserve"> do hloubky </w:t>
      </w:r>
      <w:proofErr w:type="gramStart"/>
      <w:r w:rsidRPr="000973D0">
        <w:rPr>
          <w:lang w:bidi="cs-CZ"/>
        </w:rPr>
        <w:t>60mm</w:t>
      </w:r>
      <w:proofErr w:type="gramEnd"/>
      <w:r w:rsidRPr="000973D0">
        <w:rPr>
          <w:lang w:bidi="cs-CZ"/>
        </w:rPr>
        <w:t xml:space="preserve">, </w:t>
      </w:r>
      <w:r w:rsidR="0022749C">
        <w:rPr>
          <w:lang w:bidi="cs-CZ"/>
        </w:rPr>
        <w:t>prostřižení (včetně podšívky)</w:t>
      </w:r>
      <w:r w:rsidR="00635858">
        <w:rPr>
          <w:lang w:bidi="cs-CZ"/>
        </w:rPr>
        <w:t xml:space="preserve"> je</w:t>
      </w:r>
      <w:r w:rsidRPr="000973D0">
        <w:rPr>
          <w:lang w:bidi="cs-CZ"/>
        </w:rPr>
        <w:t xml:space="preserve"> začištěno olemováním veltonovým proužkem. Rozevření klínov</w:t>
      </w:r>
      <w:r w:rsidR="0022749C">
        <w:rPr>
          <w:lang w:bidi="cs-CZ"/>
        </w:rPr>
        <w:t>ých</w:t>
      </w:r>
      <w:r w:rsidRPr="000973D0">
        <w:rPr>
          <w:lang w:bidi="cs-CZ"/>
        </w:rPr>
        <w:t xml:space="preserve"> kap</w:t>
      </w:r>
      <w:r w:rsidR="0022749C">
        <w:rPr>
          <w:lang w:bidi="cs-CZ"/>
        </w:rPr>
        <w:t>es je</w:t>
      </w:r>
      <w:r w:rsidRPr="000973D0">
        <w:rPr>
          <w:lang w:bidi="cs-CZ"/>
        </w:rPr>
        <w:t xml:space="preserve"> </w:t>
      </w:r>
      <w:proofErr w:type="gramStart"/>
      <w:r w:rsidRPr="000973D0">
        <w:rPr>
          <w:lang w:bidi="cs-CZ"/>
        </w:rPr>
        <w:t>50mm</w:t>
      </w:r>
      <w:proofErr w:type="gramEnd"/>
      <w:r w:rsidRPr="000973D0">
        <w:rPr>
          <w:lang w:bidi="cs-CZ"/>
        </w:rPr>
        <w:t xml:space="preserve"> od bočního švu.</w:t>
      </w: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</w:p>
    <w:p w:rsidR="0093456D" w:rsidRDefault="0093456D" w:rsidP="000973D0">
      <w:pPr>
        <w:spacing w:after="0" w:line="276" w:lineRule="auto"/>
        <w:jc w:val="both"/>
        <w:rPr>
          <w:b/>
          <w:lang w:bidi="cs-CZ"/>
        </w:rPr>
      </w:pPr>
      <w:r>
        <w:rPr>
          <w:b/>
          <w:lang w:bidi="cs-CZ"/>
        </w:rPr>
        <w:t>Zadní díl:</w:t>
      </w:r>
    </w:p>
    <w:p w:rsidR="000973D0" w:rsidRPr="0093456D" w:rsidRDefault="0093456D" w:rsidP="000973D0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S</w:t>
      </w:r>
      <w:r w:rsidR="000973D0" w:rsidRPr="000973D0">
        <w:rPr>
          <w:lang w:bidi="cs-CZ"/>
        </w:rPr>
        <w:t>e středovým švem</w:t>
      </w:r>
      <w:r>
        <w:rPr>
          <w:lang w:bidi="cs-CZ"/>
        </w:rPr>
        <w:t xml:space="preserve">, </w:t>
      </w:r>
      <w:r w:rsidR="00086521">
        <w:rPr>
          <w:lang w:bidi="cs-CZ"/>
        </w:rPr>
        <w:t xml:space="preserve">na každé straně </w:t>
      </w:r>
      <w:r>
        <w:rPr>
          <w:lang w:bidi="cs-CZ"/>
        </w:rPr>
        <w:t>v</w:t>
      </w:r>
      <w:r w:rsidR="000973D0" w:rsidRPr="000973D0">
        <w:rPr>
          <w:lang w:bidi="cs-CZ"/>
        </w:rPr>
        <w:t xml:space="preserve"> pase </w:t>
      </w:r>
      <w:r>
        <w:rPr>
          <w:lang w:bidi="cs-CZ"/>
        </w:rPr>
        <w:t xml:space="preserve">odšito po jednom záševku dlouhém </w:t>
      </w:r>
      <w:proofErr w:type="gramStart"/>
      <w:r>
        <w:rPr>
          <w:lang w:bidi="cs-CZ"/>
        </w:rPr>
        <w:t>120mm</w:t>
      </w:r>
      <w:proofErr w:type="gramEnd"/>
      <w:r>
        <w:rPr>
          <w:lang w:bidi="cs-CZ"/>
        </w:rPr>
        <w:t>, přežehlené</w:t>
      </w:r>
      <w:r w:rsidR="0022749C">
        <w:rPr>
          <w:lang w:bidi="cs-CZ"/>
        </w:rPr>
        <w:t>m</w:t>
      </w:r>
      <w:r>
        <w:rPr>
          <w:lang w:bidi="cs-CZ"/>
        </w:rPr>
        <w:t xml:space="preserve"> k bočnímu švu</w:t>
      </w:r>
      <w:r w:rsidR="0022749C">
        <w:rPr>
          <w:lang w:bidi="cs-CZ"/>
        </w:rPr>
        <w:t xml:space="preserve">. </w:t>
      </w:r>
      <w:r w:rsidR="000973D0" w:rsidRPr="000973D0">
        <w:rPr>
          <w:lang w:bidi="cs-CZ"/>
        </w:rPr>
        <w:t>V horní části</w:t>
      </w:r>
      <w:r>
        <w:rPr>
          <w:lang w:bidi="cs-CZ"/>
        </w:rPr>
        <w:t xml:space="preserve"> středového švu</w:t>
      </w:r>
      <w:r w:rsidR="000973D0" w:rsidRPr="000973D0">
        <w:rPr>
          <w:lang w:bidi="cs-CZ"/>
        </w:rPr>
        <w:t xml:space="preserve"> </w:t>
      </w:r>
      <w:r>
        <w:rPr>
          <w:lang w:bidi="cs-CZ"/>
        </w:rPr>
        <w:t>rozparek</w:t>
      </w:r>
      <w:r w:rsidR="000973D0" w:rsidRPr="000973D0">
        <w:rPr>
          <w:lang w:bidi="cs-CZ"/>
        </w:rPr>
        <w:t xml:space="preserve"> zapínaný</w:t>
      </w:r>
      <w:r>
        <w:rPr>
          <w:lang w:bidi="cs-CZ"/>
        </w:rPr>
        <w:t xml:space="preserve"> na </w:t>
      </w:r>
      <w:r w:rsidR="000973D0" w:rsidRPr="000973D0">
        <w:rPr>
          <w:lang w:bidi="cs-CZ"/>
        </w:rPr>
        <w:t xml:space="preserve">kryté zdrhovadlo, hotová délka rozparku je </w:t>
      </w:r>
      <w:proofErr w:type="gramStart"/>
      <w:r w:rsidR="000973D0" w:rsidRPr="000973D0">
        <w:rPr>
          <w:lang w:bidi="cs-CZ"/>
        </w:rPr>
        <w:t>180mm</w:t>
      </w:r>
      <w:proofErr w:type="gramEnd"/>
      <w:r w:rsidR="000973D0" w:rsidRPr="000973D0">
        <w:rPr>
          <w:lang w:bidi="cs-CZ"/>
        </w:rPr>
        <w:t xml:space="preserve">. V dolní části </w:t>
      </w:r>
      <w:r w:rsidR="0022749C">
        <w:rPr>
          <w:lang w:bidi="cs-CZ"/>
        </w:rPr>
        <w:t>středového švu podkrytový levostranný rozparek</w:t>
      </w:r>
      <w:r w:rsidR="000973D0" w:rsidRPr="000973D0">
        <w:rPr>
          <w:lang w:bidi="cs-CZ"/>
        </w:rPr>
        <w:t xml:space="preserve">, dlouhý </w:t>
      </w:r>
      <w:proofErr w:type="gramStart"/>
      <w:r w:rsidR="000973D0" w:rsidRPr="000973D0">
        <w:rPr>
          <w:lang w:bidi="cs-CZ"/>
        </w:rPr>
        <w:t>175mm</w:t>
      </w:r>
      <w:proofErr w:type="gramEnd"/>
      <w:r w:rsidR="000973D0" w:rsidRPr="000973D0">
        <w:rPr>
          <w:lang w:bidi="cs-CZ"/>
        </w:rPr>
        <w:t>, šíře</w:t>
      </w:r>
      <w:r w:rsidR="0022749C">
        <w:rPr>
          <w:lang w:bidi="cs-CZ"/>
        </w:rPr>
        <w:t xml:space="preserve"> nákrytové a podkrytové strany</w:t>
      </w:r>
      <w:r w:rsidR="000973D0" w:rsidRPr="000973D0">
        <w:rPr>
          <w:lang w:bidi="cs-CZ"/>
        </w:rPr>
        <w:t xml:space="preserve"> 45mm, prošitý</w:t>
      </w:r>
      <w:r w:rsidR="0022749C">
        <w:rPr>
          <w:lang w:bidi="cs-CZ"/>
        </w:rPr>
        <w:t xml:space="preserve"> šikmo</w:t>
      </w:r>
      <w:r w:rsidR="000973D0" w:rsidRPr="000973D0">
        <w:rPr>
          <w:lang w:bidi="cs-CZ"/>
        </w:rPr>
        <w:t xml:space="preserve"> do hloubky 45mm.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Pasový límec: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 xml:space="preserve">Z vrchového materiálu, šíře </w:t>
      </w:r>
      <w:proofErr w:type="gramStart"/>
      <w:r w:rsidRPr="000973D0">
        <w:rPr>
          <w:lang w:bidi="cs-CZ"/>
        </w:rPr>
        <w:t>35mm</w:t>
      </w:r>
      <w:proofErr w:type="gramEnd"/>
      <w:r w:rsidRPr="000973D0">
        <w:rPr>
          <w:lang w:bidi="cs-CZ"/>
        </w:rPr>
        <w:t xml:space="preserve"> v horním okraji v přehybu. </w:t>
      </w:r>
      <w:r w:rsidR="0022749C">
        <w:rPr>
          <w:lang w:bidi="cs-CZ"/>
        </w:rPr>
        <w:t xml:space="preserve">Levá strana pasového límce </w:t>
      </w:r>
      <w:r w:rsidR="00A45A58">
        <w:rPr>
          <w:lang w:bidi="cs-CZ"/>
        </w:rPr>
        <w:br/>
      </w:r>
      <w:r w:rsidR="0022749C">
        <w:rPr>
          <w:lang w:bidi="cs-CZ"/>
        </w:rPr>
        <w:t>s</w:t>
      </w:r>
      <w:r w:rsidRPr="000973D0">
        <w:rPr>
          <w:lang w:bidi="cs-CZ"/>
        </w:rPr>
        <w:t xml:space="preserve"> prodloužením přepnutí </w:t>
      </w:r>
      <w:r w:rsidR="0022749C">
        <w:rPr>
          <w:lang w:bidi="cs-CZ"/>
        </w:rPr>
        <w:t xml:space="preserve">dlouhým </w:t>
      </w:r>
      <w:proofErr w:type="gramStart"/>
      <w:r w:rsidRPr="000973D0">
        <w:rPr>
          <w:lang w:bidi="cs-CZ"/>
        </w:rPr>
        <w:t>30mm</w:t>
      </w:r>
      <w:proofErr w:type="gramEnd"/>
      <w:r w:rsidRPr="000973D0">
        <w:rPr>
          <w:lang w:bidi="cs-CZ"/>
        </w:rPr>
        <w:t>, zapínan</w:t>
      </w:r>
      <w:r w:rsidR="0022749C">
        <w:rPr>
          <w:lang w:bidi="cs-CZ"/>
        </w:rPr>
        <w:t>á</w:t>
      </w:r>
      <w:r w:rsidRPr="000973D0">
        <w:rPr>
          <w:lang w:bidi="cs-CZ"/>
        </w:rPr>
        <w:t xml:space="preserve"> na knoflík a dírku. </w:t>
      </w:r>
      <w:r w:rsidR="0022749C">
        <w:rPr>
          <w:lang w:bidi="cs-CZ"/>
        </w:rPr>
        <w:t>Límec je prošitý</w:t>
      </w:r>
      <w:r w:rsidRPr="000973D0">
        <w:rPr>
          <w:lang w:bidi="cs-CZ"/>
        </w:rPr>
        <w:t xml:space="preserve"> pod pasovým límcem.</w:t>
      </w:r>
      <w:r w:rsidR="009F0E9A">
        <w:rPr>
          <w:lang w:bidi="cs-CZ"/>
        </w:rPr>
        <w:t xml:space="preserve"> </w:t>
      </w:r>
      <w:r w:rsidR="0022749C" w:rsidRPr="00C12C41">
        <w:rPr>
          <w:lang w:bidi="cs-CZ"/>
        </w:rPr>
        <w:t>V místě bočních kapes je pasový límec členěný, regulovatelný</w:t>
      </w:r>
      <w:r w:rsidR="0022749C">
        <w:rPr>
          <w:lang w:bidi="cs-CZ"/>
        </w:rPr>
        <w:t xml:space="preserve"> autosponou. </w:t>
      </w:r>
      <w:r w:rsidR="00423036">
        <w:rPr>
          <w:lang w:bidi="cs-CZ"/>
        </w:rPr>
        <w:t xml:space="preserve">Plastovou kolejnici autospon našitou na zadní části pasového límce překrývají pásky z vrchového materiálu šíře </w:t>
      </w:r>
      <w:proofErr w:type="gramStart"/>
      <w:r w:rsidR="00423036">
        <w:rPr>
          <w:lang w:bidi="cs-CZ"/>
        </w:rPr>
        <w:t>20mm</w:t>
      </w:r>
      <w:proofErr w:type="gramEnd"/>
      <w:r w:rsidR="00423036">
        <w:rPr>
          <w:lang w:bidi="cs-CZ"/>
        </w:rPr>
        <w:t xml:space="preserve">, provlečené kovovou částí spony nalisovanou k pasovému límci. Boční strany pásku jsou připevněné k pasovému límci uzávěrkami zhotovenými na závorovacím šicím stroji. Pásky jsou prošité za </w:t>
      </w:r>
      <w:proofErr w:type="gramStart"/>
      <w:r w:rsidR="00423036">
        <w:rPr>
          <w:lang w:bidi="cs-CZ"/>
        </w:rPr>
        <w:t>1mm</w:t>
      </w:r>
      <w:proofErr w:type="gramEnd"/>
      <w:r w:rsidR="00423036">
        <w:rPr>
          <w:lang w:bidi="cs-CZ"/>
        </w:rPr>
        <w:t xml:space="preserve"> ze dvou stran.</w:t>
      </w:r>
      <w:r w:rsidR="0022749C">
        <w:rPr>
          <w:lang w:bidi="cs-CZ"/>
        </w:rPr>
        <w:t xml:space="preserve"> Konfekční k</w:t>
      </w:r>
      <w:r w:rsidRPr="000973D0">
        <w:rPr>
          <w:lang w:bidi="cs-CZ"/>
        </w:rPr>
        <w:t xml:space="preserve">noflíková </w:t>
      </w:r>
      <w:r w:rsidR="0022749C">
        <w:rPr>
          <w:lang w:bidi="cs-CZ"/>
        </w:rPr>
        <w:t>vyšitá ve vzdálenosti</w:t>
      </w:r>
      <w:r w:rsidRPr="000973D0">
        <w:rPr>
          <w:lang w:bidi="cs-CZ"/>
        </w:rPr>
        <w:t xml:space="preserve"> 12 mm od okraje</w:t>
      </w:r>
      <w:r w:rsidR="0022749C">
        <w:rPr>
          <w:lang w:bidi="cs-CZ"/>
        </w:rPr>
        <w:t>, proti dírce je na pravé straně pasového límce přišitý knoflík</w:t>
      </w:r>
      <w:r w:rsidRPr="000973D0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Poutka:</w:t>
      </w:r>
    </w:p>
    <w:p w:rsidR="000C5CF7" w:rsidRPr="000973D0" w:rsidRDefault="000C5CF7" w:rsidP="000973D0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V pasovém švu je všito </w:t>
      </w:r>
      <w:r>
        <w:rPr>
          <w:lang w:bidi="cs-CZ"/>
        </w:rPr>
        <w:t>šest rovnoměrné rozmístěných poutek z vrchového materiálu</w:t>
      </w:r>
      <w:r w:rsidR="00086521">
        <w:rPr>
          <w:lang w:bidi="cs-CZ"/>
        </w:rPr>
        <w:t xml:space="preserve"> </w:t>
      </w:r>
      <w:r>
        <w:rPr>
          <w:lang w:bidi="cs-CZ"/>
        </w:rPr>
        <w:t xml:space="preserve">šíře </w:t>
      </w:r>
      <w:proofErr w:type="gramStart"/>
      <w:r>
        <w:rPr>
          <w:lang w:bidi="cs-CZ"/>
        </w:rPr>
        <w:t>12mm</w:t>
      </w:r>
      <w:proofErr w:type="gramEnd"/>
      <w:r>
        <w:rPr>
          <w:lang w:bidi="cs-CZ"/>
        </w:rPr>
        <w:t>, které jsou zajištěné spodní uzávěrkou umístěnou 10mm pod pasovým límcem, následně jsou poutka přehnuté a v kraji pasového límce připevněné uzávěrkou zhotovenou na závorovacím šicím stroji.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b/>
          <w:lang w:bidi="cs-CZ"/>
        </w:rPr>
        <w:lastRenderedPageBreak/>
        <w:t>Dolní okraj:</w:t>
      </w:r>
      <w:r w:rsidRPr="000973D0">
        <w:rPr>
          <w:lang w:bidi="cs-CZ"/>
        </w:rPr>
        <w:t xml:space="preserve"> 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 xml:space="preserve">Záložka </w:t>
      </w:r>
      <w:proofErr w:type="gramStart"/>
      <w:r w:rsidR="000C5CF7">
        <w:rPr>
          <w:lang w:bidi="cs-CZ"/>
        </w:rPr>
        <w:t>40m</w:t>
      </w:r>
      <w:r w:rsidRPr="000973D0">
        <w:rPr>
          <w:lang w:bidi="cs-CZ"/>
        </w:rPr>
        <w:t>m</w:t>
      </w:r>
      <w:proofErr w:type="gramEnd"/>
      <w:r w:rsidRPr="000973D0">
        <w:rPr>
          <w:lang w:bidi="cs-CZ"/>
        </w:rPr>
        <w:t>, obnitkovaná, zapošitá skrytým stehem.</w:t>
      </w:r>
    </w:p>
    <w:p w:rsidR="009F0E9A" w:rsidRDefault="009F0E9A" w:rsidP="000973D0">
      <w:pPr>
        <w:spacing w:after="0" w:line="276" w:lineRule="auto"/>
        <w:jc w:val="both"/>
        <w:rPr>
          <w:b/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Podšívka:</w:t>
      </w:r>
    </w:p>
    <w:p w:rsidR="000973D0" w:rsidRPr="000973D0" w:rsidRDefault="004A0C06" w:rsidP="000973D0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Všitá do sukně pod pasový límec, k</w:t>
      </w:r>
      <w:r w:rsidR="000C5CF7">
        <w:rPr>
          <w:lang w:bidi="cs-CZ"/>
        </w:rPr>
        <w:t xml:space="preserve">opíruje </w:t>
      </w:r>
      <w:r w:rsidR="00086521">
        <w:rPr>
          <w:lang w:bidi="cs-CZ"/>
        </w:rPr>
        <w:t>přední a zadní díl</w:t>
      </w:r>
      <w:r>
        <w:rPr>
          <w:lang w:bidi="cs-CZ"/>
        </w:rPr>
        <w:t xml:space="preserve"> v dolním kraji</w:t>
      </w:r>
      <w:r w:rsidR="000C5CF7">
        <w:rPr>
          <w:lang w:bidi="cs-CZ"/>
        </w:rPr>
        <w:t xml:space="preserve"> sahá mírně pod úroveň začátku rozparku zadního dílu. Přední díly bez svislých členících švů, n</w:t>
      </w:r>
      <w:r w:rsidR="000973D0" w:rsidRPr="000973D0">
        <w:rPr>
          <w:lang w:bidi="cs-CZ"/>
        </w:rPr>
        <w:t xml:space="preserve">a předním </w:t>
      </w:r>
      <w:r w:rsidR="000C5CF7">
        <w:rPr>
          <w:lang w:bidi="cs-CZ"/>
        </w:rPr>
        <w:t>v místě členících švů</w:t>
      </w:r>
      <w:r w:rsidR="00546848">
        <w:rPr>
          <w:lang w:bidi="cs-CZ"/>
        </w:rPr>
        <w:t xml:space="preserve"> vrchového předního dílu</w:t>
      </w:r>
      <w:r w:rsidR="000C5CF7">
        <w:rPr>
          <w:lang w:bidi="cs-CZ"/>
        </w:rPr>
        <w:t xml:space="preserve"> </w:t>
      </w:r>
      <w:r w:rsidR="000973D0" w:rsidRPr="000973D0">
        <w:rPr>
          <w:lang w:bidi="cs-CZ"/>
        </w:rPr>
        <w:t xml:space="preserve">a </w:t>
      </w:r>
      <w:r w:rsidR="00546848">
        <w:rPr>
          <w:lang w:bidi="cs-CZ"/>
        </w:rPr>
        <w:t xml:space="preserve">na </w:t>
      </w:r>
      <w:r w:rsidR="000973D0" w:rsidRPr="000973D0">
        <w:rPr>
          <w:lang w:bidi="cs-CZ"/>
        </w:rPr>
        <w:t xml:space="preserve">zadním díle v místě záševků </w:t>
      </w:r>
      <w:r w:rsidR="00546848">
        <w:rPr>
          <w:lang w:bidi="cs-CZ"/>
        </w:rPr>
        <w:t xml:space="preserve">jsou </w:t>
      </w:r>
      <w:r w:rsidR="000973D0" w:rsidRPr="000973D0">
        <w:rPr>
          <w:lang w:bidi="cs-CZ"/>
        </w:rPr>
        <w:t>složené záhyby.</w:t>
      </w:r>
      <w:r w:rsidR="009F0E9A">
        <w:rPr>
          <w:lang w:bidi="cs-CZ"/>
        </w:rPr>
        <w:t xml:space="preserve"> </w:t>
      </w:r>
      <w:r w:rsidR="000973D0" w:rsidRPr="000973D0">
        <w:rPr>
          <w:lang w:bidi="cs-CZ"/>
        </w:rPr>
        <w:t>Ve vrchní části zadního středového dílu</w:t>
      </w:r>
      <w:r w:rsidR="00546848">
        <w:rPr>
          <w:lang w:bidi="cs-CZ"/>
        </w:rPr>
        <w:t xml:space="preserve"> v místě zdrhovadla</w:t>
      </w:r>
      <w:r w:rsidR="000973D0" w:rsidRPr="000973D0">
        <w:rPr>
          <w:lang w:bidi="cs-CZ"/>
        </w:rPr>
        <w:t xml:space="preserve"> je </w:t>
      </w:r>
      <w:r w:rsidR="00546848">
        <w:rPr>
          <w:lang w:bidi="cs-CZ"/>
        </w:rPr>
        <w:t>zhotovený</w:t>
      </w:r>
      <w:r w:rsidR="000973D0" w:rsidRPr="000973D0">
        <w:rPr>
          <w:lang w:bidi="cs-CZ"/>
        </w:rPr>
        <w:t xml:space="preserve"> dotykový rozparek, dlouhý </w:t>
      </w:r>
      <w:proofErr w:type="gramStart"/>
      <w:r w:rsidR="000973D0" w:rsidRPr="000973D0">
        <w:rPr>
          <w:lang w:bidi="cs-CZ"/>
        </w:rPr>
        <w:t>185mm</w:t>
      </w:r>
      <w:proofErr w:type="gramEnd"/>
      <w:r w:rsidR="000973D0" w:rsidRPr="000973D0">
        <w:rPr>
          <w:lang w:bidi="cs-CZ"/>
        </w:rPr>
        <w:t xml:space="preserve">, prošitý </w:t>
      </w:r>
      <w:r w:rsidR="00546848">
        <w:rPr>
          <w:lang w:bidi="cs-CZ"/>
        </w:rPr>
        <w:t xml:space="preserve">z obou stran </w:t>
      </w:r>
      <w:r w:rsidR="000973D0" w:rsidRPr="000973D0">
        <w:rPr>
          <w:lang w:bidi="cs-CZ"/>
        </w:rPr>
        <w:t xml:space="preserve">15mm od okraje. </w:t>
      </w:r>
      <w:r w:rsidR="00546848">
        <w:rPr>
          <w:lang w:bidi="cs-CZ"/>
        </w:rPr>
        <w:t xml:space="preserve">V dolním </w:t>
      </w:r>
      <w:r w:rsidR="000973D0" w:rsidRPr="000973D0">
        <w:rPr>
          <w:lang w:bidi="cs-CZ"/>
        </w:rPr>
        <w:t xml:space="preserve">kraji </w:t>
      </w:r>
      <w:r w:rsidR="00546848">
        <w:rPr>
          <w:lang w:bidi="cs-CZ"/>
        </w:rPr>
        <w:t xml:space="preserve">v </w:t>
      </w:r>
      <w:r w:rsidR="000973D0" w:rsidRPr="000973D0">
        <w:rPr>
          <w:lang w:bidi="cs-CZ"/>
        </w:rPr>
        <w:t>bočních šv</w:t>
      </w:r>
      <w:r w:rsidR="00546848">
        <w:rPr>
          <w:lang w:bidi="cs-CZ"/>
        </w:rPr>
        <w:t xml:space="preserve">ech </w:t>
      </w:r>
      <w:r w:rsidR="000973D0" w:rsidRPr="000973D0">
        <w:rPr>
          <w:lang w:bidi="cs-CZ"/>
        </w:rPr>
        <w:t xml:space="preserve">jsou </w:t>
      </w:r>
      <w:r w:rsidR="00546848">
        <w:rPr>
          <w:lang w:bidi="cs-CZ"/>
        </w:rPr>
        <w:t xml:space="preserve">zhotovené </w:t>
      </w:r>
      <w:r w:rsidR="000973D0" w:rsidRPr="000973D0">
        <w:rPr>
          <w:lang w:bidi="cs-CZ"/>
        </w:rPr>
        <w:t xml:space="preserve">dotykové rozparky dlouhé </w:t>
      </w:r>
      <w:proofErr w:type="gramStart"/>
      <w:r w:rsidR="000973D0" w:rsidRPr="000973D0">
        <w:rPr>
          <w:lang w:bidi="cs-CZ"/>
        </w:rPr>
        <w:t>80mm</w:t>
      </w:r>
      <w:proofErr w:type="gramEnd"/>
      <w:r w:rsidR="000973D0" w:rsidRPr="000973D0">
        <w:rPr>
          <w:lang w:bidi="cs-CZ"/>
        </w:rPr>
        <w:t>, prošité 7mm od okraje.</w:t>
      </w:r>
      <w:r w:rsidR="009F0E9A">
        <w:rPr>
          <w:lang w:bidi="cs-CZ"/>
        </w:rPr>
        <w:t xml:space="preserve"> </w:t>
      </w:r>
      <w:r w:rsidR="000973D0" w:rsidRPr="000973D0">
        <w:rPr>
          <w:lang w:bidi="cs-CZ"/>
        </w:rPr>
        <w:t>Dolní okraj</w:t>
      </w:r>
      <w:r w:rsidR="00546848">
        <w:rPr>
          <w:lang w:bidi="cs-CZ"/>
        </w:rPr>
        <w:t xml:space="preserve"> 2x podehnutý a prošitý za </w:t>
      </w:r>
      <w:proofErr w:type="gramStart"/>
      <w:r w:rsidR="00546848">
        <w:rPr>
          <w:lang w:bidi="cs-CZ"/>
        </w:rPr>
        <w:t>10mm</w:t>
      </w:r>
      <w:proofErr w:type="gramEnd"/>
      <w:r w:rsidR="00546848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Vnitřní zpracování: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>Boční</w:t>
      </w:r>
      <w:r w:rsidR="00546848">
        <w:rPr>
          <w:lang w:bidi="cs-CZ"/>
        </w:rPr>
        <w:t xml:space="preserve"> švy,</w:t>
      </w:r>
      <w:r w:rsidRPr="000973D0">
        <w:rPr>
          <w:lang w:bidi="cs-CZ"/>
        </w:rPr>
        <w:t xml:space="preserve"> členící šv</w:t>
      </w:r>
      <w:r w:rsidR="00546848">
        <w:rPr>
          <w:lang w:bidi="cs-CZ"/>
        </w:rPr>
        <w:t>y předního dílu, středový šev zadního dílu jsou obnitkované sešité</w:t>
      </w:r>
      <w:r w:rsidRPr="000973D0">
        <w:rPr>
          <w:lang w:bidi="cs-CZ"/>
        </w:rPr>
        <w:t xml:space="preserve"> rozžehlené.</w:t>
      </w:r>
      <w:r w:rsidR="009F0E9A">
        <w:rPr>
          <w:lang w:bidi="cs-CZ"/>
        </w:rPr>
        <w:t xml:space="preserve"> </w:t>
      </w:r>
      <w:r w:rsidR="004A0C06">
        <w:rPr>
          <w:lang w:bidi="cs-CZ"/>
        </w:rPr>
        <w:t>S</w:t>
      </w:r>
      <w:r w:rsidR="004A0C06" w:rsidRPr="000973D0">
        <w:rPr>
          <w:lang w:bidi="cs-CZ"/>
        </w:rPr>
        <w:t>podní okraj pasového límce obnitkovaný.</w:t>
      </w:r>
      <w:r w:rsidR="004A0C06">
        <w:rPr>
          <w:lang w:bidi="cs-CZ"/>
        </w:rPr>
        <w:t xml:space="preserve"> </w:t>
      </w:r>
      <w:r w:rsidRPr="000973D0">
        <w:rPr>
          <w:lang w:bidi="cs-CZ"/>
        </w:rPr>
        <w:t>V</w:t>
      </w:r>
      <w:r w:rsidR="00546848">
        <w:rPr>
          <w:lang w:bidi="cs-CZ"/>
        </w:rPr>
        <w:t xml:space="preserve"> místě </w:t>
      </w:r>
      <w:r w:rsidRPr="000973D0">
        <w:rPr>
          <w:lang w:bidi="cs-CZ"/>
        </w:rPr>
        <w:t xml:space="preserve">bocích </w:t>
      </w:r>
      <w:r w:rsidR="00546848">
        <w:rPr>
          <w:lang w:bidi="cs-CZ"/>
        </w:rPr>
        <w:t xml:space="preserve">švů </w:t>
      </w:r>
      <w:r w:rsidRPr="000973D0">
        <w:rPr>
          <w:lang w:bidi="cs-CZ"/>
        </w:rPr>
        <w:t>jsou</w:t>
      </w:r>
      <w:r w:rsidR="00546848">
        <w:rPr>
          <w:lang w:bidi="cs-CZ"/>
        </w:rPr>
        <w:t xml:space="preserve"> do pasového švu vnitřní strany sukně</w:t>
      </w:r>
      <w:r w:rsidRPr="000973D0">
        <w:rPr>
          <w:lang w:bidi="cs-CZ"/>
        </w:rPr>
        <w:t xml:space="preserve"> </w:t>
      </w:r>
      <w:r w:rsidR="00546848">
        <w:rPr>
          <w:lang w:bidi="cs-CZ"/>
        </w:rPr>
        <w:t xml:space="preserve">všité </w:t>
      </w:r>
      <w:proofErr w:type="gramStart"/>
      <w:r w:rsidRPr="000973D0">
        <w:rPr>
          <w:lang w:bidi="cs-CZ"/>
        </w:rPr>
        <w:t>závěsné poutka</w:t>
      </w:r>
      <w:proofErr w:type="gramEnd"/>
      <w:r w:rsidRPr="000973D0">
        <w:rPr>
          <w:lang w:bidi="cs-CZ"/>
        </w:rPr>
        <w:t xml:space="preserve"> z polotovaru. Kapesní váčky </w:t>
      </w:r>
      <w:r w:rsidR="00546848">
        <w:rPr>
          <w:lang w:bidi="cs-CZ"/>
        </w:rPr>
        <w:t xml:space="preserve">kryje podšívka a </w:t>
      </w:r>
      <w:r w:rsidRPr="000973D0">
        <w:rPr>
          <w:lang w:bidi="cs-CZ"/>
        </w:rPr>
        <w:t xml:space="preserve">jsou </w:t>
      </w:r>
      <w:r w:rsidR="00546848">
        <w:rPr>
          <w:lang w:bidi="cs-CZ"/>
        </w:rPr>
        <w:t xml:space="preserve">sešité na obnitkovacím šicím stroji se zajišťovacím stehem. </w:t>
      </w:r>
      <w:r w:rsidRPr="000973D0">
        <w:rPr>
          <w:lang w:bidi="cs-CZ"/>
        </w:rPr>
        <w:t>Etiketa s ošetřovacími symboly je všitá do pasového švu</w:t>
      </w:r>
      <w:r w:rsidR="00546848">
        <w:rPr>
          <w:lang w:bidi="cs-CZ"/>
        </w:rPr>
        <w:t xml:space="preserve"> </w:t>
      </w:r>
      <w:r w:rsidR="00C33E6F">
        <w:rPr>
          <w:lang w:bidi="cs-CZ"/>
        </w:rPr>
        <w:t>středem pravého</w:t>
      </w:r>
      <w:r w:rsidRPr="000973D0">
        <w:rPr>
          <w:lang w:bidi="cs-CZ"/>
        </w:rPr>
        <w:t xml:space="preserve"> zadního dílu</w:t>
      </w:r>
      <w:r w:rsidR="00C33E6F">
        <w:rPr>
          <w:lang w:bidi="cs-CZ"/>
        </w:rPr>
        <w:t xml:space="preserve"> z vnitřní strany</w:t>
      </w:r>
      <w:r w:rsidRPr="000973D0">
        <w:rPr>
          <w:lang w:bidi="cs-CZ"/>
        </w:rPr>
        <w:t xml:space="preserve">. </w:t>
      </w:r>
      <w:r w:rsidR="00086521">
        <w:rPr>
          <w:lang w:bidi="cs-CZ"/>
        </w:rPr>
        <w:t>Tkaná e</w:t>
      </w:r>
      <w:r w:rsidR="00086521" w:rsidRPr="000973D0">
        <w:rPr>
          <w:lang w:bidi="cs-CZ"/>
        </w:rPr>
        <w:t xml:space="preserve">tiketa výrobce </w:t>
      </w:r>
      <w:r w:rsidR="00086521">
        <w:rPr>
          <w:lang w:bidi="cs-CZ"/>
        </w:rPr>
        <w:t>našitá</w:t>
      </w:r>
      <w:r w:rsidR="00086521" w:rsidRPr="000973D0">
        <w:rPr>
          <w:lang w:bidi="cs-CZ"/>
        </w:rPr>
        <w:t xml:space="preserve"> </w:t>
      </w:r>
      <w:r w:rsidR="00086521">
        <w:rPr>
          <w:lang w:bidi="cs-CZ"/>
        </w:rPr>
        <w:t xml:space="preserve">středem </w:t>
      </w:r>
      <w:r w:rsidR="00086521" w:rsidRPr="000973D0">
        <w:rPr>
          <w:lang w:bidi="cs-CZ"/>
        </w:rPr>
        <w:t xml:space="preserve">spodní </w:t>
      </w:r>
      <w:r w:rsidR="00086521">
        <w:rPr>
          <w:lang w:bidi="cs-CZ"/>
        </w:rPr>
        <w:t>strany pravého pasového límce zadního dílu nad etiketu s ošetřovacími symboly</w:t>
      </w:r>
      <w:r w:rsidR="00086521" w:rsidRPr="000973D0">
        <w:rPr>
          <w:lang w:bidi="cs-CZ"/>
        </w:rPr>
        <w:t>.</w:t>
      </w:r>
    </w:p>
    <w:p w:rsidR="000973D0" w:rsidRP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0973D0" w:rsidRPr="000973D0" w:rsidRDefault="000973D0" w:rsidP="000973D0">
      <w:pPr>
        <w:spacing w:after="0" w:line="276" w:lineRule="auto"/>
        <w:jc w:val="both"/>
        <w:rPr>
          <w:b/>
          <w:lang w:bidi="cs-CZ"/>
        </w:rPr>
      </w:pPr>
      <w:r w:rsidRPr="000973D0">
        <w:rPr>
          <w:b/>
          <w:lang w:bidi="cs-CZ"/>
        </w:rPr>
        <w:t>Fixace:</w:t>
      </w:r>
    </w:p>
    <w:p w:rsidR="000973D0" w:rsidRPr="000973D0" w:rsidRDefault="004A0C06" w:rsidP="000973D0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>netkaná fixační vložka</w:t>
      </w:r>
    </w:p>
    <w:p w:rsidR="000973D0" w:rsidRPr="000973D0" w:rsidRDefault="000973D0" w:rsidP="000973D0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0973D0">
        <w:rPr>
          <w:lang w:bidi="cs-CZ"/>
        </w:rPr>
        <w:t>rozparek zadního dílu</w:t>
      </w:r>
      <w:r w:rsidR="004A0C06">
        <w:rPr>
          <w:lang w:bidi="cs-CZ"/>
        </w:rPr>
        <w:t xml:space="preserve"> – nákrytová strana</w:t>
      </w:r>
      <w:r w:rsidRPr="000973D0">
        <w:rPr>
          <w:lang w:bidi="cs-CZ"/>
        </w:rPr>
        <w:t>, průhmat boční</w:t>
      </w:r>
      <w:r w:rsidR="004A0C06">
        <w:rPr>
          <w:lang w:bidi="cs-CZ"/>
        </w:rPr>
        <w:t>ch</w:t>
      </w:r>
      <w:r w:rsidRPr="000973D0">
        <w:rPr>
          <w:lang w:bidi="cs-CZ"/>
        </w:rPr>
        <w:t xml:space="preserve"> kap</w:t>
      </w:r>
      <w:r w:rsidR="004A0C06">
        <w:rPr>
          <w:lang w:bidi="cs-CZ"/>
        </w:rPr>
        <w:t>es</w:t>
      </w:r>
      <w:r w:rsidRPr="000973D0">
        <w:rPr>
          <w:lang w:bidi="cs-CZ"/>
        </w:rPr>
        <w:t>,</w:t>
      </w:r>
    </w:p>
    <w:p w:rsidR="000973D0" w:rsidRDefault="000973D0" w:rsidP="000973D0">
      <w:pPr>
        <w:spacing w:after="0" w:line="276" w:lineRule="auto"/>
        <w:jc w:val="both"/>
        <w:rPr>
          <w:lang w:bidi="cs-CZ"/>
        </w:rPr>
      </w:pPr>
    </w:p>
    <w:p w:rsidR="008C480B" w:rsidRPr="00AE7D50" w:rsidRDefault="008C480B" w:rsidP="008C480B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8C480B" w:rsidRPr="000973D0" w:rsidRDefault="008C480B" w:rsidP="000973D0">
      <w:pPr>
        <w:spacing w:after="0" w:line="276" w:lineRule="auto"/>
        <w:jc w:val="both"/>
        <w:rPr>
          <w:lang w:bidi="cs-CZ"/>
        </w:rPr>
      </w:pPr>
    </w:p>
    <w:p w:rsidR="00245298" w:rsidRPr="000973D0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0973D0">
        <w:rPr>
          <w:b/>
          <w:bCs/>
          <w:lang w:bidi="cs-CZ"/>
        </w:rPr>
        <w:t>ZPRACOVÁNÍ</w:t>
      </w:r>
      <w:bookmarkEnd w:id="2"/>
    </w:p>
    <w:p w:rsidR="000973D0" w:rsidRPr="000973D0" w:rsidRDefault="000973D0" w:rsidP="000973D0">
      <w:pPr>
        <w:pStyle w:val="Odstavecseseznamem"/>
        <w:numPr>
          <w:ilvl w:val="0"/>
          <w:numId w:val="18"/>
        </w:numPr>
        <w:spacing w:after="0" w:line="276" w:lineRule="auto"/>
        <w:rPr>
          <w:bCs/>
          <w:lang w:bidi="cs-CZ"/>
        </w:rPr>
      </w:pPr>
      <w:r w:rsidRPr="000973D0">
        <w:rPr>
          <w:bCs/>
          <w:lang w:bidi="cs-CZ"/>
        </w:rPr>
        <w:t xml:space="preserve">počet stehů strojového šití a prošití je 5 </w:t>
      </w:r>
      <w:r w:rsidR="004A0C06">
        <w:rPr>
          <w:bCs/>
          <w:lang w:bidi="cs-CZ"/>
        </w:rPr>
        <w:t xml:space="preserve">± </w:t>
      </w:r>
      <w:r w:rsidRPr="000973D0">
        <w:rPr>
          <w:bCs/>
          <w:lang w:bidi="cs-CZ"/>
        </w:rPr>
        <w:t xml:space="preserve">1steh na </w:t>
      </w:r>
      <w:proofErr w:type="gramStart"/>
      <w:r w:rsidRPr="000973D0">
        <w:rPr>
          <w:bCs/>
          <w:lang w:bidi="cs-CZ"/>
        </w:rPr>
        <w:t>10mm</w:t>
      </w:r>
      <w:proofErr w:type="gramEnd"/>
      <w:r w:rsidRPr="000973D0">
        <w:rPr>
          <w:bCs/>
          <w:lang w:bidi="cs-CZ"/>
        </w:rPr>
        <w:t xml:space="preserve">, stehy musí být pravidelné bez vynechání, </w:t>
      </w:r>
      <w:r w:rsidR="004A0C06">
        <w:rPr>
          <w:bCs/>
          <w:lang w:bidi="cs-CZ"/>
        </w:rPr>
        <w:t>s rovnoměrným napětím</w:t>
      </w:r>
      <w:r w:rsidRPr="000973D0">
        <w:rPr>
          <w:bCs/>
          <w:lang w:bidi="cs-CZ"/>
        </w:rPr>
        <w:t>, začátky</w:t>
      </w:r>
      <w:r w:rsidR="004A0C06">
        <w:rPr>
          <w:bCs/>
          <w:lang w:bidi="cs-CZ"/>
        </w:rPr>
        <w:t>,</w:t>
      </w:r>
      <w:r w:rsidRPr="000973D0">
        <w:rPr>
          <w:bCs/>
          <w:lang w:bidi="cs-CZ"/>
        </w:rPr>
        <w:t xml:space="preserve"> konce šití a více namáhaná místa musí být řádně zapošitá 10mm dlouhým šitím proti párání a proti vytržení,</w:t>
      </w:r>
    </w:p>
    <w:p w:rsidR="000973D0" w:rsidRPr="000973D0" w:rsidRDefault="000973D0" w:rsidP="000973D0">
      <w:pPr>
        <w:pStyle w:val="Odstavecseseznamem"/>
        <w:numPr>
          <w:ilvl w:val="0"/>
          <w:numId w:val="18"/>
        </w:numPr>
        <w:spacing w:after="0" w:line="276" w:lineRule="auto"/>
        <w:rPr>
          <w:bCs/>
          <w:lang w:bidi="cs-CZ"/>
        </w:rPr>
      </w:pPr>
      <w:r w:rsidRPr="000973D0">
        <w:rPr>
          <w:bCs/>
          <w:lang w:bidi="cs-CZ"/>
        </w:rPr>
        <w:t>konce stehů musí být na celém výrobku řádně odstřižené,</w:t>
      </w:r>
    </w:p>
    <w:p w:rsid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557B91" w:rsidRPr="00245298" w:rsidRDefault="00557B91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125AB" w:rsidRDefault="00245298" w:rsidP="00B62838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557B91" w:rsidRPr="00245298" w:rsidRDefault="00557B91" w:rsidP="00557B91">
      <w:pPr>
        <w:spacing w:after="0" w:line="276" w:lineRule="auto"/>
        <w:rPr>
          <w:lang w:bidi="cs-CZ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557B91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Povolená </w:t>
            </w:r>
            <w:proofErr w:type="gramStart"/>
            <w:r w:rsidRPr="00245298">
              <w:rPr>
                <w:lang w:bidi="cs-CZ"/>
              </w:rPr>
              <w:t>tolerance - stupeň</w:t>
            </w:r>
            <w:proofErr w:type="gramEnd"/>
            <w:r w:rsidRPr="00245298">
              <w:rPr>
                <w:lang w:bidi="cs-CZ"/>
              </w:rPr>
              <w:t xml:space="preserve">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lastRenderedPageBreak/>
              <w:t>podšívka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černá</w:t>
            </w:r>
          </w:p>
          <w:p w:rsidR="00245298" w:rsidRPr="00245298" w:rsidRDefault="00245298" w:rsidP="00C12C41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hmotnost </w:t>
            </w:r>
            <w:r w:rsidR="00C12C41">
              <w:rPr>
                <w:lang w:bidi="cs-CZ"/>
              </w:rPr>
              <w:t>65</w:t>
            </w:r>
            <w:r w:rsidRPr="00245298">
              <w:rPr>
                <w:lang w:bidi="cs-CZ"/>
              </w:rPr>
              <w:t xml:space="preserve"> ± 5 </w:t>
            </w:r>
            <w:r w:rsidR="00937ED8" w:rsidRPr="00245298">
              <w:rPr>
                <w:lang w:bidi="cs-CZ"/>
              </w:rPr>
              <w:t>g.m</w:t>
            </w:r>
            <w:r w:rsidR="00937ED8"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>,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245298" w:rsidRPr="00245298" w:rsidTr="000973D0">
        <w:trPr>
          <w:trHeight w:val="37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kapsovina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32154C" w:rsidRPr="00245298" w:rsidTr="000973D0">
        <w:trPr>
          <w:trHeight w:val="37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154C" w:rsidRPr="00245298" w:rsidRDefault="0032154C" w:rsidP="0032154C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4C" w:rsidRPr="00245298" w:rsidRDefault="0032154C" w:rsidP="0032154C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32154C" w:rsidRPr="00245298" w:rsidTr="000973D0">
        <w:trPr>
          <w:trHeight w:val="37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154C" w:rsidRPr="00245298" w:rsidRDefault="0032154C" w:rsidP="0032154C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obnitkovací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4C" w:rsidRPr="00245298" w:rsidRDefault="0032154C" w:rsidP="0032154C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32154C" w:rsidRPr="00245298" w:rsidTr="000973D0">
        <w:trPr>
          <w:trHeight w:val="37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154C" w:rsidRPr="00245298" w:rsidRDefault="0032154C" w:rsidP="0032154C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knoflík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4C" w:rsidRPr="00245298" w:rsidRDefault="0032154C" w:rsidP="0032154C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310C13" w:rsidRPr="00245298" w:rsidTr="000973D0">
        <w:trPr>
          <w:trHeight w:val="41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lang w:bidi="cs-CZ"/>
              </w:rPr>
            </w:pPr>
          </w:p>
        </w:tc>
      </w:tr>
      <w:tr w:rsidR="00310C13" w:rsidRPr="00245298" w:rsidTr="000973D0">
        <w:trPr>
          <w:trHeight w:val="41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perforovaná výztuž 10-35-35-10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lang w:bidi="cs-CZ"/>
              </w:rPr>
            </w:pPr>
          </w:p>
        </w:tc>
      </w:tr>
      <w:tr w:rsidR="004A0C06" w:rsidRPr="00245298" w:rsidTr="000973D0">
        <w:trPr>
          <w:trHeight w:val="41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C06" w:rsidRPr="00245298" w:rsidRDefault="0032154C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="00310C13">
              <w:rPr>
                <w:b/>
                <w:lang w:bidi="cs-CZ"/>
              </w:rPr>
              <w:t>drhovadlo</w:t>
            </w:r>
            <w:r>
              <w:rPr>
                <w:b/>
                <w:lang w:bidi="cs-CZ"/>
              </w:rPr>
              <w:t xml:space="preserve"> spirálové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C06" w:rsidRPr="00245298" w:rsidRDefault="004A0C06" w:rsidP="002125AB">
            <w:pPr>
              <w:spacing w:after="0"/>
              <w:rPr>
                <w:lang w:bidi="cs-CZ"/>
              </w:rPr>
            </w:pPr>
          </w:p>
        </w:tc>
      </w:tr>
      <w:tr w:rsidR="00310C13" w:rsidRPr="00245298" w:rsidTr="000973D0">
        <w:trPr>
          <w:trHeight w:val="41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2154C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a</w:t>
            </w:r>
            <w:r w:rsidR="00310C13">
              <w:rPr>
                <w:b/>
                <w:lang w:bidi="cs-CZ"/>
              </w:rPr>
              <w:t>utospona</w:t>
            </w:r>
            <w:r>
              <w:rPr>
                <w:b/>
                <w:lang w:bidi="cs-CZ"/>
              </w:rPr>
              <w:t xml:space="preserve"> kovová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lang w:bidi="cs-CZ"/>
              </w:rPr>
            </w:pPr>
          </w:p>
        </w:tc>
      </w:tr>
      <w:tr w:rsidR="00310C13" w:rsidRPr="00245298" w:rsidTr="000973D0">
        <w:trPr>
          <w:trHeight w:val="41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lang w:bidi="cs-CZ"/>
              </w:rPr>
            </w:pPr>
          </w:p>
        </w:tc>
      </w:tr>
      <w:tr w:rsidR="00310C13" w:rsidRPr="00245298" w:rsidTr="000973D0">
        <w:trPr>
          <w:trHeight w:val="411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C13" w:rsidRDefault="00310C13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rypsová stuha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C13" w:rsidRPr="00245298" w:rsidRDefault="00310C13" w:rsidP="002125AB">
            <w:pPr>
              <w:spacing w:after="0"/>
              <w:rPr>
                <w:lang w:bidi="cs-CZ"/>
              </w:rPr>
            </w:pPr>
          </w:p>
        </w:tc>
      </w:tr>
    </w:tbl>
    <w:p w:rsidR="009F0E9A" w:rsidRDefault="009F0E9A" w:rsidP="002125AB">
      <w:pPr>
        <w:spacing w:after="0" w:line="240" w:lineRule="auto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a podšívkového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CE2D8F">
        <w:rPr>
          <w:b/>
          <w:lang w:bidi="cs-CZ"/>
        </w:rPr>
        <w:t>Vrchový materiál:</w:t>
      </w:r>
    </w:p>
    <w:p w:rsidR="00A45A58" w:rsidRDefault="00A45A58" w:rsidP="002125AB">
      <w:pPr>
        <w:spacing w:after="0"/>
        <w:rPr>
          <w:b/>
          <w:lang w:bidi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A45A58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Zkušební metoda, norma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Hodnota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Materiálové složení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A45A5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Barva dle trichromatických </w:t>
            </w:r>
          </w:p>
          <w:p w:rsidR="00A45A58" w:rsidRPr="00245298" w:rsidRDefault="00A45A58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souřadnic CieLab</w:t>
            </w:r>
          </w:p>
          <w:p w:rsidR="00A45A58" w:rsidRPr="00245298" w:rsidRDefault="00A45A58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Barva: Tmavomodrá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ISO </w:t>
            </w:r>
            <w:proofErr w:type="gramStart"/>
            <w:r w:rsidRPr="00245298">
              <w:rPr>
                <w:lang w:val="cs"/>
              </w:rPr>
              <w:t>105-J01</w:t>
            </w:r>
            <w:proofErr w:type="gramEnd"/>
          </w:p>
          <w:p w:rsidR="00A45A58" w:rsidRPr="00245298" w:rsidRDefault="00A45A58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</w:t>
            </w:r>
            <w:proofErr w:type="gramStart"/>
            <w:r w:rsidRPr="00245298">
              <w:rPr>
                <w:lang w:val="cs"/>
              </w:rPr>
              <w:t>20105-A02</w:t>
            </w:r>
            <w:proofErr w:type="gramEnd"/>
          </w:p>
        </w:tc>
        <w:tc>
          <w:tcPr>
            <w:tcW w:w="3018" w:type="dxa"/>
            <w:shd w:val="clear" w:color="auto" w:fill="auto"/>
            <w:vAlign w:val="center"/>
          </w:tcPr>
          <w:p w:rsidR="00A45A58" w:rsidRPr="00245298" w:rsidRDefault="00A45A58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L= 16,08</w:t>
            </w:r>
          </w:p>
          <w:p w:rsidR="00A45A58" w:rsidRPr="00245298" w:rsidRDefault="00A45A58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a= 0,70</w:t>
            </w:r>
          </w:p>
          <w:p w:rsidR="00A45A58" w:rsidRPr="00245298" w:rsidRDefault="00A45A58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b= -4,74</w:t>
            </w:r>
          </w:p>
          <w:p w:rsidR="00A45A58" w:rsidRPr="00245298" w:rsidRDefault="00A45A58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povolená barevná odchylka</w:t>
            </w:r>
          </w:p>
          <w:p w:rsidR="00A45A58" w:rsidRPr="00245298" w:rsidRDefault="00A45A58" w:rsidP="00B2232C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stupeň 4 šedé stupnice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Úprava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A45A5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NANO </w:t>
            </w:r>
            <w:r>
              <w:rPr>
                <w:lang w:bidi="cs-CZ"/>
              </w:rPr>
              <w:t>–</w:t>
            </w:r>
            <w:r w:rsidRPr="00245298">
              <w:rPr>
                <w:lang w:bidi="cs-CZ"/>
              </w:rPr>
              <w:t xml:space="preserve"> nešpinivá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(odpuzující vodu</w:t>
            </w:r>
            <w:r>
              <w:rPr>
                <w:lang w:bidi="cs-CZ"/>
              </w:rPr>
              <w:t xml:space="preserve"> </w:t>
            </w:r>
            <w:r w:rsidRPr="00245298">
              <w:rPr>
                <w:lang w:bidi="cs-CZ"/>
              </w:rPr>
              <w:t>a nečistoty)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Vazba 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plátnová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Plošná hmotnost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12127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175 g.m</w:t>
            </w:r>
            <w:r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 xml:space="preserve"> ± </w:t>
            </w:r>
            <w:proofErr w:type="gramStart"/>
            <w:r w:rsidRPr="00245298">
              <w:rPr>
                <w:lang w:bidi="cs-CZ"/>
              </w:rPr>
              <w:t>5%</w:t>
            </w:r>
            <w:proofErr w:type="gramEnd"/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Pevnost v dotržení </w:t>
            </w:r>
          </w:p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podélně / příčně 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13937-2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BD3749">
              <w:rPr>
                <w:lang w:bidi="cs-CZ"/>
              </w:rPr>
              <w:t>22</w:t>
            </w:r>
            <w:r w:rsidRPr="00245298">
              <w:rPr>
                <w:lang w:bidi="cs-CZ"/>
              </w:rPr>
              <w:t>/</w:t>
            </w:r>
            <w:r w:rsidR="00BD3749">
              <w:rPr>
                <w:lang w:bidi="cs-CZ"/>
              </w:rPr>
              <w:t>2</w:t>
            </w:r>
            <w:r w:rsidRPr="00245298">
              <w:rPr>
                <w:lang w:bidi="cs-CZ"/>
              </w:rPr>
              <w:t>2 N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v oděru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12947-2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BD3749">
              <w:rPr>
                <w:lang w:bidi="cs-CZ"/>
              </w:rPr>
              <w:t>5</w:t>
            </w:r>
            <w:r w:rsidRPr="00245298">
              <w:rPr>
                <w:lang w:bidi="cs-CZ"/>
              </w:rPr>
              <w:t>5 000 otáček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proti žmolkování</w:t>
            </w:r>
            <w:r>
              <w:rPr>
                <w:lang w:bidi="cs-CZ"/>
              </w:rPr>
              <w:t xml:space="preserve"> min.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12945-2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7000 otáček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5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Změna rozměrů smáčením</w:t>
            </w:r>
            <w:r>
              <w:rPr>
                <w:lang w:bidi="cs-CZ"/>
              </w:rPr>
              <w:t xml:space="preserve"> max.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PNs 47451963/025/80/98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-0,5/-0,5 %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na světle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105 B02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A913ED">
              <w:rPr>
                <w:lang w:bidi="cs-CZ"/>
              </w:rPr>
              <w:t>5</w:t>
            </w:r>
            <w:bookmarkStart w:id="4" w:name="_GoBack"/>
            <w:bookmarkEnd w:id="4"/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modré stupnice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otěru</w:t>
            </w:r>
          </w:p>
          <w:p w:rsidR="00A45A58" w:rsidRPr="00245298" w:rsidRDefault="00A45A58" w:rsidP="00B2232C">
            <w:pPr>
              <w:numPr>
                <w:ilvl w:val="0"/>
                <w:numId w:val="11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za sucha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105-X12</w:t>
            </w:r>
            <w:proofErr w:type="gramEnd"/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4-5/4-5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>Stálobarevnost v potu</w:t>
            </w:r>
          </w:p>
          <w:p w:rsidR="00A45A58" w:rsidRPr="00245298" w:rsidRDefault="00A45A58" w:rsidP="00B2232C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kyselém</w:t>
            </w:r>
          </w:p>
          <w:p w:rsidR="00A45A58" w:rsidRPr="00245298" w:rsidRDefault="00A45A58" w:rsidP="00B2232C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alkalickém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105-E04</w:t>
            </w:r>
            <w:proofErr w:type="gramEnd"/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BD3749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BD3749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Stálobarevnost ve vodě 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105-E01</w:t>
            </w:r>
            <w:proofErr w:type="gramEnd"/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Pr="00245298">
              <w:rPr>
                <w:lang w:bidi="cs-CZ"/>
              </w:rPr>
              <w:t>5/4-5/</w:t>
            </w:r>
            <w:r w:rsidR="00BD3749">
              <w:rPr>
                <w:lang w:bidi="cs-CZ"/>
              </w:rPr>
              <w:t>4-</w:t>
            </w:r>
            <w:r w:rsidRPr="00245298">
              <w:rPr>
                <w:lang w:bidi="cs-CZ"/>
              </w:rPr>
              <w:t>5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chem. čištění</w:t>
            </w:r>
          </w:p>
        </w:tc>
        <w:tc>
          <w:tcPr>
            <w:tcW w:w="2922" w:type="dxa"/>
            <w:vAlign w:val="center"/>
          </w:tcPr>
          <w:p w:rsidR="00A45A58" w:rsidRPr="00245298" w:rsidRDefault="00A45A58" w:rsidP="00B2232C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105-D01</w:t>
            </w:r>
            <w:proofErr w:type="gramEnd"/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BD3749" w:rsidRPr="00245298">
              <w:rPr>
                <w:lang w:bidi="cs-CZ"/>
              </w:rPr>
              <w:t>5/4-5/</w:t>
            </w:r>
            <w:r w:rsidR="00BD3749">
              <w:rPr>
                <w:lang w:bidi="cs-CZ"/>
              </w:rPr>
              <w:t>4-</w:t>
            </w:r>
            <w:r w:rsidR="00BD3749" w:rsidRPr="00245298">
              <w:rPr>
                <w:lang w:bidi="cs-CZ"/>
              </w:rPr>
              <w:t>5</w:t>
            </w:r>
          </w:p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 xml:space="preserve">Obsah volného formaldehydu 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14184-1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A45A58" w:rsidRPr="00245298" w:rsidRDefault="00A45A58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max. 75 mg/kg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Hodnota pH volného výluhu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3071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A45A58" w:rsidRPr="00245298" w:rsidRDefault="00A45A58" w:rsidP="00B2232C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4,5 - 7,5</w:t>
            </w:r>
          </w:p>
        </w:tc>
      </w:tr>
      <w:tr w:rsidR="00A45A58" w:rsidTr="00B2232C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bCs/>
                <w:lang w:val="cs"/>
              </w:rPr>
            </w:pPr>
            <w:r w:rsidRPr="00245298">
              <w:rPr>
                <w:bCs/>
                <w:lang w:val="cs"/>
              </w:rPr>
              <w:t>Symboly údržby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A45A58" w:rsidRPr="00245298" w:rsidRDefault="00A45A58" w:rsidP="00B2232C">
            <w:pPr>
              <w:rPr>
                <w:lang w:val="cs"/>
              </w:rPr>
            </w:pPr>
            <w:r w:rsidRPr="00245298">
              <w:rPr>
                <w:lang w:val="cs"/>
              </w:rPr>
              <w:t>ČSN EN ISO 3758</w:t>
            </w:r>
          </w:p>
        </w:tc>
        <w:tc>
          <w:tcPr>
            <w:tcW w:w="3018" w:type="dxa"/>
            <w:vAlign w:val="center"/>
          </w:tcPr>
          <w:p w:rsidR="00A45A58" w:rsidRPr="00245298" w:rsidRDefault="00A45A58" w:rsidP="00B2232C">
            <w:pPr>
              <w:jc w:val="center"/>
              <w:rPr>
                <w:lang w:bidi="cs-CZ"/>
              </w:rPr>
            </w:pPr>
            <w:r>
              <w:object w:dxaOrig="250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6.25pt" o:ole="">
                  <v:imagedata r:id="rId8" o:title=""/>
                </v:shape>
                <o:OLEObject Type="Embed" ProgID="PBrush" ShapeID="_x0000_i1025" DrawAspect="Content" ObjectID="_1626595466" r:id="rId9"/>
              </w:object>
            </w:r>
          </w:p>
        </w:tc>
      </w:tr>
    </w:tbl>
    <w:p w:rsidR="000973D0" w:rsidRDefault="000973D0" w:rsidP="002125AB">
      <w:pPr>
        <w:spacing w:after="0" w:line="276" w:lineRule="auto"/>
        <w:rPr>
          <w:lang w:bidi="cs-CZ"/>
        </w:rPr>
      </w:pPr>
    </w:p>
    <w:p w:rsidR="002125AB" w:rsidRDefault="002125AB" w:rsidP="002125AB">
      <w:pPr>
        <w:spacing w:after="0" w:line="276" w:lineRule="auto"/>
        <w:rPr>
          <w:b/>
          <w:lang w:bidi="cs-CZ"/>
        </w:rPr>
      </w:pPr>
      <w:r w:rsidRPr="00CE2D8F">
        <w:rPr>
          <w:b/>
          <w:lang w:bidi="cs-CZ"/>
        </w:rPr>
        <w:t>Podšívka: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Pr="003452FF">
              <w:rPr>
                <w:b/>
                <w:lang w:bidi="cs-CZ"/>
              </w:rPr>
              <w:t>kušební metoda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H</w:t>
            </w:r>
            <w:r w:rsidRPr="003452FF">
              <w:rPr>
                <w:b/>
                <w:lang w:bidi="cs-CZ"/>
              </w:rPr>
              <w:t>odnota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Materiálové složení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100% polyester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Barva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černá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Cs/>
                <w:lang w:val="cs" w:bidi="cs-CZ"/>
              </w:rPr>
            </w:pPr>
            <w:r w:rsidRPr="003452FF">
              <w:rPr>
                <w:bCs/>
                <w:lang w:val="cs" w:bidi="cs-CZ"/>
              </w:rPr>
              <w:t>Plošná hmotnost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12127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C12C41" w:rsidP="002125AB">
            <w:pPr>
              <w:spacing w:line="276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>65</w:t>
            </w:r>
            <w:r w:rsidR="002125AB">
              <w:rPr>
                <w:lang w:bidi="cs-CZ"/>
              </w:rPr>
              <w:t xml:space="preserve"> ± 5 </w:t>
            </w:r>
            <w:r w:rsidR="002125AB" w:rsidRPr="003452FF">
              <w:rPr>
                <w:lang w:val="cs" w:bidi="cs-CZ"/>
              </w:rPr>
              <w:t>g.m</w:t>
            </w:r>
            <w:r w:rsidR="002125AB" w:rsidRPr="003452FF">
              <w:rPr>
                <w:vertAlign w:val="superscript"/>
                <w:lang w:val="cs" w:bidi="cs-CZ"/>
              </w:rPr>
              <w:t>-2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Stálobarevnost v potu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4-5/4-5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Stálobarevnost v otěru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za sucha/za vlhka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  <w:r w:rsidRPr="003452FF">
              <w:rPr>
                <w:lang w:val="cs" w:bidi="cs-CZ"/>
              </w:rPr>
              <w:t xml:space="preserve">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 min. 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Posuvnost niti ve švu (mm):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osnova</w:t>
            </w:r>
          </w:p>
          <w:p w:rsidR="002125AB" w:rsidRPr="003452FF" w:rsidRDefault="002125AB" w:rsidP="002125AB">
            <w:pPr>
              <w:numPr>
                <w:ilvl w:val="0"/>
                <w:numId w:val="12"/>
              </w:num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útek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13936-2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en-US"/>
              </w:rPr>
              <w:t xml:space="preserve">max. </w:t>
            </w:r>
            <w:r w:rsidRPr="00FC1055">
              <w:rPr>
                <w:lang w:bidi="cs-CZ"/>
              </w:rPr>
              <w:t>3</w:t>
            </w:r>
            <w:r>
              <w:rPr>
                <w:lang w:bidi="cs-CZ"/>
              </w:rPr>
              <w:t xml:space="preserve"> mm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Odolnost proti žmolkování,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7000 otáček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12945-2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3-4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</w:t>
            </w:r>
          </w:p>
        </w:tc>
      </w:tr>
      <w:tr w:rsidR="002125AB" w:rsidTr="00A45A5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Odolnost proti oděru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12947-2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C12C41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2</w:t>
            </w:r>
            <w:r w:rsidR="00C12C41">
              <w:rPr>
                <w:lang w:bidi="cs-CZ"/>
              </w:rPr>
              <w:t>0</w:t>
            </w:r>
            <w:r>
              <w:rPr>
                <w:lang w:bidi="cs-CZ"/>
              </w:rPr>
              <w:t> </w:t>
            </w:r>
            <w:r w:rsidRPr="00FC1055">
              <w:rPr>
                <w:lang w:bidi="cs-CZ"/>
              </w:rPr>
              <w:t>000</w:t>
            </w:r>
            <w:r>
              <w:rPr>
                <w:lang w:bidi="cs-CZ"/>
              </w:rPr>
              <w:t xml:space="preserve"> otáček</w:t>
            </w:r>
          </w:p>
        </w:tc>
      </w:tr>
    </w:tbl>
    <w:p w:rsidR="002125AB" w:rsidRDefault="002125AB" w:rsidP="003452FF">
      <w:pPr>
        <w:spacing w:after="0" w:line="276" w:lineRule="auto"/>
        <w:jc w:val="both"/>
        <w:rPr>
          <w:lang w:bidi="cs-CZ"/>
        </w:rPr>
      </w:pPr>
    </w:p>
    <w:p w:rsidR="00CE2D8F" w:rsidRDefault="00CE2D8F" w:rsidP="00CE2D8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CE2D8F" w:rsidRPr="00245298" w:rsidRDefault="00CE2D8F" w:rsidP="00CE2D8F">
      <w:pPr>
        <w:spacing w:after="0" w:line="276" w:lineRule="auto"/>
        <w:jc w:val="both"/>
        <w:rPr>
          <w:lang w:bidi="cs-CZ"/>
        </w:rPr>
      </w:pPr>
    </w:p>
    <w:p w:rsidR="00CE2D8F" w:rsidRPr="00245298" w:rsidRDefault="00CE2D8F" w:rsidP="00CE2D8F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>
        <w:rPr>
          <w:lang w:bidi="cs-CZ"/>
        </w:rPr>
        <w:t>kách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32154C" w:rsidRDefault="0032154C" w:rsidP="003452FF">
      <w:pPr>
        <w:spacing w:after="0" w:line="276" w:lineRule="auto"/>
        <w:jc w:val="both"/>
        <w:rPr>
          <w:lang w:bidi="cs-CZ"/>
        </w:rPr>
      </w:pPr>
    </w:p>
    <w:p w:rsidR="00A45A58" w:rsidRDefault="00A45A58" w:rsidP="003452FF">
      <w:pPr>
        <w:spacing w:after="0" w:line="276" w:lineRule="auto"/>
        <w:jc w:val="both"/>
        <w:rPr>
          <w:lang w:bidi="cs-CZ"/>
        </w:rPr>
      </w:pPr>
    </w:p>
    <w:p w:rsidR="00A45A58" w:rsidRDefault="00A45A58" w:rsidP="003452FF">
      <w:pPr>
        <w:spacing w:after="0" w:line="276" w:lineRule="auto"/>
        <w:jc w:val="both"/>
        <w:rPr>
          <w:lang w:bidi="cs-CZ"/>
        </w:rPr>
      </w:pPr>
    </w:p>
    <w:p w:rsidR="00A45A58" w:rsidRPr="00245298" w:rsidRDefault="00A45A5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lastRenderedPageBreak/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D4255A">
        <w:rPr>
          <w:b/>
          <w:bCs/>
          <w:lang w:bidi="cs-CZ"/>
        </w:rPr>
        <w:t xml:space="preserve"> </w:t>
      </w:r>
      <w:r w:rsidR="00D4255A" w:rsidRPr="00D4255A">
        <w:rPr>
          <w:bCs/>
          <w:lang w:bidi="cs-CZ"/>
        </w:rPr>
        <w:t>v barvě bílé, písmo černé</w:t>
      </w:r>
      <w:r w:rsidR="00C33E6F">
        <w:rPr>
          <w:lang w:bidi="cs-CZ"/>
        </w:rPr>
        <w:t>, která je</w:t>
      </w:r>
      <w:r w:rsidR="00C33E6F" w:rsidRPr="000973D0">
        <w:rPr>
          <w:lang w:bidi="cs-CZ"/>
        </w:rPr>
        <w:t xml:space="preserve"> všitá do pasového švu</w:t>
      </w:r>
      <w:r w:rsidR="00C33E6F">
        <w:rPr>
          <w:lang w:bidi="cs-CZ"/>
        </w:rPr>
        <w:t xml:space="preserve"> středem pravého</w:t>
      </w:r>
      <w:r w:rsidR="00C33E6F" w:rsidRPr="000973D0">
        <w:rPr>
          <w:lang w:bidi="cs-CZ"/>
        </w:rPr>
        <w:t xml:space="preserve"> zadního dílu</w:t>
      </w:r>
      <w:r w:rsidR="00C33E6F">
        <w:rPr>
          <w:lang w:bidi="cs-CZ"/>
        </w:rPr>
        <w:t xml:space="preserve"> z vnitřní strany.</w:t>
      </w:r>
    </w:p>
    <w:p w:rsidR="00C33E6F" w:rsidRPr="00245298" w:rsidRDefault="00C33E6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 xml:space="preserve">, která je umístěna </w:t>
      </w:r>
      <w:r w:rsidR="008F31B3">
        <w:rPr>
          <w:lang w:bidi="cs-CZ"/>
        </w:rPr>
        <w:t>v bočním švu</w:t>
      </w:r>
      <w:r w:rsidRPr="00245298">
        <w:rPr>
          <w:lang w:bidi="cs-CZ"/>
        </w:rPr>
        <w:t xml:space="preserve">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3452FF" w:rsidRPr="00245298" w:rsidRDefault="003452F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8320B8" w:rsidP="003452FF">
      <w:pPr>
        <w:spacing w:after="0" w:line="276" w:lineRule="auto"/>
        <w:jc w:val="both"/>
        <w:rPr>
          <w:lang w:bidi="cs-CZ"/>
        </w:rPr>
        <w:sectPr w:rsidR="00245298" w:rsidRPr="00245298" w:rsidSect="002125AB">
          <w:headerReference w:type="default" r:id="rId10"/>
          <w:pgSz w:w="11900" w:h="16840"/>
          <w:pgMar w:top="1701" w:right="1418" w:bottom="1418" w:left="1418" w:header="845" w:footer="6" w:gutter="0"/>
          <w:pgNumType w:start="1"/>
          <w:cols w:space="720"/>
          <w:noEndnote/>
          <w:docGrid w:linePitch="360"/>
        </w:sectPr>
      </w:pPr>
      <w:r>
        <w:rPr>
          <w:lang w:bidi="cs-CZ"/>
        </w:rPr>
        <w:t>Oděvy</w:t>
      </w:r>
      <w:r w:rsidR="00245298"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="00245298"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="00245298"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="00245298" w:rsidRPr="00245298">
        <w:rPr>
          <w:lang w:bidi="cs-CZ"/>
        </w:rPr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245298" w:rsidRDefault="00245298" w:rsidP="00245298">
      <w:pPr>
        <w:numPr>
          <w:ilvl w:val="0"/>
          <w:numId w:val="1"/>
        </w:numPr>
        <w:rPr>
          <w:b/>
          <w:bCs/>
          <w:lang w:bidi="cs-CZ"/>
        </w:rPr>
      </w:pPr>
      <w:bookmarkStart w:id="9" w:name="bookmark10"/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pgSz w:w="11900" w:h="16840"/>
          <w:pgMar w:top="1417" w:right="1417" w:bottom="1417" w:left="1417" w:header="960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557B91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2FDD9A5F">
            <wp:extent cx="6142008" cy="45960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844" cy="4601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>Kalkulační velikost: 170-000-104</w:t>
      </w:r>
    </w:p>
    <w:p w:rsidR="00607AB9" w:rsidRDefault="00607AB9" w:rsidP="00245298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"/>
        <w:gridCol w:w="3104"/>
        <w:gridCol w:w="875"/>
        <w:gridCol w:w="585"/>
        <w:gridCol w:w="586"/>
        <w:gridCol w:w="586"/>
        <w:gridCol w:w="588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631"/>
      </w:tblGrid>
      <w:tr w:rsidR="009B0B51" w:rsidRPr="00CB20BC" w:rsidTr="009B0B51">
        <w:trPr>
          <w:trHeight w:val="315"/>
        </w:trPr>
        <w:tc>
          <w:tcPr>
            <w:tcW w:w="462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left w:val="nil"/>
              <w:bottom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 w:val="restart"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výška postavy</w:t>
            </w:r>
          </w:p>
        </w:tc>
        <w:tc>
          <w:tcPr>
            <w:tcW w:w="585" w:type="dxa"/>
            <w:tcBorders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Tol</w:t>
            </w:r>
            <w:r>
              <w:rPr>
                <w:sz w:val="20"/>
                <w:szCs w:val="20"/>
              </w:rPr>
              <w:t>.</w:t>
            </w:r>
            <w:r w:rsidRPr="00CB20BC">
              <w:rPr>
                <w:sz w:val="20"/>
                <w:szCs w:val="20"/>
              </w:rPr>
              <w:t xml:space="preserve"> +/-</w:t>
            </w: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tcBorders>
              <w:top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3104" w:type="dxa"/>
            <w:tcBorders>
              <w:top w:val="nil"/>
              <w:left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tcBorders>
              <w:right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Velikost / Obvod sedu /</w:t>
            </w:r>
            <w:r w:rsidRPr="00CB20B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tcBorders>
              <w:right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Kontrolní rozměry:</w:t>
            </w:r>
          </w:p>
        </w:tc>
        <w:tc>
          <w:tcPr>
            <w:tcW w:w="875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vMerge w:val="restart"/>
            <w:noWrap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104" w:type="dxa"/>
            <w:vMerge w:val="restart"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Zadní délka sukně /</w:t>
            </w:r>
            <w:r w:rsidRPr="00CB20B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75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vMerge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51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vMerge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vMerge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9B0B51" w:rsidRPr="00CB20BC" w:rsidRDefault="009B0B51" w:rsidP="008320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585" w:type="dxa"/>
            <w:tcBorders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  <w:righ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noWrap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104" w:type="dxa"/>
            <w:tcBorders>
              <w:right w:val="nil"/>
            </w:tcBorders>
            <w:noWrap/>
            <w:vAlign w:val="center"/>
            <w:hideMark/>
          </w:tcPr>
          <w:p w:rsidR="009B0B51" w:rsidRPr="002C27B1" w:rsidRDefault="009B0B51" w:rsidP="002C2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C27B1">
              <w:rPr>
                <w:sz w:val="20"/>
                <w:szCs w:val="20"/>
              </w:rPr>
              <w:t>asová šíř</w:t>
            </w:r>
            <w:r>
              <w:rPr>
                <w:sz w:val="20"/>
                <w:szCs w:val="20"/>
              </w:rPr>
              <w:t>ka</w:t>
            </w:r>
            <w:r w:rsidRPr="002C27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34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36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38</w:t>
            </w:r>
          </w:p>
        </w:tc>
        <w:tc>
          <w:tcPr>
            <w:tcW w:w="588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42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44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46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50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52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54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56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58</w:t>
            </w:r>
          </w:p>
        </w:tc>
        <w:tc>
          <w:tcPr>
            <w:tcW w:w="631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noWrap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104" w:type="dxa"/>
            <w:tcBorders>
              <w:right w:val="nil"/>
            </w:tcBorders>
            <w:noWrap/>
            <w:vAlign w:val="center"/>
            <w:hideMark/>
          </w:tcPr>
          <w:p w:rsidR="009B0B51" w:rsidRPr="002C27B1" w:rsidRDefault="009B0B51" w:rsidP="008320B8">
            <w:pPr>
              <w:rPr>
                <w:sz w:val="20"/>
                <w:szCs w:val="20"/>
              </w:rPr>
            </w:pPr>
            <w:r w:rsidRPr="002C27B1">
              <w:rPr>
                <w:sz w:val="20"/>
                <w:szCs w:val="20"/>
              </w:rPr>
              <w:t>Sedová šířka</w:t>
            </w:r>
          </w:p>
        </w:tc>
        <w:tc>
          <w:tcPr>
            <w:tcW w:w="875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46,5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50,5</w:t>
            </w:r>
          </w:p>
        </w:tc>
        <w:tc>
          <w:tcPr>
            <w:tcW w:w="588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54,5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56,5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58,5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60,5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62,5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64,5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66,5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68,5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70,5</w:t>
            </w:r>
          </w:p>
        </w:tc>
        <w:tc>
          <w:tcPr>
            <w:tcW w:w="631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,2</w:t>
            </w:r>
          </w:p>
        </w:tc>
      </w:tr>
      <w:tr w:rsidR="009B0B51" w:rsidRPr="00CB20BC" w:rsidTr="009B0B51">
        <w:trPr>
          <w:trHeight w:val="315"/>
        </w:trPr>
        <w:tc>
          <w:tcPr>
            <w:tcW w:w="462" w:type="dxa"/>
            <w:noWrap/>
            <w:vAlign w:val="center"/>
            <w:hideMark/>
          </w:tcPr>
          <w:p w:rsidR="009B0B51" w:rsidRPr="00CB20BC" w:rsidRDefault="009B0B51" w:rsidP="008320B8">
            <w:pPr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104" w:type="dxa"/>
            <w:tcBorders>
              <w:right w:val="nil"/>
            </w:tcBorders>
            <w:noWrap/>
            <w:vAlign w:val="center"/>
            <w:hideMark/>
          </w:tcPr>
          <w:p w:rsidR="009B0B51" w:rsidRPr="002C27B1" w:rsidRDefault="009B0B51" w:rsidP="008320B8">
            <w:pPr>
              <w:rPr>
                <w:sz w:val="20"/>
                <w:szCs w:val="20"/>
              </w:rPr>
            </w:pPr>
            <w:r w:rsidRPr="002C27B1">
              <w:rPr>
                <w:sz w:val="20"/>
                <w:szCs w:val="20"/>
              </w:rPr>
              <w:t>Šíř</w:t>
            </w:r>
            <w:r>
              <w:rPr>
                <w:sz w:val="20"/>
                <w:szCs w:val="20"/>
              </w:rPr>
              <w:t>k</w:t>
            </w:r>
            <w:r w:rsidRPr="002C27B1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 xml:space="preserve">v dolním </w:t>
            </w:r>
            <w:r w:rsidRPr="002C27B1">
              <w:rPr>
                <w:sz w:val="20"/>
                <w:szCs w:val="20"/>
              </w:rPr>
              <w:t>kraji</w:t>
            </w:r>
          </w:p>
        </w:tc>
        <w:tc>
          <w:tcPr>
            <w:tcW w:w="875" w:type="dxa"/>
            <w:tcBorders>
              <w:left w:val="nil"/>
            </w:tcBorders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46,5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48,5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50,5</w:t>
            </w:r>
          </w:p>
        </w:tc>
        <w:tc>
          <w:tcPr>
            <w:tcW w:w="588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b/>
                <w:bCs/>
                <w:sz w:val="20"/>
                <w:szCs w:val="20"/>
              </w:rPr>
            </w:pPr>
            <w:r w:rsidRPr="00CB20BC"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54,5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56,5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58,5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60,5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62,5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64,5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66,5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68,5</w:t>
            </w:r>
          </w:p>
        </w:tc>
        <w:tc>
          <w:tcPr>
            <w:tcW w:w="586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70,5</w:t>
            </w:r>
          </w:p>
        </w:tc>
        <w:tc>
          <w:tcPr>
            <w:tcW w:w="631" w:type="dxa"/>
            <w:noWrap/>
            <w:vAlign w:val="center"/>
            <w:hideMark/>
          </w:tcPr>
          <w:p w:rsidR="009B0B51" w:rsidRPr="00CB20BC" w:rsidRDefault="009B0B51" w:rsidP="00CB20BC">
            <w:pPr>
              <w:jc w:val="center"/>
              <w:rPr>
                <w:sz w:val="20"/>
                <w:szCs w:val="20"/>
              </w:rPr>
            </w:pPr>
            <w:r w:rsidRPr="00CB20B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,2</w:t>
            </w:r>
          </w:p>
        </w:tc>
      </w:tr>
    </w:tbl>
    <w:p w:rsidR="008320B8" w:rsidRDefault="008320B8" w:rsidP="00245298">
      <w:pPr>
        <w:spacing w:after="0"/>
      </w:pPr>
    </w:p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Všechny rozměry jsou uvedené v cm; metodika měření dle ČSN 80 7040;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>
        <w:rPr>
          <w:sz w:val="18"/>
          <w:szCs w:val="18"/>
        </w:rPr>
        <w:t>/2 - měřeno bez pasového límce</w:t>
      </w:r>
    </w:p>
    <w:p w:rsidR="008F31B3" w:rsidRDefault="008F31B3" w:rsidP="00245298">
      <w:pPr>
        <w:spacing w:after="0"/>
        <w:rPr>
          <w:sz w:val="18"/>
          <w:szCs w:val="18"/>
        </w:rPr>
      </w:pPr>
    </w:p>
    <w:p w:rsidR="008F31B3" w:rsidRPr="00245298" w:rsidRDefault="008F31B3" w:rsidP="00245298">
      <w:pPr>
        <w:spacing w:after="0"/>
      </w:pPr>
    </w:p>
    <w:sectPr w:rsidR="008F31B3" w:rsidRPr="00245298" w:rsidSect="00245298">
      <w:footerReference w:type="default" r:id="rId12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C06" w:rsidRDefault="004A0C06" w:rsidP="00245298">
      <w:pPr>
        <w:spacing w:after="0" w:line="240" w:lineRule="auto"/>
      </w:pPr>
      <w:r>
        <w:separator/>
      </w:r>
    </w:p>
  </w:endnote>
  <w:endnote w:type="continuationSeparator" w:id="0">
    <w:p w:rsidR="004A0C06" w:rsidRDefault="004A0C06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C06" w:rsidRDefault="004A0C06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A0C06" w:rsidRDefault="004A0C0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Stranka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45A58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224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4A0C06" w:rsidRDefault="004A0C0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Stranka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A45A58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C06" w:rsidRDefault="004A0C06" w:rsidP="00245298">
      <w:pPr>
        <w:spacing w:after="0" w:line="240" w:lineRule="auto"/>
      </w:pPr>
      <w:r>
        <w:separator/>
      </w:r>
    </w:p>
  </w:footnote>
  <w:footnote w:type="continuationSeparator" w:id="0">
    <w:p w:rsidR="004A0C06" w:rsidRDefault="004A0C06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C06" w:rsidRDefault="004A0C06" w:rsidP="000973D0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SUKNĚ</w:t>
    </w:r>
    <w:r w:rsidRPr="000A01D0">
      <w:rPr>
        <w:b/>
        <w:lang w:bidi="cs-CZ"/>
      </w:rPr>
      <w:t xml:space="preserve"> STEJNOKROJOV</w:t>
    </w:r>
    <w:r>
      <w:rPr>
        <w:b/>
        <w:lang w:bidi="cs-CZ"/>
      </w:rPr>
      <w:t>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9C0694"/>
    <w:multiLevelType w:val="hybridMultilevel"/>
    <w:tmpl w:val="01B85018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14"/>
  </w:num>
  <w:num w:numId="9">
    <w:abstractNumId w:val="11"/>
  </w:num>
  <w:num w:numId="10">
    <w:abstractNumId w:val="17"/>
  </w:num>
  <w:num w:numId="11">
    <w:abstractNumId w:val="10"/>
  </w:num>
  <w:num w:numId="12">
    <w:abstractNumId w:val="2"/>
  </w:num>
  <w:num w:numId="13">
    <w:abstractNumId w:val="13"/>
  </w:num>
  <w:num w:numId="14">
    <w:abstractNumId w:val="15"/>
  </w:num>
  <w:num w:numId="15">
    <w:abstractNumId w:val="12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98"/>
    <w:rsid w:val="00056C00"/>
    <w:rsid w:val="00086521"/>
    <w:rsid w:val="000973D0"/>
    <w:rsid w:val="000C5CF7"/>
    <w:rsid w:val="000D0F92"/>
    <w:rsid w:val="001C5793"/>
    <w:rsid w:val="002125AB"/>
    <w:rsid w:val="0022749C"/>
    <w:rsid w:val="00245298"/>
    <w:rsid w:val="002B53A9"/>
    <w:rsid w:val="002C10EA"/>
    <w:rsid w:val="002C27B1"/>
    <w:rsid w:val="00310C13"/>
    <w:rsid w:val="0032154C"/>
    <w:rsid w:val="003452FF"/>
    <w:rsid w:val="003F59F8"/>
    <w:rsid w:val="00411D7F"/>
    <w:rsid w:val="00423036"/>
    <w:rsid w:val="00463422"/>
    <w:rsid w:val="004A0C06"/>
    <w:rsid w:val="00546848"/>
    <w:rsid w:val="00557B91"/>
    <w:rsid w:val="00607AB9"/>
    <w:rsid w:val="00635858"/>
    <w:rsid w:val="00656C72"/>
    <w:rsid w:val="006E2E35"/>
    <w:rsid w:val="007C3144"/>
    <w:rsid w:val="008320B8"/>
    <w:rsid w:val="008923B5"/>
    <w:rsid w:val="008B5CE8"/>
    <w:rsid w:val="008C480B"/>
    <w:rsid w:val="008F31B3"/>
    <w:rsid w:val="0093456D"/>
    <w:rsid w:val="00937ED8"/>
    <w:rsid w:val="009B0B51"/>
    <w:rsid w:val="009F0E9A"/>
    <w:rsid w:val="00A14DFB"/>
    <w:rsid w:val="00A45A58"/>
    <w:rsid w:val="00A913ED"/>
    <w:rsid w:val="00AA2FB3"/>
    <w:rsid w:val="00AC6A5F"/>
    <w:rsid w:val="00BD3749"/>
    <w:rsid w:val="00C12C41"/>
    <w:rsid w:val="00C33E6F"/>
    <w:rsid w:val="00C42385"/>
    <w:rsid w:val="00CB20BC"/>
    <w:rsid w:val="00CE2D8F"/>
    <w:rsid w:val="00D4255A"/>
    <w:rsid w:val="00DE783E"/>
    <w:rsid w:val="00E21790"/>
    <w:rsid w:val="00E54134"/>
    <w:rsid w:val="00EF0261"/>
    <w:rsid w:val="00FC1055"/>
    <w:rsid w:val="00FF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8C8151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B565B-9BB9-47C5-AD07-7E49CA5F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1568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2019-07-10T08:51:00Z</dcterms:created>
  <dcterms:modified xsi:type="dcterms:W3CDTF">2019-08-06T09:18:00Z</dcterms:modified>
</cp:coreProperties>
</file>