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C12B0D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Košile stejnokrojová dámská dlouhý rukáv</w:t>
      </w:r>
      <w:r w:rsidRPr="00245298">
        <w:rPr>
          <w:b/>
          <w:bCs/>
          <w:lang w:bidi="cs-CZ"/>
        </w:rPr>
        <w:t xml:space="preserve"> </w:t>
      </w:r>
      <w:r w:rsidR="005879B3" w:rsidRPr="00434496">
        <w:rPr>
          <w:bCs/>
          <w:lang w:bidi="cs-CZ"/>
        </w:rPr>
        <w:t xml:space="preserve">(dále jen košile) je oděvní součástka pro horní část těla stejnokroje Správy železniční dopravní cesty (dále jen SŽDC) pro ženy, určená k nošení </w:t>
      </w:r>
      <w:r w:rsidR="005879B3">
        <w:rPr>
          <w:bCs/>
          <w:lang w:bidi="cs-CZ"/>
        </w:rPr>
        <w:t>do</w:t>
      </w:r>
      <w:r w:rsidR="005879B3" w:rsidRPr="00434496">
        <w:rPr>
          <w:bCs/>
          <w:lang w:bidi="cs-CZ"/>
        </w:rPr>
        <w:t xml:space="preserve"> suk</w:t>
      </w:r>
      <w:r w:rsidR="005879B3">
        <w:rPr>
          <w:bCs/>
          <w:lang w:bidi="cs-CZ"/>
        </w:rPr>
        <w:t>ně</w:t>
      </w:r>
      <w:r w:rsidR="005879B3" w:rsidRPr="00434496">
        <w:rPr>
          <w:bCs/>
          <w:lang w:bidi="cs-CZ"/>
        </w:rPr>
        <w:t>/kalhot</w:t>
      </w:r>
      <w:r w:rsidR="005879B3">
        <w:rPr>
          <w:bCs/>
          <w:lang w:bidi="cs-CZ"/>
        </w:rPr>
        <w:t xml:space="preserve"> pod sako nebo svetr</w:t>
      </w:r>
      <w:r w:rsidR="005879B3" w:rsidRPr="00434496">
        <w:rPr>
          <w:bCs/>
          <w:lang w:bidi="cs-CZ"/>
        </w:rPr>
        <w:t>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Default="00DB38F0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 xml:space="preserve">Košile stejnokrojová </w:t>
      </w:r>
      <w:r w:rsidR="00C12B0D">
        <w:rPr>
          <w:b/>
          <w:bCs/>
          <w:lang w:bidi="cs-CZ"/>
        </w:rPr>
        <w:t xml:space="preserve">dámská </w:t>
      </w:r>
      <w:r>
        <w:rPr>
          <w:b/>
          <w:bCs/>
          <w:lang w:bidi="cs-CZ"/>
        </w:rPr>
        <w:t>krátký rukáv</w:t>
      </w:r>
      <w:r w:rsidR="00245298" w:rsidRPr="00245298">
        <w:rPr>
          <w:b/>
          <w:bCs/>
          <w:lang w:bidi="cs-CZ"/>
        </w:rPr>
        <w:t xml:space="preserve"> </w:t>
      </w:r>
      <w:r w:rsidR="005879B3" w:rsidRPr="00434496">
        <w:rPr>
          <w:bCs/>
          <w:lang w:bidi="cs-CZ"/>
        </w:rPr>
        <w:t xml:space="preserve">(dále jen košile) je oděvní součástka pro horní část těla stejnokroje Správy železniční dopravní cesty (dále jen SŽDC) pro ženy, určená k nošení </w:t>
      </w:r>
      <w:r w:rsidR="005879B3">
        <w:rPr>
          <w:bCs/>
          <w:lang w:bidi="cs-CZ"/>
        </w:rPr>
        <w:t>do</w:t>
      </w:r>
      <w:r w:rsidR="005879B3" w:rsidRPr="00434496">
        <w:rPr>
          <w:bCs/>
          <w:lang w:bidi="cs-CZ"/>
        </w:rPr>
        <w:t xml:space="preserve"> suk</w:t>
      </w:r>
      <w:r w:rsidR="005879B3">
        <w:rPr>
          <w:bCs/>
          <w:lang w:bidi="cs-CZ"/>
        </w:rPr>
        <w:t>ně</w:t>
      </w:r>
      <w:r w:rsidR="005879B3" w:rsidRPr="00434496">
        <w:rPr>
          <w:bCs/>
          <w:lang w:bidi="cs-CZ"/>
        </w:rPr>
        <w:t>/kalhot</w:t>
      </w:r>
      <w:r w:rsidR="005879B3">
        <w:rPr>
          <w:bCs/>
          <w:lang w:bidi="cs-CZ"/>
        </w:rPr>
        <w:t xml:space="preserve"> pod svetr</w:t>
      </w:r>
      <w:r w:rsidR="003F04BA">
        <w:rPr>
          <w:bCs/>
          <w:lang w:bidi="cs-CZ"/>
        </w:rPr>
        <w:t xml:space="preserve"> nebo samostatně</w:t>
      </w:r>
      <w:r w:rsidR="005879B3" w:rsidRPr="00434496">
        <w:rPr>
          <w:bCs/>
          <w:lang w:bidi="cs-CZ"/>
        </w:rPr>
        <w:t>.</w:t>
      </w:r>
    </w:p>
    <w:p w:rsidR="00C12B0D" w:rsidRDefault="00C12B0D" w:rsidP="00DE783E">
      <w:pPr>
        <w:spacing w:after="0" w:line="276" w:lineRule="auto"/>
        <w:jc w:val="both"/>
        <w:rPr>
          <w:lang w:bidi="cs-CZ"/>
        </w:rPr>
      </w:pPr>
    </w:p>
    <w:p w:rsidR="00507FF9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507FF9">
      <w:pPr>
        <w:spacing w:after="0" w:line="276" w:lineRule="auto"/>
        <w:jc w:val="both"/>
        <w:rPr>
          <w:b/>
          <w:bCs/>
          <w:lang w:bidi="cs-CZ"/>
        </w:rPr>
      </w:pPr>
    </w:p>
    <w:p w:rsidR="00DE783E" w:rsidRPr="00507FF9" w:rsidRDefault="00507FF9" w:rsidP="00507FF9">
      <w:pPr>
        <w:numPr>
          <w:ilvl w:val="1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507FF9">
        <w:rPr>
          <w:b/>
          <w:bCs/>
          <w:lang w:bidi="cs-CZ"/>
        </w:rPr>
        <w:t>Košile stejnokrojová dámská dlouhý rukáv</w:t>
      </w:r>
    </w:p>
    <w:p w:rsidR="00C12B0D" w:rsidRDefault="00C12B0D" w:rsidP="00C12B0D">
      <w:pPr>
        <w:spacing w:after="0" w:line="276" w:lineRule="auto"/>
        <w:jc w:val="both"/>
        <w:rPr>
          <w:lang w:bidi="cs-CZ"/>
        </w:rPr>
      </w:pPr>
    </w:p>
    <w:p w:rsidR="00DB38F0" w:rsidRPr="00DB38F0" w:rsidRDefault="000A1C66" w:rsidP="00DB38F0">
      <w:pPr>
        <w:spacing w:after="0" w:line="276" w:lineRule="auto"/>
        <w:jc w:val="both"/>
        <w:rPr>
          <w:b/>
          <w:lang w:bidi="cs-CZ"/>
        </w:rPr>
      </w:pPr>
      <w:r>
        <w:rPr>
          <w:lang w:bidi="cs-CZ"/>
        </w:rPr>
        <w:t>Klasické délky</w:t>
      </w:r>
      <w:r w:rsidR="005879B3">
        <w:rPr>
          <w:lang w:bidi="cs-CZ"/>
        </w:rPr>
        <w:t xml:space="preserve"> přiléhav</w:t>
      </w:r>
      <w:r>
        <w:rPr>
          <w:lang w:bidi="cs-CZ"/>
        </w:rPr>
        <w:t>é linie,</w:t>
      </w:r>
      <w:r w:rsidR="00DB38F0" w:rsidRPr="00DB38F0">
        <w:rPr>
          <w:lang w:bidi="cs-CZ"/>
        </w:rPr>
        <w:t xml:space="preserve"> zapínaná</w:t>
      </w:r>
      <w:r>
        <w:rPr>
          <w:lang w:bidi="cs-CZ"/>
        </w:rPr>
        <w:t xml:space="preserve"> ke krku</w:t>
      </w:r>
      <w:r w:rsidR="00DB38F0" w:rsidRPr="00DB38F0">
        <w:rPr>
          <w:lang w:bidi="cs-CZ"/>
        </w:rPr>
        <w:t xml:space="preserve"> v předním kraji na 6 knoflíků </w:t>
      </w:r>
      <w:r w:rsidR="005879B3">
        <w:rPr>
          <w:lang w:bidi="cs-CZ"/>
        </w:rPr>
        <w:t>+</w:t>
      </w:r>
      <w:r w:rsidR="00DB38F0" w:rsidRPr="00DB38F0">
        <w:rPr>
          <w:lang w:bidi="cs-CZ"/>
        </w:rPr>
        <w:t xml:space="preserve"> 1 na stojáčku. Přední díly s  prsními záševky, </w:t>
      </w:r>
      <w:r w:rsidR="00E06942">
        <w:rPr>
          <w:lang w:bidi="cs-CZ"/>
        </w:rPr>
        <w:t>levý</w:t>
      </w:r>
      <w:r w:rsidR="00DB38F0" w:rsidRPr="00DB38F0">
        <w:rPr>
          <w:lang w:bidi="cs-CZ"/>
        </w:rPr>
        <w:t xml:space="preserve"> přední</w:t>
      </w:r>
      <w:r w:rsidR="00E06942">
        <w:rPr>
          <w:lang w:bidi="cs-CZ"/>
        </w:rPr>
        <w:t xml:space="preserve"> díl</w:t>
      </w:r>
      <w:r w:rsidR="00DB38F0" w:rsidRPr="00DB38F0">
        <w:rPr>
          <w:lang w:bidi="cs-CZ"/>
        </w:rPr>
        <w:t xml:space="preserve"> </w:t>
      </w:r>
      <w:r w:rsidR="00E06942">
        <w:rPr>
          <w:lang w:bidi="cs-CZ"/>
        </w:rPr>
        <w:t>s</w:t>
      </w:r>
      <w:r w:rsidR="005879B3">
        <w:rPr>
          <w:lang w:bidi="cs-CZ"/>
        </w:rPr>
        <w:t xml:space="preserve"> výšivk</w:t>
      </w:r>
      <w:r w:rsidR="00E06942">
        <w:rPr>
          <w:lang w:bidi="cs-CZ"/>
        </w:rPr>
        <w:t>ou</w:t>
      </w:r>
      <w:r w:rsidR="005879B3">
        <w:rPr>
          <w:lang w:bidi="cs-CZ"/>
        </w:rPr>
        <w:t>.</w:t>
      </w:r>
      <w:r w:rsidR="00DB38F0" w:rsidRPr="00DB38F0">
        <w:rPr>
          <w:lang w:bidi="cs-CZ"/>
        </w:rPr>
        <w:t xml:space="preserve"> Zad</w:t>
      </w:r>
      <w:r w:rsidR="0037317B">
        <w:rPr>
          <w:lang w:bidi="cs-CZ"/>
        </w:rPr>
        <w:t>ní díl členěný dvojitým sedlem</w:t>
      </w:r>
      <w:r w:rsidR="00E417C5">
        <w:rPr>
          <w:lang w:bidi="cs-CZ"/>
        </w:rPr>
        <w:t xml:space="preserve"> a</w:t>
      </w:r>
      <w:r w:rsidR="0037317B">
        <w:rPr>
          <w:lang w:bidi="cs-CZ"/>
        </w:rPr>
        <w:t xml:space="preserve"> </w:t>
      </w:r>
      <w:proofErr w:type="spellStart"/>
      <w:r w:rsidR="0037317B">
        <w:rPr>
          <w:lang w:bidi="cs-CZ"/>
        </w:rPr>
        <w:t>projmutý</w:t>
      </w:r>
      <w:proofErr w:type="spellEnd"/>
      <w:r w:rsidR="0037317B">
        <w:rPr>
          <w:lang w:bidi="cs-CZ"/>
        </w:rPr>
        <w:t xml:space="preserve"> pasovými</w:t>
      </w:r>
      <w:r w:rsidR="0037317B" w:rsidRPr="00DB38F0">
        <w:rPr>
          <w:lang w:bidi="cs-CZ"/>
        </w:rPr>
        <w:t xml:space="preserve"> záševk</w:t>
      </w:r>
      <w:r w:rsidR="0037317B">
        <w:rPr>
          <w:lang w:bidi="cs-CZ"/>
        </w:rPr>
        <w:t>y,</w:t>
      </w:r>
      <w:r w:rsidR="00DB38F0" w:rsidRPr="00DB38F0">
        <w:rPr>
          <w:lang w:bidi="cs-CZ"/>
        </w:rPr>
        <w:t xml:space="preserve"> do švu </w:t>
      </w:r>
      <w:r w:rsidR="00F02E08">
        <w:rPr>
          <w:lang w:bidi="cs-CZ"/>
        </w:rPr>
        <w:t xml:space="preserve">sedla </w:t>
      </w:r>
      <w:r w:rsidR="00267B3E">
        <w:rPr>
          <w:lang w:bidi="cs-CZ"/>
        </w:rPr>
        <w:t xml:space="preserve">z lícní strany </w:t>
      </w:r>
      <w:r w:rsidR="00DB38F0" w:rsidRPr="00DB38F0">
        <w:rPr>
          <w:lang w:bidi="cs-CZ"/>
        </w:rPr>
        <w:t xml:space="preserve">všitá tkaná </w:t>
      </w:r>
      <w:r w:rsidR="0037317B">
        <w:rPr>
          <w:lang w:bidi="cs-CZ"/>
        </w:rPr>
        <w:t>paspule</w:t>
      </w:r>
      <w:r w:rsidR="00DB38F0" w:rsidRPr="00DB38F0">
        <w:rPr>
          <w:lang w:bidi="cs-CZ"/>
        </w:rPr>
        <w:t xml:space="preserve">. Dlouhé jednodílné hlavicové rukávy v dolním kraji </w:t>
      </w:r>
      <w:r w:rsidR="005879B3">
        <w:rPr>
          <w:lang w:bidi="cs-CZ"/>
        </w:rPr>
        <w:t>zakončené</w:t>
      </w:r>
      <w:r w:rsidR="00DB38F0" w:rsidRPr="00DB38F0">
        <w:rPr>
          <w:lang w:bidi="cs-CZ"/>
        </w:rPr>
        <w:t xml:space="preserve"> manžet</w:t>
      </w:r>
      <w:r w:rsidR="005879B3">
        <w:rPr>
          <w:lang w:bidi="cs-CZ"/>
        </w:rPr>
        <w:t>ami</w:t>
      </w:r>
      <w:r w:rsidR="00DB38F0" w:rsidRPr="00DB38F0">
        <w:rPr>
          <w:lang w:bidi="cs-CZ"/>
        </w:rPr>
        <w:t>. Límec</w:t>
      </w:r>
      <w:r>
        <w:rPr>
          <w:lang w:bidi="cs-CZ"/>
        </w:rPr>
        <w:t xml:space="preserve"> košilový s odděleným stojáčkem, rožky </w:t>
      </w:r>
      <w:proofErr w:type="spellStart"/>
      <w:r>
        <w:rPr>
          <w:lang w:bidi="cs-CZ"/>
        </w:rPr>
        <w:t>převěsu</w:t>
      </w:r>
      <w:proofErr w:type="spellEnd"/>
      <w:r>
        <w:rPr>
          <w:lang w:bidi="cs-CZ"/>
        </w:rPr>
        <w:t xml:space="preserve"> límce se skrytým zapínáním.</w:t>
      </w: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  <w:r w:rsidRPr="00DB38F0">
        <w:rPr>
          <w:b/>
          <w:lang w:bidi="cs-CZ"/>
        </w:rPr>
        <w:t>Přední díl</w:t>
      </w:r>
      <w:r w:rsidR="00785E1D">
        <w:rPr>
          <w:b/>
          <w:lang w:bidi="cs-CZ"/>
        </w:rPr>
        <w:t>y</w:t>
      </w:r>
      <w:r w:rsidRPr="00DB38F0">
        <w:rPr>
          <w:b/>
          <w:lang w:bidi="cs-CZ"/>
        </w:rPr>
        <w:t>:</w:t>
      </w:r>
    </w:p>
    <w:p w:rsidR="00940DE8" w:rsidRPr="00DB38F0" w:rsidRDefault="00972C36" w:rsidP="00DB38F0">
      <w:pPr>
        <w:spacing w:after="0" w:line="276" w:lineRule="auto"/>
        <w:jc w:val="both"/>
        <w:rPr>
          <w:lang w:bidi="cs-CZ"/>
        </w:rPr>
      </w:pPr>
      <w:r>
        <w:rPr>
          <w:bCs/>
          <w:lang w:bidi="cs-CZ"/>
        </w:rPr>
        <w:t>Tvarované</w:t>
      </w:r>
      <w:r w:rsidRPr="004020B7">
        <w:rPr>
          <w:bCs/>
          <w:lang w:bidi="cs-CZ"/>
        </w:rPr>
        <w:t xml:space="preserve"> prsními záševk</w:t>
      </w:r>
      <w:r w:rsidR="00F02E08">
        <w:rPr>
          <w:bCs/>
          <w:lang w:bidi="cs-CZ"/>
        </w:rPr>
        <w:t>y</w:t>
      </w:r>
      <w:r>
        <w:rPr>
          <w:bCs/>
          <w:lang w:bidi="cs-CZ"/>
        </w:rPr>
        <w:t xml:space="preserve"> vedenými</w:t>
      </w:r>
      <w:r w:rsidRPr="004020B7">
        <w:rPr>
          <w:bCs/>
          <w:lang w:bidi="cs-CZ"/>
        </w:rPr>
        <w:t xml:space="preserve"> z bočního švu</w:t>
      </w:r>
      <w:r>
        <w:rPr>
          <w:bCs/>
          <w:lang w:bidi="cs-CZ"/>
        </w:rPr>
        <w:t xml:space="preserve"> k prsním hrotům,</w:t>
      </w:r>
      <w:r w:rsidRPr="004020B7">
        <w:rPr>
          <w:bCs/>
          <w:lang w:bidi="cs-CZ"/>
        </w:rPr>
        <w:t xml:space="preserve"> </w:t>
      </w:r>
      <w:r>
        <w:rPr>
          <w:bCs/>
          <w:lang w:bidi="cs-CZ"/>
        </w:rPr>
        <w:t>dlouhé 12</w:t>
      </w:r>
      <w:r w:rsidRPr="004020B7">
        <w:rPr>
          <w:bCs/>
          <w:lang w:bidi="cs-CZ"/>
        </w:rPr>
        <w:t xml:space="preserve">5mm, umístěné cca </w:t>
      </w:r>
      <w:r>
        <w:rPr>
          <w:bCs/>
          <w:lang w:bidi="cs-CZ"/>
        </w:rPr>
        <w:t>80</w:t>
      </w:r>
      <w:r w:rsidRPr="004020B7">
        <w:rPr>
          <w:bCs/>
          <w:lang w:bidi="cs-CZ"/>
        </w:rPr>
        <w:t xml:space="preserve">mm </w:t>
      </w:r>
      <w:r>
        <w:rPr>
          <w:bCs/>
          <w:lang w:bidi="cs-CZ"/>
        </w:rPr>
        <w:t>pod</w:t>
      </w:r>
      <w:r w:rsidRPr="004020B7">
        <w:rPr>
          <w:bCs/>
          <w:lang w:bidi="cs-CZ"/>
        </w:rPr>
        <w:t xml:space="preserve"> průramk</w:t>
      </w:r>
      <w:r>
        <w:rPr>
          <w:bCs/>
          <w:lang w:bidi="cs-CZ"/>
        </w:rPr>
        <w:t>em</w:t>
      </w:r>
      <w:r w:rsidRPr="004020B7">
        <w:rPr>
          <w:bCs/>
          <w:lang w:bidi="cs-CZ"/>
        </w:rPr>
        <w:t>.</w:t>
      </w:r>
      <w:r>
        <w:rPr>
          <w:bCs/>
          <w:lang w:bidi="cs-CZ"/>
        </w:rPr>
        <w:t xml:space="preserve"> </w:t>
      </w:r>
      <w:r w:rsidR="00940DE8">
        <w:rPr>
          <w:lang w:bidi="cs-CZ"/>
        </w:rPr>
        <w:t>Oba přední</w:t>
      </w:r>
      <w:r w:rsidR="00DB38F0" w:rsidRPr="00DB38F0">
        <w:rPr>
          <w:lang w:bidi="cs-CZ"/>
        </w:rPr>
        <w:t xml:space="preserve"> kraje jsou 2x podehnuté do rubní strany</w:t>
      </w:r>
      <w:r w:rsidR="00940DE8">
        <w:rPr>
          <w:lang w:bidi="cs-CZ"/>
        </w:rPr>
        <w:t xml:space="preserve"> v šíři </w:t>
      </w:r>
      <w:r w:rsidR="00DB38F0" w:rsidRPr="00DB38F0">
        <w:rPr>
          <w:lang w:bidi="cs-CZ"/>
        </w:rPr>
        <w:t xml:space="preserve">25mm, bez prošití. </w:t>
      </w:r>
      <w:r w:rsidR="00940DE8">
        <w:rPr>
          <w:lang w:bidi="cs-CZ"/>
        </w:rPr>
        <w:t xml:space="preserve">Na pravém předním díle </w:t>
      </w:r>
      <w:r w:rsidR="00DB38F0" w:rsidRPr="00DB38F0">
        <w:rPr>
          <w:lang w:bidi="cs-CZ"/>
        </w:rPr>
        <w:t>ve vzdálenosti 1</w:t>
      </w:r>
      <w:r w:rsidR="003B03F1">
        <w:rPr>
          <w:lang w:bidi="cs-CZ"/>
        </w:rPr>
        <w:t>2,5</w:t>
      </w:r>
      <w:r w:rsidR="00DB38F0" w:rsidRPr="00DB38F0">
        <w:rPr>
          <w:lang w:bidi="cs-CZ"/>
        </w:rPr>
        <w:t>mm od předního kraje</w:t>
      </w:r>
      <w:r w:rsidR="00940DE8">
        <w:rPr>
          <w:lang w:bidi="cs-CZ"/>
        </w:rPr>
        <w:t xml:space="preserve"> je vyšito 6 svisle umístěných prádlových knoflíkových dírek</w:t>
      </w:r>
      <w:r w:rsidR="00DB38F0" w:rsidRPr="00DB38F0">
        <w:rPr>
          <w:lang w:bidi="cs-CZ"/>
        </w:rPr>
        <w:t xml:space="preserve">. První dírka je vyšita 45mm od </w:t>
      </w:r>
      <w:proofErr w:type="spellStart"/>
      <w:r w:rsidR="00DB38F0" w:rsidRPr="00DB38F0">
        <w:rPr>
          <w:lang w:bidi="cs-CZ"/>
        </w:rPr>
        <w:t>průkrčníkového</w:t>
      </w:r>
      <w:proofErr w:type="spellEnd"/>
      <w:r w:rsidR="00DB38F0" w:rsidRPr="00DB38F0">
        <w:rPr>
          <w:lang w:bidi="cs-CZ"/>
        </w:rPr>
        <w:t xml:space="preserve"> švu, ostatní dírky s intervalem 87mm (měřeno na střed dírky). Na levém předním díle jsou proti dírkám přišité knoflíky. V horní části levého předního dílu je výšivka SŽDC (střed výšivky </w:t>
      </w:r>
      <w:r w:rsidR="00080DD3">
        <w:rPr>
          <w:lang w:bidi="cs-CZ"/>
        </w:rPr>
        <w:t xml:space="preserve">umístěný </w:t>
      </w:r>
      <w:r w:rsidR="00DB38F0" w:rsidRPr="00DB38F0">
        <w:rPr>
          <w:lang w:bidi="cs-CZ"/>
        </w:rPr>
        <w:t xml:space="preserve">- 185mm od špičky </w:t>
      </w:r>
      <w:r w:rsidR="00D92615">
        <w:rPr>
          <w:lang w:bidi="cs-CZ"/>
        </w:rPr>
        <w:t>průkrčníku a 95</w:t>
      </w:r>
      <w:r w:rsidR="00DB38F0" w:rsidRPr="00DB38F0">
        <w:rPr>
          <w:lang w:bidi="cs-CZ"/>
        </w:rPr>
        <w:t>mm od předního kraje</w:t>
      </w:r>
      <w:r w:rsidR="00BC7214">
        <w:rPr>
          <w:lang w:bidi="cs-CZ"/>
        </w:rPr>
        <w:t>, výška výšivky 18mm</w:t>
      </w:r>
      <w:r w:rsidR="00DB38F0" w:rsidRPr="00DB38F0">
        <w:rPr>
          <w:lang w:bidi="cs-CZ"/>
        </w:rPr>
        <w:t>).</w:t>
      </w:r>
    </w:p>
    <w:p w:rsidR="00DB38F0" w:rsidRPr="00DB38F0" w:rsidRDefault="00DB38F0" w:rsidP="00DB38F0">
      <w:pPr>
        <w:spacing w:after="0" w:line="276" w:lineRule="auto"/>
        <w:jc w:val="both"/>
        <w:rPr>
          <w:lang w:bidi="cs-CZ"/>
        </w:rPr>
      </w:pP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  <w:r w:rsidRPr="00DB38F0">
        <w:rPr>
          <w:b/>
          <w:lang w:bidi="cs-CZ"/>
        </w:rPr>
        <w:t>Zadní díl:</w:t>
      </w:r>
    </w:p>
    <w:p w:rsidR="00972C36" w:rsidRPr="00972C36" w:rsidRDefault="00DB38F0" w:rsidP="00DB38F0">
      <w:pPr>
        <w:spacing w:after="0" w:line="276" w:lineRule="auto"/>
        <w:jc w:val="both"/>
        <w:rPr>
          <w:bCs/>
          <w:lang w:bidi="cs-CZ"/>
        </w:rPr>
      </w:pPr>
      <w:r w:rsidRPr="00DB38F0">
        <w:rPr>
          <w:lang w:bidi="cs-CZ"/>
        </w:rPr>
        <w:t xml:space="preserve">V horní části </w:t>
      </w:r>
      <w:r w:rsidR="00972C36">
        <w:rPr>
          <w:bCs/>
          <w:lang w:bidi="cs-CZ"/>
        </w:rPr>
        <w:t xml:space="preserve">všitý do dvojitého sedla vysokého 75mm (měřeno středem), v členícím </w:t>
      </w:r>
      <w:r w:rsidR="00972C36" w:rsidRPr="004020B7">
        <w:rPr>
          <w:bCs/>
          <w:lang w:bidi="cs-CZ"/>
        </w:rPr>
        <w:t xml:space="preserve">švu </w:t>
      </w:r>
      <w:r w:rsidR="00972C36">
        <w:rPr>
          <w:bCs/>
          <w:lang w:bidi="cs-CZ"/>
        </w:rPr>
        <w:t>je</w:t>
      </w:r>
      <w:r w:rsidR="00972C36" w:rsidRPr="004020B7">
        <w:rPr>
          <w:bCs/>
          <w:lang w:bidi="cs-CZ"/>
        </w:rPr>
        <w:t> </w:t>
      </w:r>
      <w:r w:rsidR="00F02E08">
        <w:rPr>
          <w:bCs/>
          <w:lang w:bidi="cs-CZ"/>
        </w:rPr>
        <w:t xml:space="preserve">z lícní strany </w:t>
      </w:r>
      <w:r w:rsidR="00972C36" w:rsidRPr="004020B7">
        <w:rPr>
          <w:bCs/>
          <w:lang w:bidi="cs-CZ"/>
        </w:rPr>
        <w:t>všit</w:t>
      </w:r>
      <w:r w:rsidR="00972C36">
        <w:rPr>
          <w:bCs/>
          <w:lang w:bidi="cs-CZ"/>
        </w:rPr>
        <w:t>á</w:t>
      </w:r>
      <w:r w:rsidR="00972C36" w:rsidRPr="004020B7">
        <w:rPr>
          <w:bCs/>
          <w:lang w:bidi="cs-CZ"/>
        </w:rPr>
        <w:t xml:space="preserve"> tkan</w:t>
      </w:r>
      <w:r w:rsidR="00972C36">
        <w:rPr>
          <w:bCs/>
          <w:lang w:bidi="cs-CZ"/>
        </w:rPr>
        <w:t>á</w:t>
      </w:r>
      <w:r w:rsidR="00972C36" w:rsidRPr="004020B7">
        <w:rPr>
          <w:bCs/>
          <w:lang w:bidi="cs-CZ"/>
        </w:rPr>
        <w:t xml:space="preserve"> paspulk</w:t>
      </w:r>
      <w:r w:rsidR="00972C36">
        <w:rPr>
          <w:bCs/>
          <w:lang w:bidi="cs-CZ"/>
        </w:rPr>
        <w:t>a</w:t>
      </w:r>
      <w:r w:rsidR="00972C36" w:rsidRPr="004020B7">
        <w:rPr>
          <w:bCs/>
          <w:lang w:bidi="cs-CZ"/>
        </w:rPr>
        <w:t xml:space="preserve">, </w:t>
      </w:r>
      <w:r w:rsidR="00972C36">
        <w:rPr>
          <w:bCs/>
          <w:lang w:bidi="cs-CZ"/>
        </w:rPr>
        <w:t>členící šev prošitý 1mm po sedle</w:t>
      </w:r>
      <w:r w:rsidR="00972C36" w:rsidRPr="004020B7">
        <w:rPr>
          <w:bCs/>
          <w:lang w:bidi="cs-CZ"/>
        </w:rPr>
        <w:t>.</w:t>
      </w:r>
      <w:r w:rsidR="00972C36">
        <w:rPr>
          <w:bCs/>
          <w:lang w:bidi="cs-CZ"/>
        </w:rPr>
        <w:t xml:space="preserve"> </w:t>
      </w:r>
      <w:proofErr w:type="spellStart"/>
      <w:r w:rsidR="00972C36" w:rsidRPr="004020B7">
        <w:rPr>
          <w:bCs/>
          <w:lang w:bidi="cs-CZ"/>
        </w:rPr>
        <w:t>Náramenic</w:t>
      </w:r>
      <w:r w:rsidR="00972C36">
        <w:rPr>
          <w:bCs/>
          <w:lang w:bidi="cs-CZ"/>
        </w:rPr>
        <w:t>ové</w:t>
      </w:r>
      <w:proofErr w:type="spellEnd"/>
      <w:r w:rsidR="00972C36">
        <w:rPr>
          <w:bCs/>
          <w:lang w:bidi="cs-CZ"/>
        </w:rPr>
        <w:t xml:space="preserve"> švy jsou</w:t>
      </w:r>
      <w:r w:rsidR="00972C36" w:rsidRPr="004020B7">
        <w:rPr>
          <w:bCs/>
          <w:lang w:bidi="cs-CZ"/>
        </w:rPr>
        <w:t xml:space="preserve"> prošité </w:t>
      </w:r>
      <w:r w:rsidR="00972C36">
        <w:rPr>
          <w:bCs/>
          <w:lang w:bidi="cs-CZ"/>
        </w:rPr>
        <w:t>1</w:t>
      </w:r>
      <w:r w:rsidR="00972C36" w:rsidRPr="004020B7">
        <w:rPr>
          <w:bCs/>
          <w:lang w:bidi="cs-CZ"/>
        </w:rPr>
        <w:t>mm po sedle.</w:t>
      </w:r>
      <w:r w:rsidR="00972C36">
        <w:rPr>
          <w:bCs/>
          <w:lang w:bidi="cs-CZ"/>
        </w:rPr>
        <w:t xml:space="preserve"> Na zadním díle jsou </w:t>
      </w:r>
      <w:proofErr w:type="spellStart"/>
      <w:r w:rsidR="00972C36">
        <w:rPr>
          <w:bCs/>
          <w:lang w:bidi="cs-CZ"/>
        </w:rPr>
        <w:t>odšité</w:t>
      </w:r>
      <w:proofErr w:type="spellEnd"/>
      <w:r w:rsidR="00972C36">
        <w:rPr>
          <w:bCs/>
          <w:lang w:bidi="cs-CZ"/>
        </w:rPr>
        <w:t xml:space="preserve"> dva pasové záševky dlouhé 33,5 cm, přežehlené </w:t>
      </w:r>
      <w:r w:rsidR="00E417C5">
        <w:rPr>
          <w:bCs/>
          <w:lang w:bidi="cs-CZ"/>
        </w:rPr>
        <w:t>do středu zadního dílu</w:t>
      </w:r>
      <w:r w:rsidR="00972C36">
        <w:rPr>
          <w:bCs/>
          <w:lang w:bidi="cs-CZ"/>
        </w:rPr>
        <w:t>.</w:t>
      </w:r>
    </w:p>
    <w:p w:rsidR="00DB38F0" w:rsidRPr="00DB38F0" w:rsidRDefault="00DB38F0" w:rsidP="00DB38F0">
      <w:pPr>
        <w:spacing w:after="0" w:line="276" w:lineRule="auto"/>
        <w:jc w:val="both"/>
        <w:rPr>
          <w:lang w:bidi="cs-CZ"/>
        </w:rPr>
      </w:pP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  <w:r w:rsidRPr="00DB38F0">
        <w:rPr>
          <w:b/>
          <w:lang w:bidi="cs-CZ"/>
        </w:rPr>
        <w:t>Rukávy:</w:t>
      </w:r>
    </w:p>
    <w:p w:rsidR="00BB7E58" w:rsidRDefault="00BB7E58" w:rsidP="00DB38F0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Dlouhé, jednodílné hlavicové, v dolním kraji v zadní části rukávu je zhotovený </w:t>
      </w:r>
      <w:r w:rsidRPr="00DB38F0">
        <w:rPr>
          <w:lang w:bidi="cs-CZ"/>
        </w:rPr>
        <w:t xml:space="preserve">rukávový </w:t>
      </w:r>
      <w:proofErr w:type="spellStart"/>
      <w:r w:rsidRPr="00DB38F0">
        <w:rPr>
          <w:lang w:bidi="cs-CZ"/>
        </w:rPr>
        <w:t>nákrytový</w:t>
      </w:r>
      <w:proofErr w:type="spellEnd"/>
      <w:r w:rsidRPr="00DB38F0">
        <w:rPr>
          <w:lang w:bidi="cs-CZ"/>
        </w:rPr>
        <w:t xml:space="preserve"> košilový rozparek</w:t>
      </w:r>
      <w:r>
        <w:rPr>
          <w:lang w:bidi="cs-CZ"/>
        </w:rPr>
        <w:t xml:space="preserve"> dlouhý 120mm, na rukávech je v dolním kraji složeno po jedno</w:t>
      </w:r>
      <w:r w:rsidR="00A135AD">
        <w:rPr>
          <w:lang w:bidi="cs-CZ"/>
        </w:rPr>
        <w:t>u záhybu hluboké</w:t>
      </w:r>
      <w:r>
        <w:rPr>
          <w:lang w:bidi="cs-CZ"/>
        </w:rPr>
        <w:t xml:space="preserve">m 25mm směřujícím k rukávovým rozparkům. </w:t>
      </w:r>
      <w:r w:rsidR="00DB38F0" w:rsidRPr="00DB38F0">
        <w:rPr>
          <w:lang w:bidi="cs-CZ"/>
        </w:rPr>
        <w:t>Dol</w:t>
      </w:r>
      <w:r w:rsidR="00972C36">
        <w:rPr>
          <w:lang w:bidi="cs-CZ"/>
        </w:rPr>
        <w:t>ní kraje rukávu jsou zakončené manžetou</w:t>
      </w:r>
      <w:r w:rsidR="00785E1D">
        <w:rPr>
          <w:lang w:bidi="cs-CZ"/>
        </w:rPr>
        <w:t xml:space="preserve"> </w:t>
      </w:r>
      <w:r>
        <w:rPr>
          <w:lang w:bidi="cs-CZ"/>
        </w:rPr>
        <w:t>širokou</w:t>
      </w:r>
      <w:r w:rsidR="00A135AD">
        <w:rPr>
          <w:lang w:bidi="cs-CZ"/>
        </w:rPr>
        <w:t xml:space="preserve"> 43mm v rožcích tvarovanou do kulata. Manžety jsou prošité 1mm po obvodu, horní kraj vrchních manžet je pomocně prošitý za 6mm, manžety jsou všité</w:t>
      </w:r>
      <w:r w:rsidR="00A135AD" w:rsidRPr="00A135AD">
        <w:rPr>
          <w:lang w:bidi="cs-CZ"/>
        </w:rPr>
        <w:t xml:space="preserve"> </w:t>
      </w:r>
      <w:r w:rsidR="00A135AD">
        <w:rPr>
          <w:lang w:bidi="cs-CZ"/>
        </w:rPr>
        <w:t>do rukávu prošitím za 1mm.</w:t>
      </w:r>
      <w:r w:rsidR="007D6C7D">
        <w:rPr>
          <w:lang w:bidi="cs-CZ"/>
        </w:rPr>
        <w:t xml:space="preserve"> Na </w:t>
      </w:r>
      <w:r w:rsidR="0078171B">
        <w:rPr>
          <w:lang w:bidi="cs-CZ"/>
        </w:rPr>
        <w:t xml:space="preserve">vrchní části </w:t>
      </w:r>
      <w:r w:rsidR="007D6C7D">
        <w:rPr>
          <w:lang w:bidi="cs-CZ"/>
        </w:rPr>
        <w:t>manžet</w:t>
      </w:r>
      <w:r w:rsidR="0078171B">
        <w:rPr>
          <w:lang w:bidi="cs-CZ"/>
        </w:rPr>
        <w:t xml:space="preserve"> je středem 12mm od boční strany vyšito po jedné vodorovné prádlové knoflíkové dírce, proti které je na spodní části manžet přišito po jednom knoflíku.</w:t>
      </w:r>
    </w:p>
    <w:p w:rsidR="00DB38F0" w:rsidRPr="00DB38F0" w:rsidRDefault="00DB38F0" w:rsidP="00DB38F0">
      <w:pPr>
        <w:spacing w:after="0" w:line="276" w:lineRule="auto"/>
        <w:jc w:val="both"/>
        <w:rPr>
          <w:lang w:bidi="cs-CZ"/>
        </w:rPr>
      </w:pPr>
    </w:p>
    <w:p w:rsidR="00775615" w:rsidRDefault="00775615" w:rsidP="00DB38F0">
      <w:pPr>
        <w:spacing w:after="0" w:line="276" w:lineRule="auto"/>
        <w:jc w:val="both"/>
        <w:rPr>
          <w:b/>
          <w:lang w:bidi="cs-CZ"/>
        </w:rPr>
      </w:pPr>
    </w:p>
    <w:p w:rsidR="00775615" w:rsidRDefault="00775615" w:rsidP="00DB38F0">
      <w:pPr>
        <w:spacing w:after="0" w:line="276" w:lineRule="auto"/>
        <w:jc w:val="both"/>
        <w:rPr>
          <w:b/>
          <w:lang w:bidi="cs-CZ"/>
        </w:rPr>
      </w:pP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  <w:r w:rsidRPr="00DB38F0">
        <w:rPr>
          <w:b/>
          <w:lang w:bidi="cs-CZ"/>
        </w:rPr>
        <w:lastRenderedPageBreak/>
        <w:t>Límec:</w:t>
      </w:r>
    </w:p>
    <w:p w:rsidR="00DB38F0" w:rsidRDefault="00DB38F0" w:rsidP="00DB38F0">
      <w:pPr>
        <w:spacing w:after="0" w:line="276" w:lineRule="auto"/>
        <w:jc w:val="both"/>
        <w:rPr>
          <w:lang w:bidi="cs-CZ"/>
        </w:rPr>
      </w:pPr>
      <w:r w:rsidRPr="00DB38F0">
        <w:rPr>
          <w:lang w:bidi="cs-CZ"/>
        </w:rPr>
        <w:t xml:space="preserve">Košilový s odděleným stojáčkem, rožky </w:t>
      </w:r>
      <w:proofErr w:type="spellStart"/>
      <w:r w:rsidR="00A135AD">
        <w:rPr>
          <w:lang w:bidi="cs-CZ"/>
        </w:rPr>
        <w:t>převěsu</w:t>
      </w:r>
      <w:proofErr w:type="spellEnd"/>
      <w:r w:rsidR="00A135AD">
        <w:rPr>
          <w:lang w:bidi="cs-CZ"/>
        </w:rPr>
        <w:t xml:space="preserve"> </w:t>
      </w:r>
      <w:r w:rsidRPr="00DB38F0">
        <w:rPr>
          <w:lang w:bidi="cs-CZ"/>
        </w:rPr>
        <w:t xml:space="preserve">límce se skrytým zapínáním. </w:t>
      </w:r>
      <w:r w:rsidR="00A135AD">
        <w:rPr>
          <w:lang w:bidi="cs-CZ"/>
        </w:rPr>
        <w:t>S</w:t>
      </w:r>
      <w:r w:rsidR="00A135AD" w:rsidRPr="00DB38F0">
        <w:rPr>
          <w:lang w:bidi="cs-CZ"/>
        </w:rPr>
        <w:t>podní</w:t>
      </w:r>
      <w:r w:rsidR="00A135AD">
        <w:rPr>
          <w:lang w:bidi="cs-CZ"/>
        </w:rPr>
        <w:t xml:space="preserve"> převěs límce je v rožcích členěný, do členících švů</w:t>
      </w:r>
      <w:r w:rsidR="00A135AD" w:rsidRPr="00DB38F0">
        <w:rPr>
          <w:lang w:bidi="cs-CZ"/>
        </w:rPr>
        <w:t xml:space="preserve"> jsou</w:t>
      </w:r>
      <w:r w:rsidR="00A135AD">
        <w:rPr>
          <w:lang w:bidi="cs-CZ"/>
        </w:rPr>
        <w:t xml:space="preserve"> vložené</w:t>
      </w:r>
      <w:r w:rsidR="00A135AD" w:rsidRPr="00DB38F0">
        <w:rPr>
          <w:lang w:bidi="cs-CZ"/>
        </w:rPr>
        <w:t xml:space="preserve"> trojúhelníkové zápinky</w:t>
      </w:r>
      <w:r w:rsidR="00A135AD">
        <w:rPr>
          <w:lang w:bidi="cs-CZ"/>
        </w:rPr>
        <w:t xml:space="preserve"> </w:t>
      </w:r>
      <w:proofErr w:type="spellStart"/>
      <w:r w:rsidR="007D6C7D">
        <w:rPr>
          <w:lang w:bidi="cs-CZ"/>
        </w:rPr>
        <w:t>předšité</w:t>
      </w:r>
      <w:proofErr w:type="spellEnd"/>
      <w:r w:rsidR="007D6C7D">
        <w:rPr>
          <w:lang w:bidi="cs-CZ"/>
        </w:rPr>
        <w:t xml:space="preserve"> </w:t>
      </w:r>
      <w:r w:rsidR="00A135AD">
        <w:rPr>
          <w:lang w:bidi="cs-CZ"/>
        </w:rPr>
        <w:t>z vrchového materiálu</w:t>
      </w:r>
      <w:r w:rsidR="00A135AD" w:rsidRPr="00DB38F0">
        <w:rPr>
          <w:lang w:bidi="cs-CZ"/>
        </w:rPr>
        <w:t xml:space="preserve"> </w:t>
      </w:r>
      <w:r w:rsidR="007D6C7D">
        <w:rPr>
          <w:lang w:bidi="cs-CZ"/>
        </w:rPr>
        <w:t xml:space="preserve">(bez prošití) </w:t>
      </w:r>
      <w:r w:rsidR="00A135AD" w:rsidRPr="00DB38F0">
        <w:rPr>
          <w:lang w:bidi="cs-CZ"/>
        </w:rPr>
        <w:t>s</w:t>
      </w:r>
      <w:r w:rsidR="00B34900">
        <w:rPr>
          <w:lang w:bidi="cs-CZ"/>
        </w:rPr>
        <w:t> </w:t>
      </w:r>
      <w:r w:rsidR="00A135AD" w:rsidRPr="00DB38F0">
        <w:rPr>
          <w:lang w:bidi="cs-CZ"/>
        </w:rPr>
        <w:t>vyšitými</w:t>
      </w:r>
      <w:r w:rsidR="00B34900">
        <w:rPr>
          <w:lang w:bidi="cs-CZ"/>
        </w:rPr>
        <w:t xml:space="preserve"> prádlovými</w:t>
      </w:r>
      <w:r w:rsidR="00A135AD" w:rsidRPr="00DB38F0">
        <w:rPr>
          <w:lang w:bidi="cs-CZ"/>
        </w:rPr>
        <w:t xml:space="preserve"> dírkami, proti kterým je na předních dílech přišit</w:t>
      </w:r>
      <w:r w:rsidR="00A135AD">
        <w:rPr>
          <w:lang w:bidi="cs-CZ"/>
        </w:rPr>
        <w:t>o po jednom knoflíku</w:t>
      </w:r>
      <w:r w:rsidR="00A135AD" w:rsidRPr="00DB38F0">
        <w:rPr>
          <w:lang w:bidi="cs-CZ"/>
        </w:rPr>
        <w:t>.</w:t>
      </w:r>
      <w:r w:rsidR="007D6C7D" w:rsidRPr="007D6C7D">
        <w:rPr>
          <w:lang w:bidi="cs-CZ"/>
        </w:rPr>
        <w:t xml:space="preserve"> </w:t>
      </w:r>
      <w:r w:rsidR="003B03F1">
        <w:rPr>
          <w:lang w:bidi="cs-CZ"/>
        </w:rPr>
        <w:t>Převěs límce prošitý za 1mm z</w:t>
      </w:r>
      <w:r w:rsidR="007D6C7D">
        <w:rPr>
          <w:lang w:bidi="cs-CZ"/>
        </w:rPr>
        <w:t xml:space="preserve"> </w:t>
      </w:r>
      <w:r w:rsidR="007D6C7D" w:rsidRPr="00DB38F0">
        <w:rPr>
          <w:lang w:bidi="cs-CZ"/>
        </w:rPr>
        <w:t>3 stran,</w:t>
      </w:r>
      <w:r w:rsidR="007D6C7D">
        <w:rPr>
          <w:lang w:bidi="cs-CZ"/>
        </w:rPr>
        <w:t xml:space="preserve"> stoják límce je prošitý za 1mm, spodní strana vnitřního stojáku je podehnutá a pomocně prošitá za 6mm s vložením </w:t>
      </w:r>
      <w:r w:rsidR="007D6C7D" w:rsidRPr="00DB38F0">
        <w:rPr>
          <w:lang w:bidi="cs-CZ"/>
        </w:rPr>
        <w:t>tkané paspulky.</w:t>
      </w:r>
      <w:r w:rsidR="007D6C7D" w:rsidRPr="007D6C7D">
        <w:rPr>
          <w:lang w:bidi="cs-CZ"/>
        </w:rPr>
        <w:t xml:space="preserve"> </w:t>
      </w:r>
      <w:r w:rsidR="007D6C7D">
        <w:rPr>
          <w:lang w:bidi="cs-CZ"/>
        </w:rPr>
        <w:t>Zadní š</w:t>
      </w:r>
      <w:r w:rsidR="007D6C7D" w:rsidRPr="00DB38F0">
        <w:rPr>
          <w:lang w:bidi="cs-CZ"/>
        </w:rPr>
        <w:t xml:space="preserve">ířka stojáku 25mm, </w:t>
      </w:r>
      <w:r w:rsidR="007D6C7D">
        <w:rPr>
          <w:lang w:bidi="cs-CZ"/>
        </w:rPr>
        <w:t xml:space="preserve">zadní </w:t>
      </w:r>
      <w:r w:rsidR="007D6C7D" w:rsidRPr="00DB38F0">
        <w:rPr>
          <w:lang w:bidi="cs-CZ"/>
        </w:rPr>
        <w:t xml:space="preserve">šířka </w:t>
      </w:r>
      <w:proofErr w:type="spellStart"/>
      <w:r w:rsidR="007D6C7D" w:rsidRPr="00DB38F0">
        <w:rPr>
          <w:lang w:bidi="cs-CZ"/>
        </w:rPr>
        <w:t>převěsu</w:t>
      </w:r>
      <w:proofErr w:type="spellEnd"/>
      <w:r w:rsidR="007D6C7D" w:rsidRPr="00DB38F0">
        <w:rPr>
          <w:lang w:bidi="cs-CZ"/>
        </w:rPr>
        <w:t xml:space="preserve"> límce 36mm</w:t>
      </w:r>
      <w:r w:rsidR="007D6C7D">
        <w:rPr>
          <w:lang w:bidi="cs-CZ"/>
        </w:rPr>
        <w:t xml:space="preserve">, </w:t>
      </w:r>
      <w:r w:rsidR="007D6C7D" w:rsidRPr="00DB38F0">
        <w:rPr>
          <w:lang w:bidi="cs-CZ"/>
        </w:rPr>
        <w:t>délka rožku límce 44mm.</w:t>
      </w:r>
      <w:r w:rsidR="007D6C7D">
        <w:rPr>
          <w:lang w:bidi="cs-CZ"/>
        </w:rPr>
        <w:t xml:space="preserve"> Na pravé straně v předním kraji stojáku je vyšitá vodorovná prádlová knoflíková dírka, proti které je na levé straně přišitý knoflík.</w:t>
      </w:r>
    </w:p>
    <w:p w:rsidR="007D6C7D" w:rsidRPr="00DB38F0" w:rsidRDefault="007D6C7D" w:rsidP="00DB38F0">
      <w:pPr>
        <w:spacing w:after="0" w:line="276" w:lineRule="auto"/>
        <w:jc w:val="both"/>
        <w:rPr>
          <w:lang w:bidi="cs-CZ"/>
        </w:rPr>
      </w:pP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  <w:r w:rsidRPr="00DB38F0">
        <w:rPr>
          <w:b/>
          <w:lang w:bidi="cs-CZ"/>
        </w:rPr>
        <w:t>Dolní kraj:</w:t>
      </w:r>
    </w:p>
    <w:p w:rsidR="00DB38F0" w:rsidRPr="00DB38F0" w:rsidRDefault="00E02F33" w:rsidP="00DB38F0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</w:t>
      </w:r>
      <w:r w:rsidR="0078171B">
        <w:rPr>
          <w:lang w:bidi="cs-CZ"/>
        </w:rPr>
        <w:t>tředem předního a zadního dílu mírně prodloužený</w:t>
      </w:r>
      <w:r>
        <w:rPr>
          <w:lang w:bidi="cs-CZ"/>
        </w:rPr>
        <w:t xml:space="preserve"> (cca20mm)</w:t>
      </w:r>
      <w:r w:rsidR="0078171B">
        <w:rPr>
          <w:lang w:bidi="cs-CZ"/>
        </w:rPr>
        <w:t xml:space="preserve">, </w:t>
      </w:r>
      <w:r w:rsidR="00155F0E">
        <w:rPr>
          <w:lang w:bidi="cs-CZ"/>
        </w:rPr>
        <w:t>dvakrát</w:t>
      </w:r>
      <w:r w:rsidR="00DB38F0" w:rsidRPr="00DB38F0">
        <w:rPr>
          <w:lang w:bidi="cs-CZ"/>
        </w:rPr>
        <w:t xml:space="preserve"> podehnutý do rubní strany </w:t>
      </w:r>
      <w:r w:rsidR="00BC7214">
        <w:rPr>
          <w:lang w:bidi="cs-CZ"/>
        </w:rPr>
        <w:br/>
      </w:r>
      <w:r w:rsidR="00DB38F0" w:rsidRPr="00DB38F0">
        <w:rPr>
          <w:lang w:bidi="cs-CZ"/>
        </w:rPr>
        <w:t>a prošitý 6mm</w:t>
      </w:r>
      <w:r w:rsidR="0078171B">
        <w:rPr>
          <w:lang w:bidi="cs-CZ"/>
        </w:rPr>
        <w:t>.</w:t>
      </w: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</w:p>
    <w:p w:rsidR="00DB38F0" w:rsidRPr="00DB38F0" w:rsidRDefault="00DB38F0" w:rsidP="00DB38F0">
      <w:pPr>
        <w:spacing w:after="0" w:line="276" w:lineRule="auto"/>
        <w:jc w:val="both"/>
        <w:rPr>
          <w:b/>
          <w:lang w:bidi="cs-CZ"/>
        </w:rPr>
      </w:pPr>
      <w:r w:rsidRPr="00DB38F0">
        <w:rPr>
          <w:b/>
          <w:lang w:bidi="cs-CZ"/>
        </w:rPr>
        <w:t>Fixace:</w:t>
      </w:r>
    </w:p>
    <w:p w:rsidR="00F20565" w:rsidRPr="00DB38F0" w:rsidRDefault="00F20565" w:rsidP="00F20565">
      <w:pPr>
        <w:spacing w:after="0" w:line="276" w:lineRule="auto"/>
        <w:jc w:val="both"/>
        <w:rPr>
          <w:lang w:bidi="cs-CZ"/>
        </w:rPr>
      </w:pPr>
      <w:r>
        <w:rPr>
          <w:u w:val="single"/>
          <w:lang w:bidi="cs-CZ"/>
        </w:rPr>
        <w:t xml:space="preserve">tkaná </w:t>
      </w:r>
      <w:r w:rsidRPr="00DB38F0">
        <w:rPr>
          <w:u w:val="single"/>
          <w:lang w:bidi="cs-CZ"/>
        </w:rPr>
        <w:t>fixační košilová vložka o hmotnosti 145g/m</w:t>
      </w:r>
      <w:r w:rsidRPr="00DB38F0">
        <w:rPr>
          <w:u w:val="single"/>
          <w:vertAlign w:val="superscript"/>
          <w:lang w:bidi="cs-CZ"/>
        </w:rPr>
        <w:t>2</w:t>
      </w:r>
      <w:r w:rsidRPr="00DB38F0">
        <w:rPr>
          <w:u w:val="single"/>
          <w:lang w:bidi="cs-CZ"/>
        </w:rPr>
        <w:t>:</w:t>
      </w:r>
    </w:p>
    <w:p w:rsidR="00F20565" w:rsidRPr="00DB38F0" w:rsidRDefault="00F20565" w:rsidP="00F20565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DB38F0">
        <w:rPr>
          <w:lang w:bidi="cs-CZ"/>
        </w:rPr>
        <w:t>vnitřní stoják,</w:t>
      </w:r>
    </w:p>
    <w:p w:rsidR="00DB38F0" w:rsidRPr="00DB38F0" w:rsidRDefault="00DB38F0" w:rsidP="00DB38F0">
      <w:pPr>
        <w:spacing w:after="0" w:line="276" w:lineRule="auto"/>
        <w:jc w:val="both"/>
        <w:rPr>
          <w:u w:val="single"/>
          <w:lang w:bidi="cs-CZ"/>
        </w:rPr>
      </w:pPr>
      <w:r w:rsidRPr="00DB38F0">
        <w:rPr>
          <w:u w:val="single"/>
          <w:lang w:bidi="cs-CZ"/>
        </w:rPr>
        <w:t>tkaná fixační košilová vložka o hmotnosti 100g/m</w:t>
      </w:r>
      <w:r w:rsidRPr="00DB38F0">
        <w:rPr>
          <w:u w:val="single"/>
          <w:vertAlign w:val="superscript"/>
          <w:lang w:bidi="cs-CZ"/>
        </w:rPr>
        <w:t>2</w:t>
      </w:r>
      <w:r w:rsidRPr="00DB38F0">
        <w:rPr>
          <w:u w:val="single"/>
          <w:lang w:bidi="cs-CZ"/>
        </w:rPr>
        <w:t>:</w:t>
      </w:r>
    </w:p>
    <w:p w:rsidR="00DB38F0" w:rsidRPr="00DB38F0" w:rsidRDefault="0078171B" w:rsidP="00DB38F0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vrchní </w:t>
      </w:r>
      <w:r w:rsidR="00DB38F0" w:rsidRPr="00DB38F0">
        <w:rPr>
          <w:lang w:bidi="cs-CZ"/>
        </w:rPr>
        <w:t xml:space="preserve">převěs límce, </w:t>
      </w:r>
      <w:r>
        <w:rPr>
          <w:lang w:bidi="cs-CZ"/>
        </w:rPr>
        <w:t>vrchní manžety,</w:t>
      </w:r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E417C5" w:rsidRDefault="00507FF9" w:rsidP="00C12B0D">
      <w:pPr>
        <w:numPr>
          <w:ilvl w:val="1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507FF9">
        <w:rPr>
          <w:b/>
          <w:bCs/>
          <w:lang w:bidi="cs-CZ"/>
        </w:rPr>
        <w:t xml:space="preserve">Košile stejnokrojová dámská </w:t>
      </w:r>
      <w:r w:rsidR="00A64EA5">
        <w:rPr>
          <w:b/>
          <w:bCs/>
          <w:lang w:bidi="cs-CZ"/>
        </w:rPr>
        <w:t>krátký</w:t>
      </w:r>
      <w:r w:rsidRPr="00507FF9">
        <w:rPr>
          <w:b/>
          <w:bCs/>
          <w:lang w:bidi="cs-CZ"/>
        </w:rPr>
        <w:t xml:space="preserve"> rukáv</w:t>
      </w:r>
    </w:p>
    <w:p w:rsidR="00D92615" w:rsidRPr="00D92615" w:rsidRDefault="00D92615" w:rsidP="00D92615">
      <w:pPr>
        <w:spacing w:after="0" w:line="276" w:lineRule="auto"/>
        <w:jc w:val="both"/>
        <w:rPr>
          <w:b/>
          <w:bCs/>
          <w:lang w:bidi="cs-CZ"/>
        </w:rPr>
      </w:pPr>
    </w:p>
    <w:p w:rsidR="00E417C5" w:rsidRPr="00DB38F0" w:rsidRDefault="00E417C5" w:rsidP="00E417C5">
      <w:pPr>
        <w:spacing w:after="0" w:line="276" w:lineRule="auto"/>
        <w:jc w:val="both"/>
        <w:rPr>
          <w:b/>
          <w:lang w:bidi="cs-CZ"/>
        </w:rPr>
      </w:pPr>
      <w:r>
        <w:rPr>
          <w:lang w:bidi="cs-CZ"/>
        </w:rPr>
        <w:t>Klasické délky přiléhavé linie,</w:t>
      </w:r>
      <w:r w:rsidRPr="00DB38F0">
        <w:rPr>
          <w:lang w:bidi="cs-CZ"/>
        </w:rPr>
        <w:t xml:space="preserve"> zapínaná</w:t>
      </w:r>
      <w:r>
        <w:rPr>
          <w:lang w:bidi="cs-CZ"/>
        </w:rPr>
        <w:t xml:space="preserve"> ke krku</w:t>
      </w:r>
      <w:r w:rsidRPr="00DB38F0">
        <w:rPr>
          <w:lang w:bidi="cs-CZ"/>
        </w:rPr>
        <w:t xml:space="preserve"> v předním kraji na 6 knoflíků </w:t>
      </w:r>
      <w:r>
        <w:rPr>
          <w:lang w:bidi="cs-CZ"/>
        </w:rPr>
        <w:t>+</w:t>
      </w:r>
      <w:r w:rsidRPr="00DB38F0">
        <w:rPr>
          <w:lang w:bidi="cs-CZ"/>
        </w:rPr>
        <w:t xml:space="preserve"> 1 na stojáčku. Přední díly s  prsními záševky, </w:t>
      </w:r>
      <w:r>
        <w:rPr>
          <w:lang w:bidi="cs-CZ"/>
        </w:rPr>
        <w:t>levý</w:t>
      </w:r>
      <w:r w:rsidRPr="00DB38F0">
        <w:rPr>
          <w:lang w:bidi="cs-CZ"/>
        </w:rPr>
        <w:t xml:space="preserve"> přední</w:t>
      </w:r>
      <w:r>
        <w:rPr>
          <w:lang w:bidi="cs-CZ"/>
        </w:rPr>
        <w:t xml:space="preserve"> díl</w:t>
      </w:r>
      <w:r w:rsidRPr="00DB38F0">
        <w:rPr>
          <w:lang w:bidi="cs-CZ"/>
        </w:rPr>
        <w:t xml:space="preserve"> </w:t>
      </w:r>
      <w:r>
        <w:rPr>
          <w:lang w:bidi="cs-CZ"/>
        </w:rPr>
        <w:t xml:space="preserve">s výšivkou, pravý přední díl s oddělenou </w:t>
      </w:r>
      <w:proofErr w:type="spellStart"/>
      <w:r>
        <w:rPr>
          <w:lang w:bidi="cs-CZ"/>
        </w:rPr>
        <w:t>předšitou</w:t>
      </w:r>
      <w:proofErr w:type="spellEnd"/>
      <w:r>
        <w:rPr>
          <w:lang w:bidi="cs-CZ"/>
        </w:rPr>
        <w:t xml:space="preserve"> légou.</w:t>
      </w:r>
      <w:r w:rsidRPr="00DB38F0">
        <w:rPr>
          <w:lang w:bidi="cs-CZ"/>
        </w:rPr>
        <w:t xml:space="preserve"> Zad</w:t>
      </w:r>
      <w:r>
        <w:rPr>
          <w:lang w:bidi="cs-CZ"/>
        </w:rPr>
        <w:t xml:space="preserve">ní díl členěný dvojitým sedlem a </w:t>
      </w:r>
      <w:proofErr w:type="spellStart"/>
      <w:r>
        <w:rPr>
          <w:lang w:bidi="cs-CZ"/>
        </w:rPr>
        <w:t>projmutý</w:t>
      </w:r>
      <w:proofErr w:type="spellEnd"/>
      <w:r>
        <w:rPr>
          <w:lang w:bidi="cs-CZ"/>
        </w:rPr>
        <w:t xml:space="preserve"> pasovými</w:t>
      </w:r>
      <w:r w:rsidRPr="00DB38F0">
        <w:rPr>
          <w:lang w:bidi="cs-CZ"/>
        </w:rPr>
        <w:t xml:space="preserve"> záševk</w:t>
      </w:r>
      <w:r>
        <w:rPr>
          <w:lang w:bidi="cs-CZ"/>
        </w:rPr>
        <w:t>y,</w:t>
      </w:r>
      <w:r w:rsidRPr="00DB38F0">
        <w:rPr>
          <w:lang w:bidi="cs-CZ"/>
        </w:rPr>
        <w:t xml:space="preserve"> do švu </w:t>
      </w:r>
      <w:r>
        <w:rPr>
          <w:lang w:bidi="cs-CZ"/>
        </w:rPr>
        <w:t xml:space="preserve">sedla </w:t>
      </w:r>
      <w:r w:rsidR="00267B3E">
        <w:rPr>
          <w:lang w:bidi="cs-CZ"/>
        </w:rPr>
        <w:t xml:space="preserve">z lícní strany </w:t>
      </w:r>
      <w:r w:rsidRPr="00DB38F0">
        <w:rPr>
          <w:lang w:bidi="cs-CZ"/>
        </w:rPr>
        <w:t xml:space="preserve">všitá tkaná </w:t>
      </w:r>
      <w:r>
        <w:rPr>
          <w:lang w:bidi="cs-CZ"/>
        </w:rPr>
        <w:t>paspule</w:t>
      </w:r>
      <w:r w:rsidRPr="00DB38F0">
        <w:rPr>
          <w:lang w:bidi="cs-CZ"/>
        </w:rPr>
        <w:t>.</w:t>
      </w:r>
      <w:r w:rsidR="00D92615" w:rsidRPr="00D92615">
        <w:rPr>
          <w:bCs/>
          <w:lang w:bidi="cs-CZ"/>
        </w:rPr>
        <w:t xml:space="preserve"> </w:t>
      </w:r>
      <w:r w:rsidR="0033236C">
        <w:rPr>
          <w:bCs/>
          <w:lang w:bidi="cs-CZ"/>
        </w:rPr>
        <w:t xml:space="preserve">Rukávy krátké jednodílné hlavicové </w:t>
      </w:r>
      <w:r w:rsidR="00D92615" w:rsidRPr="00507FF9">
        <w:rPr>
          <w:bCs/>
          <w:lang w:bidi="cs-CZ"/>
        </w:rPr>
        <w:t>v dolním kraji ukončené „</w:t>
      </w:r>
      <w:proofErr w:type="spellStart"/>
      <w:r w:rsidR="00D92615" w:rsidRPr="00507FF9">
        <w:rPr>
          <w:bCs/>
          <w:lang w:bidi="cs-CZ"/>
        </w:rPr>
        <w:t>clatto</w:t>
      </w:r>
      <w:proofErr w:type="spellEnd"/>
      <w:r w:rsidR="00D92615" w:rsidRPr="00507FF9">
        <w:rPr>
          <w:bCs/>
          <w:lang w:bidi="cs-CZ"/>
        </w:rPr>
        <w:t>“ záložkou.</w:t>
      </w:r>
      <w:r w:rsidR="00D92615">
        <w:rPr>
          <w:bCs/>
          <w:lang w:bidi="cs-CZ"/>
        </w:rPr>
        <w:t xml:space="preserve"> </w:t>
      </w:r>
      <w:r w:rsidRPr="00DB38F0">
        <w:rPr>
          <w:lang w:bidi="cs-CZ"/>
        </w:rPr>
        <w:t>Límec</w:t>
      </w:r>
      <w:r>
        <w:rPr>
          <w:lang w:bidi="cs-CZ"/>
        </w:rPr>
        <w:t xml:space="preserve"> košilový s odděleným stojáčkem, rožky </w:t>
      </w:r>
      <w:proofErr w:type="spellStart"/>
      <w:r>
        <w:rPr>
          <w:lang w:bidi="cs-CZ"/>
        </w:rPr>
        <w:t>převěsu</w:t>
      </w:r>
      <w:proofErr w:type="spellEnd"/>
      <w:r>
        <w:rPr>
          <w:lang w:bidi="cs-CZ"/>
        </w:rPr>
        <w:t xml:space="preserve"> límce se skrytým zapínáním.</w:t>
      </w:r>
    </w:p>
    <w:p w:rsidR="00507FF9" w:rsidRDefault="00507FF9" w:rsidP="00C12B0D">
      <w:pPr>
        <w:spacing w:after="0" w:line="276" w:lineRule="auto"/>
        <w:jc w:val="both"/>
        <w:rPr>
          <w:b/>
          <w:bCs/>
          <w:lang w:bidi="cs-CZ"/>
        </w:rPr>
      </w:pPr>
    </w:p>
    <w:p w:rsidR="00FD3521" w:rsidRPr="003F04BA" w:rsidRDefault="003F04BA" w:rsidP="00C12B0D">
      <w:pPr>
        <w:spacing w:after="0" w:line="276" w:lineRule="auto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Přední díly:</w:t>
      </w:r>
    </w:p>
    <w:p w:rsidR="00FD3521" w:rsidRPr="003F04BA" w:rsidRDefault="00FD3521" w:rsidP="00C12B0D">
      <w:pPr>
        <w:spacing w:after="0" w:line="276" w:lineRule="auto"/>
        <w:jc w:val="both"/>
        <w:rPr>
          <w:lang w:bidi="cs-CZ"/>
        </w:rPr>
      </w:pPr>
      <w:r>
        <w:rPr>
          <w:bCs/>
          <w:lang w:bidi="cs-CZ"/>
        </w:rPr>
        <w:t>Tvarované</w:t>
      </w:r>
      <w:r w:rsidRPr="004020B7">
        <w:rPr>
          <w:bCs/>
          <w:lang w:bidi="cs-CZ"/>
        </w:rPr>
        <w:t xml:space="preserve"> prsními záševk</w:t>
      </w:r>
      <w:r>
        <w:rPr>
          <w:bCs/>
          <w:lang w:bidi="cs-CZ"/>
        </w:rPr>
        <w:t>y vedenými</w:t>
      </w:r>
      <w:r w:rsidRPr="004020B7">
        <w:rPr>
          <w:bCs/>
          <w:lang w:bidi="cs-CZ"/>
        </w:rPr>
        <w:t xml:space="preserve"> z bočního švu</w:t>
      </w:r>
      <w:r>
        <w:rPr>
          <w:bCs/>
          <w:lang w:bidi="cs-CZ"/>
        </w:rPr>
        <w:t xml:space="preserve"> k prsním hrotům,</w:t>
      </w:r>
      <w:r w:rsidRPr="004020B7">
        <w:rPr>
          <w:bCs/>
          <w:lang w:bidi="cs-CZ"/>
        </w:rPr>
        <w:t xml:space="preserve"> </w:t>
      </w:r>
      <w:r>
        <w:rPr>
          <w:bCs/>
          <w:lang w:bidi="cs-CZ"/>
        </w:rPr>
        <w:t>dlouhé 12</w:t>
      </w:r>
      <w:r w:rsidRPr="004020B7">
        <w:rPr>
          <w:bCs/>
          <w:lang w:bidi="cs-CZ"/>
        </w:rPr>
        <w:t xml:space="preserve">5mm, umístěné cca </w:t>
      </w:r>
      <w:r>
        <w:rPr>
          <w:bCs/>
          <w:lang w:bidi="cs-CZ"/>
        </w:rPr>
        <w:t>80</w:t>
      </w:r>
      <w:r w:rsidRPr="004020B7">
        <w:rPr>
          <w:bCs/>
          <w:lang w:bidi="cs-CZ"/>
        </w:rPr>
        <w:t xml:space="preserve">mm </w:t>
      </w:r>
      <w:r>
        <w:rPr>
          <w:bCs/>
          <w:lang w:bidi="cs-CZ"/>
        </w:rPr>
        <w:t>pod</w:t>
      </w:r>
      <w:r w:rsidRPr="004020B7">
        <w:rPr>
          <w:bCs/>
          <w:lang w:bidi="cs-CZ"/>
        </w:rPr>
        <w:t xml:space="preserve"> průramk</w:t>
      </w:r>
      <w:r>
        <w:rPr>
          <w:bCs/>
          <w:lang w:bidi="cs-CZ"/>
        </w:rPr>
        <w:t>em</w:t>
      </w:r>
      <w:r w:rsidRPr="004020B7">
        <w:rPr>
          <w:bCs/>
          <w:lang w:bidi="cs-CZ"/>
        </w:rPr>
        <w:t>.</w:t>
      </w:r>
      <w:r>
        <w:rPr>
          <w:bCs/>
          <w:lang w:bidi="cs-CZ"/>
        </w:rPr>
        <w:t xml:space="preserve"> </w:t>
      </w:r>
      <w:r w:rsidR="003F04BA">
        <w:rPr>
          <w:bCs/>
          <w:lang w:bidi="cs-CZ"/>
        </w:rPr>
        <w:t>Pravý přední kraj</w:t>
      </w:r>
      <w:r>
        <w:rPr>
          <w:bCs/>
          <w:lang w:bidi="cs-CZ"/>
        </w:rPr>
        <w:t xml:space="preserve"> s oddělenou légou </w:t>
      </w:r>
      <w:r w:rsidR="003F04BA">
        <w:rPr>
          <w:bCs/>
          <w:lang w:bidi="cs-CZ"/>
        </w:rPr>
        <w:t xml:space="preserve">šíře 26mm, </w:t>
      </w:r>
      <w:proofErr w:type="spellStart"/>
      <w:r>
        <w:rPr>
          <w:bCs/>
          <w:lang w:bidi="cs-CZ"/>
        </w:rPr>
        <w:t>předšitou</w:t>
      </w:r>
      <w:proofErr w:type="spellEnd"/>
      <w:r>
        <w:rPr>
          <w:bCs/>
          <w:lang w:bidi="cs-CZ"/>
        </w:rPr>
        <w:t xml:space="preserve"> do lícní strany</w:t>
      </w:r>
      <w:r w:rsidR="003F04BA">
        <w:rPr>
          <w:bCs/>
          <w:lang w:bidi="cs-CZ"/>
        </w:rPr>
        <w:t xml:space="preserve"> a prošitou za 1mm ze dvou stran.</w:t>
      </w:r>
      <w:r>
        <w:rPr>
          <w:bCs/>
          <w:lang w:bidi="cs-CZ"/>
        </w:rPr>
        <w:t xml:space="preserve"> </w:t>
      </w:r>
      <w:r>
        <w:rPr>
          <w:lang w:bidi="cs-CZ"/>
        </w:rPr>
        <w:t>Levý přední kraj</w:t>
      </w:r>
      <w:r w:rsidRPr="00DB38F0">
        <w:rPr>
          <w:lang w:bidi="cs-CZ"/>
        </w:rPr>
        <w:t xml:space="preserve"> j</w:t>
      </w:r>
      <w:r>
        <w:rPr>
          <w:lang w:bidi="cs-CZ"/>
        </w:rPr>
        <w:t>e</w:t>
      </w:r>
      <w:r w:rsidRPr="00DB38F0">
        <w:rPr>
          <w:lang w:bidi="cs-CZ"/>
        </w:rPr>
        <w:t xml:space="preserve"> 2x podehnut</w:t>
      </w:r>
      <w:r>
        <w:rPr>
          <w:lang w:bidi="cs-CZ"/>
        </w:rPr>
        <w:t>ý</w:t>
      </w:r>
      <w:r w:rsidRPr="00DB38F0">
        <w:rPr>
          <w:lang w:bidi="cs-CZ"/>
        </w:rPr>
        <w:t xml:space="preserve"> do rubní strany</w:t>
      </w:r>
      <w:r>
        <w:rPr>
          <w:lang w:bidi="cs-CZ"/>
        </w:rPr>
        <w:t xml:space="preserve"> v šíři </w:t>
      </w:r>
      <w:r w:rsidRPr="00DB38F0">
        <w:rPr>
          <w:lang w:bidi="cs-CZ"/>
        </w:rPr>
        <w:t>25mm</w:t>
      </w:r>
      <w:r w:rsidR="003F04BA">
        <w:rPr>
          <w:lang w:bidi="cs-CZ"/>
        </w:rPr>
        <w:t xml:space="preserve"> a prošitý za 24mm od kraje</w:t>
      </w:r>
      <w:r w:rsidRPr="00DB38F0">
        <w:rPr>
          <w:lang w:bidi="cs-CZ"/>
        </w:rPr>
        <w:t xml:space="preserve">. </w:t>
      </w:r>
      <w:r>
        <w:rPr>
          <w:lang w:bidi="cs-CZ"/>
        </w:rPr>
        <w:t xml:space="preserve">Na pravém předním díle </w:t>
      </w:r>
      <w:r w:rsidRPr="00DB38F0">
        <w:rPr>
          <w:lang w:bidi="cs-CZ"/>
        </w:rPr>
        <w:t>ve vzdálenosti 13mm od předního kraje</w:t>
      </w:r>
      <w:r>
        <w:rPr>
          <w:lang w:bidi="cs-CZ"/>
        </w:rPr>
        <w:t xml:space="preserve"> je vyšito 6 svisle umístěných prádlových knoflíkových dírek</w:t>
      </w:r>
      <w:r w:rsidRPr="00DB38F0">
        <w:rPr>
          <w:lang w:bidi="cs-CZ"/>
        </w:rPr>
        <w:t xml:space="preserve">. První dírka je vyšita 45mm od </w:t>
      </w:r>
      <w:proofErr w:type="spellStart"/>
      <w:r w:rsidRPr="00DB38F0">
        <w:rPr>
          <w:lang w:bidi="cs-CZ"/>
        </w:rPr>
        <w:t>průkrčníkového</w:t>
      </w:r>
      <w:proofErr w:type="spellEnd"/>
      <w:r w:rsidRPr="00DB38F0">
        <w:rPr>
          <w:lang w:bidi="cs-CZ"/>
        </w:rPr>
        <w:t xml:space="preserve"> švu, ostatní dírky s intervalem 87mm (měřeno na střed dírky). Na levém předním díle jsou proti dírkám přišité knoflíky. V horní části levého předního dílu je výšivka SŽDC (střed výšivky </w:t>
      </w:r>
      <w:r>
        <w:rPr>
          <w:lang w:bidi="cs-CZ"/>
        </w:rPr>
        <w:t xml:space="preserve">umístěný </w:t>
      </w:r>
      <w:r w:rsidRPr="00DB38F0">
        <w:rPr>
          <w:lang w:bidi="cs-CZ"/>
        </w:rPr>
        <w:t xml:space="preserve">- 185mm od špičky </w:t>
      </w:r>
      <w:r>
        <w:rPr>
          <w:lang w:bidi="cs-CZ"/>
        </w:rPr>
        <w:t>průkrčníku a 95</w:t>
      </w:r>
      <w:r w:rsidRPr="00DB38F0">
        <w:rPr>
          <w:lang w:bidi="cs-CZ"/>
        </w:rPr>
        <w:t>mm od předního kraje</w:t>
      </w:r>
      <w:r w:rsidR="00BC7214">
        <w:rPr>
          <w:lang w:bidi="cs-CZ"/>
        </w:rPr>
        <w:t>, výška loga 18mm</w:t>
      </w:r>
      <w:r w:rsidRPr="00DB38F0">
        <w:rPr>
          <w:lang w:bidi="cs-CZ"/>
        </w:rPr>
        <w:t>).</w:t>
      </w:r>
    </w:p>
    <w:p w:rsidR="006E2D07" w:rsidRDefault="006E2D07" w:rsidP="00C12B0D">
      <w:pPr>
        <w:spacing w:after="0" w:line="276" w:lineRule="auto"/>
        <w:jc w:val="both"/>
        <w:rPr>
          <w:b/>
          <w:bCs/>
          <w:lang w:bidi="cs-CZ"/>
        </w:rPr>
      </w:pPr>
    </w:p>
    <w:p w:rsidR="00C12B0D" w:rsidRPr="00507FF9" w:rsidRDefault="00C12B0D" w:rsidP="00C12B0D">
      <w:pPr>
        <w:spacing w:after="0" w:line="276" w:lineRule="auto"/>
        <w:jc w:val="both"/>
        <w:rPr>
          <w:b/>
          <w:bCs/>
          <w:lang w:bidi="cs-CZ"/>
        </w:rPr>
      </w:pPr>
      <w:r w:rsidRPr="00507FF9">
        <w:rPr>
          <w:b/>
          <w:bCs/>
          <w:lang w:bidi="cs-CZ"/>
        </w:rPr>
        <w:t>Zadní díl:</w:t>
      </w:r>
    </w:p>
    <w:p w:rsidR="003F04BA" w:rsidRPr="00972C36" w:rsidRDefault="003F04BA" w:rsidP="003F04BA">
      <w:pPr>
        <w:spacing w:after="0" w:line="276" w:lineRule="auto"/>
        <w:jc w:val="both"/>
        <w:rPr>
          <w:bCs/>
          <w:lang w:bidi="cs-CZ"/>
        </w:rPr>
      </w:pPr>
      <w:r w:rsidRPr="00DB38F0">
        <w:rPr>
          <w:lang w:bidi="cs-CZ"/>
        </w:rPr>
        <w:t xml:space="preserve">V horní části </w:t>
      </w:r>
      <w:r>
        <w:rPr>
          <w:bCs/>
          <w:lang w:bidi="cs-CZ"/>
        </w:rPr>
        <w:t xml:space="preserve">všitý do dvojitého sedla vysokého 75mm (měřeno středem), v členícím </w:t>
      </w:r>
      <w:r w:rsidRPr="004020B7">
        <w:rPr>
          <w:bCs/>
          <w:lang w:bidi="cs-CZ"/>
        </w:rPr>
        <w:t xml:space="preserve">švu </w:t>
      </w:r>
      <w:r>
        <w:rPr>
          <w:bCs/>
          <w:lang w:bidi="cs-CZ"/>
        </w:rPr>
        <w:t>je</w:t>
      </w:r>
      <w:r w:rsidRPr="004020B7">
        <w:rPr>
          <w:bCs/>
          <w:lang w:bidi="cs-CZ"/>
        </w:rPr>
        <w:t> </w:t>
      </w:r>
      <w:r>
        <w:rPr>
          <w:bCs/>
          <w:lang w:bidi="cs-CZ"/>
        </w:rPr>
        <w:t xml:space="preserve">z lícní strany </w:t>
      </w:r>
      <w:r w:rsidRPr="004020B7">
        <w:rPr>
          <w:bCs/>
          <w:lang w:bidi="cs-CZ"/>
        </w:rPr>
        <w:t>všit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tkan</w:t>
      </w:r>
      <w:r>
        <w:rPr>
          <w:bCs/>
          <w:lang w:bidi="cs-CZ"/>
        </w:rPr>
        <w:t>á</w:t>
      </w:r>
      <w:r w:rsidRPr="004020B7">
        <w:rPr>
          <w:bCs/>
          <w:lang w:bidi="cs-CZ"/>
        </w:rPr>
        <w:t xml:space="preserve"> paspulk</w:t>
      </w:r>
      <w:r>
        <w:rPr>
          <w:bCs/>
          <w:lang w:bidi="cs-CZ"/>
        </w:rPr>
        <w:t>a</w:t>
      </w:r>
      <w:r w:rsidRPr="004020B7">
        <w:rPr>
          <w:bCs/>
          <w:lang w:bidi="cs-CZ"/>
        </w:rPr>
        <w:t xml:space="preserve">, </w:t>
      </w:r>
      <w:r>
        <w:rPr>
          <w:bCs/>
          <w:lang w:bidi="cs-CZ"/>
        </w:rPr>
        <w:t>členící šev prošitý 1mm po sedle</w:t>
      </w:r>
      <w:r w:rsidRPr="004020B7">
        <w:rPr>
          <w:bCs/>
          <w:lang w:bidi="cs-CZ"/>
        </w:rPr>
        <w:t>.</w:t>
      </w:r>
      <w:r>
        <w:rPr>
          <w:bCs/>
          <w:lang w:bidi="cs-CZ"/>
        </w:rPr>
        <w:t xml:space="preserve"> </w:t>
      </w:r>
      <w:proofErr w:type="spellStart"/>
      <w:r w:rsidRPr="004020B7">
        <w:rPr>
          <w:bCs/>
          <w:lang w:bidi="cs-CZ"/>
        </w:rPr>
        <w:t>Náramenic</w:t>
      </w:r>
      <w:r>
        <w:rPr>
          <w:bCs/>
          <w:lang w:bidi="cs-CZ"/>
        </w:rPr>
        <w:t>ové</w:t>
      </w:r>
      <w:proofErr w:type="spellEnd"/>
      <w:r>
        <w:rPr>
          <w:bCs/>
          <w:lang w:bidi="cs-CZ"/>
        </w:rPr>
        <w:t xml:space="preserve"> švy jsou</w:t>
      </w:r>
      <w:r w:rsidRPr="004020B7">
        <w:rPr>
          <w:bCs/>
          <w:lang w:bidi="cs-CZ"/>
        </w:rPr>
        <w:t xml:space="preserve"> prošité </w:t>
      </w:r>
      <w:r>
        <w:rPr>
          <w:bCs/>
          <w:lang w:bidi="cs-CZ"/>
        </w:rPr>
        <w:t>1</w:t>
      </w:r>
      <w:r w:rsidRPr="004020B7">
        <w:rPr>
          <w:bCs/>
          <w:lang w:bidi="cs-CZ"/>
        </w:rPr>
        <w:t>mm po sedle.</w:t>
      </w:r>
      <w:r>
        <w:rPr>
          <w:bCs/>
          <w:lang w:bidi="cs-CZ"/>
        </w:rPr>
        <w:t xml:space="preserve"> Na zadním díle jsou </w:t>
      </w:r>
      <w:proofErr w:type="spellStart"/>
      <w:r>
        <w:rPr>
          <w:bCs/>
          <w:lang w:bidi="cs-CZ"/>
        </w:rPr>
        <w:t>odšité</w:t>
      </w:r>
      <w:proofErr w:type="spellEnd"/>
      <w:r>
        <w:rPr>
          <w:bCs/>
          <w:lang w:bidi="cs-CZ"/>
        </w:rPr>
        <w:t xml:space="preserve"> dva pasové záševky dlouhé 33,5 cm, přežehlené do středu zadního dílu.</w:t>
      </w:r>
    </w:p>
    <w:p w:rsidR="00594F2F" w:rsidRDefault="00594F2F" w:rsidP="00C12B0D">
      <w:pPr>
        <w:spacing w:after="0" w:line="276" w:lineRule="auto"/>
        <w:jc w:val="both"/>
        <w:rPr>
          <w:b/>
          <w:bCs/>
          <w:lang w:bidi="cs-CZ"/>
        </w:rPr>
      </w:pPr>
    </w:p>
    <w:p w:rsidR="003F04BA" w:rsidRPr="003F04BA" w:rsidRDefault="003F04BA" w:rsidP="00C12B0D">
      <w:pPr>
        <w:spacing w:after="0" w:line="276" w:lineRule="auto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Rukávy:</w:t>
      </w:r>
    </w:p>
    <w:p w:rsidR="003F04BA" w:rsidRDefault="003F04BA" w:rsidP="003F04BA">
      <w:pPr>
        <w:spacing w:after="0" w:line="276" w:lineRule="auto"/>
        <w:jc w:val="both"/>
        <w:rPr>
          <w:bCs/>
          <w:lang w:bidi="cs-CZ"/>
        </w:rPr>
      </w:pPr>
      <w:r w:rsidRPr="004020B7">
        <w:rPr>
          <w:bCs/>
          <w:lang w:bidi="cs-CZ"/>
        </w:rPr>
        <w:t>Krátké, jednodílné hlavicové.</w:t>
      </w:r>
      <w:r>
        <w:rPr>
          <w:bCs/>
          <w:lang w:bidi="cs-CZ"/>
        </w:rPr>
        <w:t xml:space="preserve"> Dolní kraj</w:t>
      </w:r>
      <w:r w:rsidRPr="004020B7">
        <w:rPr>
          <w:bCs/>
          <w:lang w:bidi="cs-CZ"/>
        </w:rPr>
        <w:t xml:space="preserve"> rukávů zakončen</w:t>
      </w:r>
      <w:r>
        <w:rPr>
          <w:bCs/>
          <w:lang w:bidi="cs-CZ"/>
        </w:rPr>
        <w:t>ý</w:t>
      </w:r>
      <w:r w:rsidRPr="004020B7">
        <w:rPr>
          <w:bCs/>
          <w:lang w:bidi="cs-CZ"/>
        </w:rPr>
        <w:t xml:space="preserve"> „</w:t>
      </w:r>
      <w:proofErr w:type="spellStart"/>
      <w:r w:rsidRPr="004020B7">
        <w:rPr>
          <w:bCs/>
          <w:lang w:bidi="cs-CZ"/>
        </w:rPr>
        <w:t>clatto</w:t>
      </w:r>
      <w:proofErr w:type="spellEnd"/>
      <w:r w:rsidRPr="004020B7">
        <w:rPr>
          <w:bCs/>
          <w:lang w:bidi="cs-CZ"/>
        </w:rPr>
        <w:t>“ záložkou</w:t>
      </w:r>
      <w:r>
        <w:rPr>
          <w:bCs/>
          <w:lang w:bidi="cs-CZ"/>
        </w:rPr>
        <w:t>, výška</w:t>
      </w:r>
      <w:r w:rsidRPr="004020B7">
        <w:rPr>
          <w:bCs/>
          <w:lang w:bidi="cs-CZ"/>
        </w:rPr>
        <w:t xml:space="preserve"> záložk</w:t>
      </w:r>
      <w:r>
        <w:rPr>
          <w:bCs/>
          <w:lang w:bidi="cs-CZ"/>
        </w:rPr>
        <w:t>y 25</w:t>
      </w:r>
      <w:r w:rsidRPr="004020B7">
        <w:rPr>
          <w:bCs/>
          <w:lang w:bidi="cs-CZ"/>
        </w:rPr>
        <w:t xml:space="preserve">mm, </w:t>
      </w:r>
      <w:r>
        <w:rPr>
          <w:bCs/>
          <w:lang w:bidi="cs-CZ"/>
        </w:rPr>
        <w:t>záložky p</w:t>
      </w:r>
      <w:r w:rsidRPr="004020B7">
        <w:rPr>
          <w:bCs/>
          <w:lang w:bidi="cs-CZ"/>
        </w:rPr>
        <w:t>odehnut</w:t>
      </w:r>
      <w:r>
        <w:rPr>
          <w:bCs/>
          <w:lang w:bidi="cs-CZ"/>
        </w:rPr>
        <w:t>é</w:t>
      </w:r>
      <w:r w:rsidRPr="004020B7">
        <w:rPr>
          <w:bCs/>
          <w:lang w:bidi="cs-CZ"/>
        </w:rPr>
        <w:t xml:space="preserve"> do rubní strany a </w:t>
      </w:r>
      <w:proofErr w:type="spellStart"/>
      <w:r w:rsidRPr="004020B7">
        <w:rPr>
          <w:bCs/>
          <w:lang w:bidi="cs-CZ"/>
        </w:rPr>
        <w:t>odšit</w:t>
      </w:r>
      <w:r>
        <w:rPr>
          <w:bCs/>
          <w:lang w:bidi="cs-CZ"/>
        </w:rPr>
        <w:t>é</w:t>
      </w:r>
      <w:proofErr w:type="spellEnd"/>
      <w:r w:rsidRPr="004020B7">
        <w:rPr>
          <w:bCs/>
          <w:lang w:bidi="cs-CZ"/>
        </w:rPr>
        <w:t xml:space="preserve"> do sámku</w:t>
      </w:r>
      <w:r>
        <w:rPr>
          <w:bCs/>
          <w:lang w:bidi="cs-CZ"/>
        </w:rPr>
        <w:t xml:space="preserve"> hlubokého 5mm.</w:t>
      </w:r>
    </w:p>
    <w:p w:rsidR="00C12B0D" w:rsidRPr="00507FF9" w:rsidRDefault="00C12B0D" w:rsidP="00C12B0D">
      <w:pPr>
        <w:spacing w:after="0" w:line="276" w:lineRule="auto"/>
        <w:jc w:val="both"/>
        <w:rPr>
          <w:b/>
          <w:bCs/>
          <w:lang w:bidi="cs-CZ"/>
        </w:rPr>
      </w:pPr>
      <w:r w:rsidRPr="00507FF9">
        <w:rPr>
          <w:b/>
          <w:bCs/>
          <w:lang w:bidi="cs-CZ"/>
        </w:rPr>
        <w:lastRenderedPageBreak/>
        <w:t>Límec:</w:t>
      </w:r>
    </w:p>
    <w:p w:rsidR="003F04BA" w:rsidRDefault="003F04BA" w:rsidP="003F04BA">
      <w:pPr>
        <w:spacing w:after="0" w:line="276" w:lineRule="auto"/>
        <w:jc w:val="both"/>
        <w:rPr>
          <w:lang w:bidi="cs-CZ"/>
        </w:rPr>
      </w:pPr>
      <w:r w:rsidRPr="00DB38F0">
        <w:rPr>
          <w:lang w:bidi="cs-CZ"/>
        </w:rPr>
        <w:t xml:space="preserve">Košilový s odděleným stojáčkem, rožky </w:t>
      </w:r>
      <w:proofErr w:type="spellStart"/>
      <w:r>
        <w:rPr>
          <w:lang w:bidi="cs-CZ"/>
        </w:rPr>
        <w:t>převěsu</w:t>
      </w:r>
      <w:proofErr w:type="spellEnd"/>
      <w:r>
        <w:rPr>
          <w:lang w:bidi="cs-CZ"/>
        </w:rPr>
        <w:t xml:space="preserve"> </w:t>
      </w:r>
      <w:r w:rsidRPr="00DB38F0">
        <w:rPr>
          <w:lang w:bidi="cs-CZ"/>
        </w:rPr>
        <w:t xml:space="preserve">límce se skrytým zapínáním. </w:t>
      </w:r>
      <w:r>
        <w:rPr>
          <w:lang w:bidi="cs-CZ"/>
        </w:rPr>
        <w:t>S</w:t>
      </w:r>
      <w:r w:rsidRPr="00DB38F0">
        <w:rPr>
          <w:lang w:bidi="cs-CZ"/>
        </w:rPr>
        <w:t>podní</w:t>
      </w:r>
      <w:r>
        <w:rPr>
          <w:lang w:bidi="cs-CZ"/>
        </w:rPr>
        <w:t xml:space="preserve"> převěs límce je v rožcích členěný, do členících švů</w:t>
      </w:r>
      <w:r w:rsidRPr="00DB38F0">
        <w:rPr>
          <w:lang w:bidi="cs-CZ"/>
        </w:rPr>
        <w:t xml:space="preserve"> jsou</w:t>
      </w:r>
      <w:r>
        <w:rPr>
          <w:lang w:bidi="cs-CZ"/>
        </w:rPr>
        <w:t xml:space="preserve"> vložené</w:t>
      </w:r>
      <w:r w:rsidRPr="00DB38F0">
        <w:rPr>
          <w:lang w:bidi="cs-CZ"/>
        </w:rPr>
        <w:t xml:space="preserve"> trojúhelníkové zápinky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předšité</w:t>
      </w:r>
      <w:proofErr w:type="spellEnd"/>
      <w:r>
        <w:rPr>
          <w:lang w:bidi="cs-CZ"/>
        </w:rPr>
        <w:t xml:space="preserve"> z vrchového materiálu</w:t>
      </w:r>
      <w:r w:rsidRPr="00DB38F0">
        <w:rPr>
          <w:lang w:bidi="cs-CZ"/>
        </w:rPr>
        <w:t xml:space="preserve"> </w:t>
      </w:r>
      <w:r>
        <w:rPr>
          <w:lang w:bidi="cs-CZ"/>
        </w:rPr>
        <w:t xml:space="preserve">(bez prošití) </w:t>
      </w:r>
      <w:r w:rsidRPr="00DB38F0">
        <w:rPr>
          <w:lang w:bidi="cs-CZ"/>
        </w:rPr>
        <w:t xml:space="preserve">s vyšitými </w:t>
      </w:r>
      <w:r w:rsidR="00B34900">
        <w:rPr>
          <w:lang w:bidi="cs-CZ"/>
        </w:rPr>
        <w:t xml:space="preserve">prádlovými </w:t>
      </w:r>
      <w:r w:rsidRPr="00DB38F0">
        <w:rPr>
          <w:lang w:bidi="cs-CZ"/>
        </w:rPr>
        <w:t>dírkami, proti kterým je na předních dílech přišit</w:t>
      </w:r>
      <w:r>
        <w:rPr>
          <w:lang w:bidi="cs-CZ"/>
        </w:rPr>
        <w:t>o po jednom knoflíku</w:t>
      </w:r>
      <w:r w:rsidRPr="00DB38F0">
        <w:rPr>
          <w:lang w:bidi="cs-CZ"/>
        </w:rPr>
        <w:t>.</w:t>
      </w:r>
      <w:r w:rsidRPr="007D6C7D">
        <w:rPr>
          <w:lang w:bidi="cs-CZ"/>
        </w:rPr>
        <w:t xml:space="preserve"> </w:t>
      </w:r>
      <w:r w:rsidR="00040F9E">
        <w:rPr>
          <w:lang w:bidi="cs-CZ"/>
        </w:rPr>
        <w:t>Převěs límce prošitý za 1mm z</w:t>
      </w:r>
      <w:r>
        <w:rPr>
          <w:lang w:bidi="cs-CZ"/>
        </w:rPr>
        <w:t xml:space="preserve"> </w:t>
      </w:r>
      <w:r w:rsidRPr="00DB38F0">
        <w:rPr>
          <w:lang w:bidi="cs-CZ"/>
        </w:rPr>
        <w:t>3 stran,</w:t>
      </w:r>
      <w:r w:rsidR="006919BE">
        <w:rPr>
          <w:lang w:bidi="cs-CZ"/>
        </w:rPr>
        <w:t xml:space="preserve"> stoják límce</w:t>
      </w:r>
      <w:r>
        <w:rPr>
          <w:lang w:bidi="cs-CZ"/>
        </w:rPr>
        <w:t xml:space="preserve"> prošitý za 1mm, spodní strana vnitřního stojáku je podehnutá a pomocně prošitá za 6mm s vložením </w:t>
      </w:r>
      <w:r w:rsidRPr="00DB38F0">
        <w:rPr>
          <w:lang w:bidi="cs-CZ"/>
        </w:rPr>
        <w:t>tkané paspulky.</w:t>
      </w:r>
      <w:r w:rsidRPr="007D6C7D">
        <w:rPr>
          <w:lang w:bidi="cs-CZ"/>
        </w:rPr>
        <w:t xml:space="preserve"> </w:t>
      </w:r>
      <w:r>
        <w:rPr>
          <w:lang w:bidi="cs-CZ"/>
        </w:rPr>
        <w:t>Zadní š</w:t>
      </w:r>
      <w:r w:rsidRPr="00DB38F0">
        <w:rPr>
          <w:lang w:bidi="cs-CZ"/>
        </w:rPr>
        <w:t xml:space="preserve">ířka stojáku 25mm, </w:t>
      </w:r>
      <w:r>
        <w:rPr>
          <w:lang w:bidi="cs-CZ"/>
        </w:rPr>
        <w:t xml:space="preserve">zadní </w:t>
      </w:r>
      <w:r w:rsidRPr="00DB38F0">
        <w:rPr>
          <w:lang w:bidi="cs-CZ"/>
        </w:rPr>
        <w:t xml:space="preserve">šířka </w:t>
      </w:r>
      <w:proofErr w:type="spellStart"/>
      <w:r w:rsidRPr="00DB38F0">
        <w:rPr>
          <w:lang w:bidi="cs-CZ"/>
        </w:rPr>
        <w:t>převěsu</w:t>
      </w:r>
      <w:proofErr w:type="spellEnd"/>
      <w:r w:rsidRPr="00DB38F0">
        <w:rPr>
          <w:lang w:bidi="cs-CZ"/>
        </w:rPr>
        <w:t xml:space="preserve"> límce 36mm</w:t>
      </w:r>
      <w:r>
        <w:rPr>
          <w:lang w:bidi="cs-CZ"/>
        </w:rPr>
        <w:t xml:space="preserve">, </w:t>
      </w:r>
      <w:r w:rsidRPr="00DB38F0">
        <w:rPr>
          <w:lang w:bidi="cs-CZ"/>
        </w:rPr>
        <w:t>délka rožku límce 44mm.</w:t>
      </w:r>
      <w:r>
        <w:rPr>
          <w:lang w:bidi="cs-CZ"/>
        </w:rPr>
        <w:t xml:space="preserve"> Na pravé straně v předním kraji stojáku je vyšitá vodorovná prádlová knoflíková dírka, proti které je na levé straně přišitý knoflík.</w:t>
      </w:r>
    </w:p>
    <w:p w:rsidR="00C12B0D" w:rsidRPr="00507FF9" w:rsidRDefault="00C12B0D" w:rsidP="00C12B0D">
      <w:pPr>
        <w:spacing w:after="0" w:line="276" w:lineRule="auto"/>
        <w:jc w:val="both"/>
        <w:rPr>
          <w:bCs/>
          <w:lang w:bidi="cs-CZ"/>
        </w:rPr>
      </w:pPr>
    </w:p>
    <w:p w:rsidR="00C12B0D" w:rsidRPr="00507FF9" w:rsidRDefault="00C12B0D" w:rsidP="00C12B0D">
      <w:pPr>
        <w:spacing w:after="0" w:line="276" w:lineRule="auto"/>
        <w:jc w:val="both"/>
        <w:rPr>
          <w:b/>
          <w:bCs/>
          <w:lang w:bidi="cs-CZ"/>
        </w:rPr>
      </w:pPr>
      <w:r w:rsidRPr="00507FF9">
        <w:rPr>
          <w:b/>
          <w:bCs/>
          <w:lang w:bidi="cs-CZ"/>
        </w:rPr>
        <w:t>Dolní kraj:</w:t>
      </w:r>
    </w:p>
    <w:p w:rsidR="0097445E" w:rsidRPr="00DB38F0" w:rsidRDefault="0097445E" w:rsidP="0097445E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Středem předního a zadního dílu mírně prodloužený (cca20mm), </w:t>
      </w:r>
      <w:r w:rsidR="00155F0E">
        <w:rPr>
          <w:lang w:bidi="cs-CZ"/>
        </w:rPr>
        <w:t>dvakrát</w:t>
      </w:r>
      <w:r w:rsidRPr="00DB38F0">
        <w:rPr>
          <w:lang w:bidi="cs-CZ"/>
        </w:rPr>
        <w:t xml:space="preserve"> podehnutý do rubní strany a prošitý 6mm</w:t>
      </w:r>
      <w:r>
        <w:rPr>
          <w:lang w:bidi="cs-CZ"/>
        </w:rPr>
        <w:t>.</w:t>
      </w:r>
    </w:p>
    <w:p w:rsidR="00C12B0D" w:rsidRPr="00507FF9" w:rsidRDefault="00C12B0D" w:rsidP="00C12B0D">
      <w:pPr>
        <w:spacing w:after="0" w:line="276" w:lineRule="auto"/>
        <w:jc w:val="both"/>
        <w:rPr>
          <w:bCs/>
          <w:lang w:bidi="cs-CZ"/>
        </w:rPr>
      </w:pPr>
    </w:p>
    <w:p w:rsidR="00C12B0D" w:rsidRPr="00507FF9" w:rsidRDefault="00C12B0D" w:rsidP="00C12B0D">
      <w:pPr>
        <w:spacing w:after="0" w:line="276" w:lineRule="auto"/>
        <w:jc w:val="both"/>
        <w:rPr>
          <w:b/>
          <w:bCs/>
          <w:lang w:bidi="cs-CZ"/>
        </w:rPr>
      </w:pPr>
      <w:r w:rsidRPr="00507FF9">
        <w:rPr>
          <w:b/>
          <w:bCs/>
          <w:lang w:bidi="cs-CZ"/>
        </w:rPr>
        <w:t>Fixace:</w:t>
      </w:r>
    </w:p>
    <w:p w:rsidR="00F20565" w:rsidRPr="00507FF9" w:rsidRDefault="00F20565" w:rsidP="00F20565">
      <w:pPr>
        <w:spacing w:after="0" w:line="276" w:lineRule="auto"/>
        <w:jc w:val="both"/>
        <w:rPr>
          <w:bCs/>
          <w:lang w:bidi="cs-CZ"/>
        </w:rPr>
      </w:pPr>
      <w:r>
        <w:rPr>
          <w:bCs/>
          <w:u w:val="single"/>
          <w:lang w:bidi="cs-CZ"/>
        </w:rPr>
        <w:t xml:space="preserve">tkaná </w:t>
      </w:r>
      <w:r w:rsidRPr="00507FF9">
        <w:rPr>
          <w:bCs/>
          <w:u w:val="single"/>
          <w:lang w:bidi="cs-CZ"/>
        </w:rPr>
        <w:t>fixační košilová vložka o hmotnosti 145g/m</w:t>
      </w:r>
      <w:r w:rsidRPr="00507FF9">
        <w:rPr>
          <w:bCs/>
          <w:u w:val="single"/>
          <w:vertAlign w:val="superscript"/>
          <w:lang w:bidi="cs-CZ"/>
        </w:rPr>
        <w:t>2</w:t>
      </w:r>
      <w:r w:rsidRPr="00507FF9">
        <w:rPr>
          <w:bCs/>
          <w:u w:val="single"/>
          <w:lang w:bidi="cs-CZ"/>
        </w:rPr>
        <w:t>:</w:t>
      </w:r>
    </w:p>
    <w:p w:rsidR="00F20565" w:rsidRPr="00507FF9" w:rsidRDefault="00F20565" w:rsidP="00F20565">
      <w:pPr>
        <w:numPr>
          <w:ilvl w:val="0"/>
          <w:numId w:val="16"/>
        </w:numPr>
        <w:spacing w:after="0" w:line="276" w:lineRule="auto"/>
        <w:jc w:val="both"/>
        <w:rPr>
          <w:bCs/>
          <w:lang w:bidi="cs-CZ"/>
        </w:rPr>
      </w:pPr>
      <w:r w:rsidRPr="00507FF9">
        <w:rPr>
          <w:bCs/>
          <w:lang w:bidi="cs-CZ"/>
        </w:rPr>
        <w:t>vnitřní stoják,</w:t>
      </w:r>
    </w:p>
    <w:p w:rsidR="00C12B0D" w:rsidRPr="00507FF9" w:rsidRDefault="0097445E" w:rsidP="00C12B0D">
      <w:pPr>
        <w:spacing w:after="0" w:line="276" w:lineRule="auto"/>
        <w:jc w:val="both"/>
        <w:rPr>
          <w:bCs/>
          <w:u w:val="single"/>
          <w:lang w:bidi="cs-CZ"/>
        </w:rPr>
      </w:pPr>
      <w:r>
        <w:rPr>
          <w:bCs/>
          <w:u w:val="single"/>
          <w:lang w:bidi="cs-CZ"/>
        </w:rPr>
        <w:t xml:space="preserve">tkaná </w:t>
      </w:r>
      <w:r w:rsidR="00C12B0D" w:rsidRPr="00507FF9">
        <w:rPr>
          <w:bCs/>
          <w:u w:val="single"/>
          <w:lang w:bidi="cs-CZ"/>
        </w:rPr>
        <w:t>fixační košilová vložka o hmotnosti 100g/m</w:t>
      </w:r>
      <w:r w:rsidR="00C12B0D" w:rsidRPr="00507FF9">
        <w:rPr>
          <w:bCs/>
          <w:u w:val="single"/>
          <w:vertAlign w:val="superscript"/>
          <w:lang w:bidi="cs-CZ"/>
        </w:rPr>
        <w:t>2</w:t>
      </w:r>
      <w:r w:rsidR="00C12B0D" w:rsidRPr="00507FF9">
        <w:rPr>
          <w:bCs/>
          <w:u w:val="single"/>
          <w:lang w:bidi="cs-CZ"/>
        </w:rPr>
        <w:t>:</w:t>
      </w:r>
    </w:p>
    <w:p w:rsidR="00C12B0D" w:rsidRPr="00507FF9" w:rsidRDefault="0097445E" w:rsidP="00C12B0D">
      <w:pPr>
        <w:numPr>
          <w:ilvl w:val="0"/>
          <w:numId w:val="16"/>
        </w:num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 xml:space="preserve">vrchní </w:t>
      </w:r>
      <w:r w:rsidR="00C12B0D" w:rsidRPr="00507FF9">
        <w:rPr>
          <w:bCs/>
          <w:lang w:bidi="cs-CZ"/>
        </w:rPr>
        <w:t>převěs límce,</w:t>
      </w:r>
      <w:r w:rsidR="00C12B0D" w:rsidRPr="00507FF9">
        <w:rPr>
          <w:bCs/>
          <w:u w:val="single"/>
          <w:lang w:bidi="cs-CZ"/>
        </w:rPr>
        <w:t xml:space="preserve"> </w:t>
      </w:r>
    </w:p>
    <w:p w:rsidR="00C12B0D" w:rsidRPr="00507FF9" w:rsidRDefault="0097445E" w:rsidP="00C12B0D">
      <w:pPr>
        <w:spacing w:after="0" w:line="276" w:lineRule="auto"/>
        <w:jc w:val="both"/>
        <w:rPr>
          <w:bCs/>
          <w:u w:val="single"/>
          <w:lang w:bidi="cs-CZ"/>
        </w:rPr>
      </w:pPr>
      <w:r>
        <w:rPr>
          <w:bCs/>
          <w:u w:val="single"/>
          <w:lang w:bidi="cs-CZ"/>
        </w:rPr>
        <w:t xml:space="preserve">tkaná </w:t>
      </w:r>
      <w:r w:rsidR="00C12B0D" w:rsidRPr="00507FF9">
        <w:rPr>
          <w:bCs/>
          <w:u w:val="single"/>
          <w:lang w:bidi="cs-CZ"/>
        </w:rPr>
        <w:t>fixačn</w:t>
      </w:r>
      <w:r>
        <w:rPr>
          <w:bCs/>
          <w:u w:val="single"/>
          <w:lang w:bidi="cs-CZ"/>
        </w:rPr>
        <w:t>í košilová vložka o hmotnosti 45</w:t>
      </w:r>
      <w:r w:rsidR="00C12B0D" w:rsidRPr="00507FF9">
        <w:rPr>
          <w:bCs/>
          <w:u w:val="single"/>
          <w:lang w:bidi="cs-CZ"/>
        </w:rPr>
        <w:t>g/m2:</w:t>
      </w:r>
    </w:p>
    <w:p w:rsidR="00C12B0D" w:rsidRDefault="00C12B0D" w:rsidP="00C12B0D">
      <w:pPr>
        <w:numPr>
          <w:ilvl w:val="0"/>
          <w:numId w:val="16"/>
        </w:numPr>
        <w:spacing w:after="0" w:line="276" w:lineRule="auto"/>
        <w:jc w:val="both"/>
        <w:rPr>
          <w:bCs/>
          <w:lang w:bidi="cs-CZ"/>
        </w:rPr>
      </w:pPr>
      <w:r w:rsidRPr="00507FF9">
        <w:rPr>
          <w:bCs/>
          <w:lang w:bidi="cs-CZ"/>
        </w:rPr>
        <w:t xml:space="preserve">léga </w:t>
      </w:r>
      <w:r w:rsidR="0097445E">
        <w:rPr>
          <w:bCs/>
          <w:lang w:bidi="cs-CZ"/>
        </w:rPr>
        <w:t xml:space="preserve">pravého </w:t>
      </w:r>
      <w:r w:rsidRPr="00507FF9">
        <w:rPr>
          <w:bCs/>
          <w:lang w:bidi="cs-CZ"/>
        </w:rPr>
        <w:t>předního kraje,</w:t>
      </w:r>
    </w:p>
    <w:p w:rsidR="00E06942" w:rsidRDefault="00E06942" w:rsidP="00E06942">
      <w:pPr>
        <w:spacing w:after="0" w:line="276" w:lineRule="auto"/>
        <w:jc w:val="both"/>
        <w:rPr>
          <w:bCs/>
          <w:lang w:bidi="cs-CZ"/>
        </w:rPr>
      </w:pPr>
    </w:p>
    <w:p w:rsidR="00E06942" w:rsidRPr="00507FF9" w:rsidRDefault="00E06942" w:rsidP="00E06942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</w:t>
      </w:r>
      <w:r>
        <w:rPr>
          <w:bCs/>
          <w:lang w:bidi="cs-CZ"/>
        </w:rPr>
        <w:t xml:space="preserve"> omezovat účel použití výrobku.</w:t>
      </w:r>
    </w:p>
    <w:p w:rsidR="00C12B0D" w:rsidRPr="00C12B0D" w:rsidRDefault="00C12B0D" w:rsidP="00C12B0D">
      <w:pPr>
        <w:spacing w:after="0" w:line="276" w:lineRule="auto"/>
        <w:jc w:val="both"/>
        <w:rPr>
          <w:b/>
          <w:bCs/>
          <w:lang w:bidi="cs-CZ"/>
        </w:rPr>
      </w:pPr>
    </w:p>
    <w:p w:rsidR="00E06942" w:rsidRDefault="00245298" w:rsidP="00E06942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DB38F0">
        <w:rPr>
          <w:b/>
          <w:bCs/>
          <w:lang w:bidi="cs-CZ"/>
        </w:rPr>
        <w:t>ZPRACOVÁNÍ</w:t>
      </w:r>
      <w:bookmarkEnd w:id="2"/>
    </w:p>
    <w:p w:rsidR="00775615" w:rsidRDefault="00775615" w:rsidP="00775615">
      <w:pPr>
        <w:spacing w:after="0" w:line="276" w:lineRule="auto"/>
        <w:jc w:val="both"/>
        <w:rPr>
          <w:b/>
          <w:bCs/>
          <w:lang w:bidi="cs-CZ"/>
        </w:rPr>
      </w:pPr>
    </w:p>
    <w:p w:rsidR="00E06942" w:rsidRPr="001B573C" w:rsidRDefault="00E06942" w:rsidP="00E06942">
      <w:pPr>
        <w:spacing w:after="0" w:line="276" w:lineRule="auto"/>
        <w:jc w:val="both"/>
        <w:rPr>
          <w:b/>
          <w:bCs/>
          <w:lang w:bidi="cs-CZ"/>
        </w:rPr>
      </w:pPr>
      <w:r w:rsidRPr="00DB38F0">
        <w:rPr>
          <w:lang w:bidi="cs-CZ"/>
        </w:rPr>
        <w:t>Boční švy v pokračování spodní rukávo</w:t>
      </w:r>
      <w:r>
        <w:rPr>
          <w:lang w:bidi="cs-CZ"/>
        </w:rPr>
        <w:t>vé</w:t>
      </w:r>
      <w:r w:rsidRPr="00DB38F0">
        <w:rPr>
          <w:lang w:bidi="cs-CZ"/>
        </w:rPr>
        <w:t xml:space="preserve"> š</w:t>
      </w:r>
      <w:r>
        <w:rPr>
          <w:lang w:bidi="cs-CZ"/>
        </w:rPr>
        <w:t>vy</w:t>
      </w:r>
      <w:r w:rsidRPr="00DB38F0">
        <w:rPr>
          <w:lang w:bidi="cs-CZ"/>
        </w:rPr>
        <w:t xml:space="preserve"> </w:t>
      </w:r>
      <w:r w:rsidR="002F3873">
        <w:rPr>
          <w:lang w:bidi="cs-CZ"/>
        </w:rPr>
        <w:t xml:space="preserve">jsou </w:t>
      </w:r>
      <w:r w:rsidRPr="00DB38F0">
        <w:rPr>
          <w:lang w:bidi="cs-CZ"/>
        </w:rPr>
        <w:t>šit</w:t>
      </w:r>
      <w:r>
        <w:rPr>
          <w:lang w:bidi="cs-CZ"/>
        </w:rPr>
        <w:t xml:space="preserve">é na </w:t>
      </w:r>
      <w:proofErr w:type="spellStart"/>
      <w:r>
        <w:rPr>
          <w:lang w:bidi="cs-CZ"/>
        </w:rPr>
        <w:t>dvoujehlovém</w:t>
      </w:r>
      <w:proofErr w:type="spellEnd"/>
      <w:r>
        <w:rPr>
          <w:lang w:bidi="cs-CZ"/>
        </w:rPr>
        <w:t xml:space="preserve"> stroji se zakladačem </w:t>
      </w:r>
      <w:r w:rsidRPr="00DB38F0">
        <w:rPr>
          <w:lang w:bidi="cs-CZ"/>
        </w:rPr>
        <w:t>přeplátovaným švem.</w:t>
      </w:r>
      <w:r>
        <w:rPr>
          <w:lang w:bidi="cs-CZ"/>
        </w:rPr>
        <w:t xml:space="preserve"> Rukáv jsou všité do otevřených průramků </w:t>
      </w:r>
      <w:r w:rsidRPr="00DB38F0">
        <w:rPr>
          <w:lang w:bidi="cs-CZ"/>
        </w:rPr>
        <w:t>na obnitkovacím řetízkovém šicím stroji se</w:t>
      </w:r>
      <w:r>
        <w:rPr>
          <w:lang w:bidi="cs-CZ"/>
        </w:rPr>
        <w:t xml:space="preserve"> </w:t>
      </w:r>
      <w:r w:rsidRPr="00DB38F0">
        <w:rPr>
          <w:lang w:bidi="cs-CZ"/>
        </w:rPr>
        <w:t>zajišťovacím stehem.</w:t>
      </w:r>
      <w:r>
        <w:rPr>
          <w:lang w:bidi="cs-CZ"/>
        </w:rPr>
        <w:t xml:space="preserve"> </w:t>
      </w:r>
      <w:r w:rsidRPr="00DB38F0">
        <w:rPr>
          <w:lang w:bidi="cs-CZ"/>
        </w:rPr>
        <w:t>Členící š</w:t>
      </w:r>
      <w:r>
        <w:rPr>
          <w:lang w:bidi="cs-CZ"/>
        </w:rPr>
        <w:t>ev</w:t>
      </w:r>
      <w:r w:rsidRPr="00DB38F0">
        <w:rPr>
          <w:lang w:bidi="cs-CZ"/>
        </w:rPr>
        <w:t xml:space="preserve"> zadního dílu a </w:t>
      </w:r>
      <w:proofErr w:type="spellStart"/>
      <w:r w:rsidRPr="00DB38F0">
        <w:rPr>
          <w:lang w:bidi="cs-CZ"/>
        </w:rPr>
        <w:t>náramenice</w:t>
      </w:r>
      <w:proofErr w:type="spellEnd"/>
      <w:r w:rsidRPr="00DB38F0">
        <w:rPr>
          <w:lang w:bidi="cs-CZ"/>
        </w:rPr>
        <w:t xml:space="preserve"> jsou zapravené dvojitým sedlem.</w:t>
      </w:r>
      <w:r>
        <w:rPr>
          <w:lang w:bidi="cs-CZ"/>
        </w:rPr>
        <w:t xml:space="preserve"> </w:t>
      </w:r>
      <w:r w:rsidRPr="00DB38F0">
        <w:rPr>
          <w:lang w:bidi="cs-CZ"/>
        </w:rPr>
        <w:t>Všechny díly se stříhají po osnově mimo sed</w:t>
      </w:r>
      <w:r>
        <w:rPr>
          <w:lang w:bidi="cs-CZ"/>
        </w:rPr>
        <w:t>el zadního dílu, stojáků, rukávových</w:t>
      </w:r>
      <w:r w:rsidRPr="00DB38F0">
        <w:rPr>
          <w:lang w:bidi="cs-CZ"/>
        </w:rPr>
        <w:t xml:space="preserve"> manžet a </w:t>
      </w:r>
      <w:proofErr w:type="spellStart"/>
      <w:r w:rsidRPr="00DB38F0">
        <w:rPr>
          <w:lang w:bidi="cs-CZ"/>
        </w:rPr>
        <w:t>převěsu</w:t>
      </w:r>
      <w:proofErr w:type="spellEnd"/>
      <w:r w:rsidRPr="00DB38F0">
        <w:rPr>
          <w:lang w:bidi="cs-CZ"/>
        </w:rPr>
        <w:t xml:space="preserve"> límce.</w:t>
      </w:r>
      <w:r>
        <w:rPr>
          <w:lang w:bidi="cs-CZ"/>
        </w:rPr>
        <w:t xml:space="preserve"> </w:t>
      </w:r>
      <w:r w:rsidRPr="00DB38F0">
        <w:rPr>
          <w:lang w:bidi="cs-CZ"/>
        </w:rPr>
        <w:t>Knoflíkové dírky zhotovené na prádlovém dírkovacím stroji. Knoflíky přišité pevně minimálně přes 2 vrstvy materiálu</w:t>
      </w:r>
      <w:r>
        <w:rPr>
          <w:lang w:bidi="cs-CZ"/>
        </w:rPr>
        <w:t xml:space="preserve"> </w:t>
      </w:r>
      <w:r w:rsidRPr="00E06942">
        <w:rPr>
          <w:bCs/>
          <w:lang w:bidi="cs-CZ"/>
        </w:rPr>
        <w:t>(pro límec vel.: „14“, ostatní knoflíky vel.: „16“).</w:t>
      </w:r>
      <w:r w:rsidRPr="00DB38F0">
        <w:rPr>
          <w:lang w:bidi="cs-CZ"/>
        </w:rPr>
        <w:t xml:space="preserve"> Náhradní knoflíky </w:t>
      </w:r>
      <w:r>
        <w:rPr>
          <w:lang w:bidi="cs-CZ"/>
        </w:rPr>
        <w:t xml:space="preserve">od každé velikosti </w:t>
      </w:r>
      <w:r w:rsidRPr="00DB38F0">
        <w:rPr>
          <w:lang w:bidi="cs-CZ"/>
        </w:rPr>
        <w:t>jsou přišité cca. 20mm a 35mm od posledního knoflíku na levém</w:t>
      </w:r>
      <w:r>
        <w:rPr>
          <w:lang w:bidi="cs-CZ"/>
        </w:rPr>
        <w:t xml:space="preserve"> předním díle z vnitřní strany. </w:t>
      </w:r>
      <w:r w:rsidRPr="00DB38F0">
        <w:rPr>
          <w:lang w:bidi="cs-CZ"/>
        </w:rPr>
        <w:t>Etiketa s</w:t>
      </w:r>
      <w:r>
        <w:rPr>
          <w:lang w:bidi="cs-CZ"/>
        </w:rPr>
        <w:t> </w:t>
      </w:r>
      <w:r w:rsidRPr="00DB38F0">
        <w:rPr>
          <w:lang w:bidi="cs-CZ"/>
        </w:rPr>
        <w:t>ošetř</w:t>
      </w:r>
      <w:r>
        <w:rPr>
          <w:lang w:bidi="cs-CZ"/>
        </w:rPr>
        <w:t>ovacími</w:t>
      </w:r>
      <w:r w:rsidRPr="00DB38F0">
        <w:rPr>
          <w:lang w:bidi="cs-CZ"/>
        </w:rPr>
        <w:t xml:space="preserve"> symboly je všitá cca. 100mm od dolního kraje do levého bočního švu. </w:t>
      </w:r>
      <w:r w:rsidRPr="00E06942">
        <w:rPr>
          <w:bCs/>
          <w:lang w:bidi="cs-CZ"/>
        </w:rPr>
        <w:t xml:space="preserve">Velikostní etiketa všitá do </w:t>
      </w:r>
      <w:proofErr w:type="spellStart"/>
      <w:r w:rsidRPr="00E06942">
        <w:rPr>
          <w:bCs/>
          <w:lang w:bidi="cs-CZ"/>
        </w:rPr>
        <w:t>průkrčníkového</w:t>
      </w:r>
      <w:proofErr w:type="spellEnd"/>
      <w:r w:rsidRPr="00E06942">
        <w:rPr>
          <w:bCs/>
          <w:lang w:bidi="cs-CZ"/>
        </w:rPr>
        <w:t xml:space="preserve"> švu středem zadního dílu z rubní strany. Tkaná etiketa výrobce našitá na vnitřní sedlo zadního dílu v horní části středem. </w:t>
      </w:r>
      <w:r>
        <w:rPr>
          <w:bCs/>
          <w:lang w:bidi="cs-CZ"/>
        </w:rPr>
        <w:t>P</w:t>
      </w:r>
      <w:r w:rsidRPr="001B573C">
        <w:rPr>
          <w:bCs/>
          <w:lang w:bidi="cs-CZ"/>
        </w:rPr>
        <w:t xml:space="preserve">očet stehů strojového šití a prošití je 4-5 stehů do 10mm, stehy musí být kladeny rovnoměrně bez vynechání </w:t>
      </w:r>
      <w:r>
        <w:rPr>
          <w:bCs/>
          <w:lang w:bidi="cs-CZ"/>
        </w:rPr>
        <w:t>s rovnoměrným napětím, začátky, konce šití</w:t>
      </w:r>
      <w:r w:rsidRPr="001B573C">
        <w:rPr>
          <w:bCs/>
          <w:lang w:bidi="cs-CZ"/>
        </w:rPr>
        <w:t xml:space="preserve"> a více namáhaná místa musí být řádně zapošité proti párání a zajištěné proti vytržení</w:t>
      </w:r>
      <w:r>
        <w:rPr>
          <w:bCs/>
          <w:lang w:bidi="cs-CZ"/>
        </w:rPr>
        <w:t>. K</w:t>
      </w:r>
      <w:r w:rsidRPr="004020B7">
        <w:rPr>
          <w:bCs/>
          <w:lang w:bidi="cs-CZ"/>
        </w:rPr>
        <w:t xml:space="preserve">once stehů musí být na </w:t>
      </w:r>
      <w:r>
        <w:rPr>
          <w:bCs/>
          <w:lang w:bidi="cs-CZ"/>
        </w:rPr>
        <w:t>celém výrobku řádně odstřižené. H</w:t>
      </w:r>
      <w:r w:rsidRPr="004020B7">
        <w:rPr>
          <w:bCs/>
          <w:lang w:bidi="cs-CZ"/>
        </w:rPr>
        <w:t>ustota stehů obnitkovaných okrajů švových záložek</w:t>
      </w:r>
      <w:r>
        <w:rPr>
          <w:bCs/>
          <w:lang w:bidi="cs-CZ"/>
        </w:rPr>
        <w:t xml:space="preserve"> </w:t>
      </w:r>
      <w:r w:rsidRPr="004020B7">
        <w:rPr>
          <w:bCs/>
          <w:lang w:bidi="cs-CZ"/>
        </w:rPr>
        <w:t>nastavena tak, aby nedocházelo</w:t>
      </w:r>
      <w:r>
        <w:rPr>
          <w:bCs/>
          <w:lang w:bidi="cs-CZ"/>
        </w:rPr>
        <w:t xml:space="preserve"> k jejich vytřepení.</w:t>
      </w:r>
    </w:p>
    <w:p w:rsid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775615" w:rsidRDefault="00775615" w:rsidP="00245298">
      <w:pPr>
        <w:spacing w:after="0" w:line="276" w:lineRule="auto"/>
        <w:ind w:left="720"/>
        <w:rPr>
          <w:bCs/>
          <w:lang w:bidi="cs-CZ"/>
        </w:rPr>
      </w:pPr>
    </w:p>
    <w:p w:rsidR="00BC7214" w:rsidRDefault="00BC7214" w:rsidP="00245298">
      <w:pPr>
        <w:spacing w:after="0" w:line="276" w:lineRule="auto"/>
        <w:ind w:left="720"/>
        <w:rPr>
          <w:bCs/>
          <w:lang w:bidi="cs-CZ"/>
        </w:rPr>
      </w:pPr>
    </w:p>
    <w:p w:rsidR="00775615" w:rsidRDefault="00775615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lastRenderedPageBreak/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barva </w:t>
            </w:r>
            <w:r w:rsidR="000435FC">
              <w:rPr>
                <w:lang w:bidi="cs-CZ"/>
              </w:rPr>
              <w:t>bílá</w:t>
            </w:r>
            <w:r w:rsidRPr="00245298">
              <w:rPr>
                <w:lang w:bidi="cs-CZ"/>
              </w:rPr>
              <w:t xml:space="preserve">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Povolená tolerance - stupeň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0435FC" w:rsidP="000435FC">
            <w:pPr>
              <w:spacing w:after="0"/>
              <w:rPr>
                <w:lang w:bidi="cs-CZ"/>
              </w:rPr>
            </w:pPr>
            <w:r w:rsidRPr="000435FC">
              <w:rPr>
                <w:lang w:val="en-US" w:bidi="cs-CZ"/>
              </w:rPr>
              <w:t xml:space="preserve">97% </w:t>
            </w:r>
            <w:proofErr w:type="spellStart"/>
            <w:r w:rsidRPr="000435FC">
              <w:rPr>
                <w:lang w:val="en-US" w:bidi="cs-CZ"/>
              </w:rPr>
              <w:t>bavlna</w:t>
            </w:r>
            <w:proofErr w:type="spellEnd"/>
            <w:r>
              <w:rPr>
                <w:lang w:val="en-US" w:bidi="cs-CZ"/>
              </w:rPr>
              <w:t xml:space="preserve">/ </w:t>
            </w:r>
            <w:r w:rsidRPr="000435FC">
              <w:rPr>
                <w:lang w:val="en-US" w:bidi="cs-CZ"/>
              </w:rPr>
              <w:t xml:space="preserve">3% </w:t>
            </w:r>
            <w:proofErr w:type="spellStart"/>
            <w:r w:rsidRPr="000435FC">
              <w:rPr>
                <w:lang w:val="en-US" w:bidi="cs-CZ"/>
              </w:rPr>
              <w:t>elastan</w:t>
            </w:r>
            <w:proofErr w:type="spellEnd"/>
          </w:p>
        </w:tc>
      </w:tr>
      <w:tr w:rsidR="00245298" w:rsidRPr="00245298" w:rsidTr="008C2C34">
        <w:trPr>
          <w:trHeight w:val="841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paspulka</w:t>
            </w:r>
          </w:p>
          <w:p w:rsidR="00245298" w:rsidRDefault="000435FC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 xml:space="preserve">tkaná paspulka v kombinaci bílá/ šedá/ </w:t>
            </w:r>
            <w:proofErr w:type="spellStart"/>
            <w:r>
              <w:rPr>
                <w:lang w:bidi="cs-CZ"/>
              </w:rPr>
              <w:t>tm</w:t>
            </w:r>
            <w:proofErr w:type="spellEnd"/>
            <w:r>
              <w:rPr>
                <w:lang w:bidi="cs-CZ"/>
              </w:rPr>
              <w:t>. modrá</w:t>
            </w:r>
          </w:p>
          <w:p w:rsidR="00E06A51" w:rsidRPr="00245298" w:rsidRDefault="000435FC" w:rsidP="008C2C34">
            <w:pPr>
              <w:spacing w:after="0"/>
              <w:rPr>
                <w:lang w:bidi="cs-CZ"/>
              </w:rPr>
            </w:pPr>
            <w:r>
              <w:object w:dxaOrig="1155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42.75pt" o:ole="">
                  <v:imagedata r:id="rId7" o:title=""/>
                </v:shape>
                <o:OLEObject Type="Embed" ProgID="PBrush" ShapeID="_x0000_i1025" DrawAspect="Content" ObjectID="_1625384946" r:id="rId8"/>
              </w:objec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C80C0B">
              <w:rPr>
                <w:lang w:bidi="cs-CZ"/>
              </w:rPr>
              <w:t>100% polyester</w:t>
            </w:r>
          </w:p>
        </w:tc>
      </w:tr>
      <w:tr w:rsidR="003F2BA9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3F2BA9" w:rsidRPr="003F2BA9" w:rsidRDefault="003F2BA9" w:rsidP="003F2BA9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fixační košilová vložka 45g/m</w:t>
            </w:r>
            <w:r w:rsidRPr="003F2BA9">
              <w:rPr>
                <w:b/>
                <w:vertAlign w:val="superscript"/>
                <w:lang w:bidi="cs-CZ"/>
              </w:rPr>
              <w:t>2</w:t>
            </w:r>
            <w:r>
              <w:rPr>
                <w:b/>
                <w:lang w:bidi="cs-CZ"/>
              </w:rPr>
              <w:t>; 100g/m</w:t>
            </w:r>
            <w:r w:rsidRPr="003F2BA9">
              <w:rPr>
                <w:b/>
                <w:vertAlign w:val="superscript"/>
                <w:lang w:bidi="cs-CZ"/>
              </w:rPr>
              <w:t>2</w:t>
            </w:r>
            <w:r>
              <w:rPr>
                <w:b/>
                <w:lang w:bidi="cs-CZ"/>
              </w:rPr>
              <w:t>; 145g/m</w:t>
            </w:r>
            <w:r w:rsidRPr="003F2BA9">
              <w:rPr>
                <w:b/>
                <w:vertAlign w:val="superscript"/>
                <w:lang w:bidi="cs-CZ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lang w:bidi="cs-CZ"/>
              </w:rPr>
            </w:pPr>
          </w:p>
        </w:tc>
      </w:tr>
      <w:tr w:rsidR="003F2BA9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3F2BA9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lang w:bidi="cs-CZ"/>
              </w:rPr>
            </w:pPr>
            <w:r w:rsidRPr="00245298">
              <w:rPr>
                <w:b/>
                <w:lang w:bidi="cs-CZ"/>
              </w:rPr>
              <w:t>knoflíky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3F2BA9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3F2BA9" w:rsidRDefault="003F2BA9" w:rsidP="003F2BA9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lang w:bidi="cs-CZ"/>
              </w:rPr>
            </w:pPr>
          </w:p>
        </w:tc>
      </w:tr>
      <w:tr w:rsidR="003F2BA9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3F2BA9" w:rsidRDefault="003F2BA9" w:rsidP="003F2BA9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velikostní etiketa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3F2BA9" w:rsidRPr="00245298" w:rsidRDefault="003F2BA9" w:rsidP="003F2BA9">
            <w:pPr>
              <w:spacing w:after="0"/>
              <w:rPr>
                <w:lang w:bidi="cs-CZ"/>
              </w:rPr>
            </w:pP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 xml:space="preserve">Technické parametry použitého </w:t>
      </w:r>
      <w:r w:rsidR="00396AF4">
        <w:rPr>
          <w:lang w:bidi="cs-CZ"/>
        </w:rPr>
        <w:t>základního</w:t>
      </w:r>
      <w:r w:rsidRPr="00245298">
        <w:rPr>
          <w:lang w:bidi="cs-CZ"/>
        </w:rPr>
        <w:t xml:space="preserve"> materiálu a odpovídající zku</w:t>
      </w:r>
      <w:r>
        <w:rPr>
          <w:lang w:bidi="cs-CZ"/>
        </w:rPr>
        <w:t>šební metody jsou uvedeny 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396AF4" w:rsidP="002125AB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3119"/>
        <w:gridCol w:w="2962"/>
      </w:tblGrid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0435FC" w:rsidRDefault="00DB38F0" w:rsidP="00DB38F0">
            <w:pPr>
              <w:spacing w:after="0"/>
              <w:rPr>
                <w:b/>
                <w:lang w:val="en-US" w:bidi="cs-CZ"/>
              </w:rPr>
            </w:pPr>
            <w:r w:rsidRPr="000435FC">
              <w:rPr>
                <w:b/>
                <w:lang w:val="en-US" w:bidi="cs-CZ"/>
              </w:rPr>
              <w:t>Parametr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0435FC" w:rsidRDefault="00DB38F0" w:rsidP="00DB38F0">
            <w:pPr>
              <w:spacing w:after="0"/>
              <w:rPr>
                <w:b/>
                <w:lang w:val="en-US" w:bidi="cs-CZ"/>
              </w:rPr>
            </w:pPr>
            <w:r w:rsidRPr="000435FC">
              <w:rPr>
                <w:b/>
                <w:lang w:val="en-US" w:bidi="cs-CZ"/>
              </w:rPr>
              <w:t>Zkušební metoda, norma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0435FC" w:rsidRDefault="00DB38F0" w:rsidP="00DB38F0">
            <w:pPr>
              <w:spacing w:after="0"/>
              <w:rPr>
                <w:b/>
                <w:lang w:val="en-US" w:bidi="cs-CZ"/>
              </w:rPr>
            </w:pPr>
            <w:r w:rsidRPr="000435FC">
              <w:rPr>
                <w:b/>
                <w:lang w:val="en-US" w:bidi="cs-CZ"/>
              </w:rPr>
              <w:t>Hodnota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Vazba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plátnová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Materiálové složení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97% bavlna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3% elastan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cs" w:bidi="cs-CZ"/>
              </w:rPr>
            </w:pPr>
            <w:r w:rsidRPr="00DB38F0">
              <w:rPr>
                <w:lang w:val="cs" w:bidi="cs-CZ"/>
              </w:rPr>
              <w:t>Barva dle trichromatických souřadnic CieLab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cs" w:bidi="cs-CZ"/>
              </w:rPr>
              <w:t>Barva: bílá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cs" w:bidi="cs-CZ"/>
              </w:rPr>
            </w:pPr>
            <w:r w:rsidRPr="00DB38F0">
              <w:rPr>
                <w:lang w:val="cs" w:bidi="cs-CZ"/>
              </w:rPr>
              <w:t>ČSN EN ISO 105-J01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cs" w:bidi="cs-CZ"/>
              </w:rPr>
              <w:t>ČSN EN 20105-A02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L= 94,21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a= 3,71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b= -13,50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cs" w:bidi="cs-CZ"/>
              </w:rPr>
            </w:pPr>
            <w:r w:rsidRPr="00DB38F0">
              <w:rPr>
                <w:lang w:val="cs" w:bidi="cs-CZ"/>
              </w:rPr>
              <w:t>povolená barevná odchylka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cs" w:bidi="cs-CZ"/>
              </w:rPr>
              <w:t>stupeň 4 šedé stupnice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Plošná hmotnost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12127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105 g.m</w:t>
            </w:r>
            <w:r w:rsidRPr="00DB38F0">
              <w:rPr>
                <w:vertAlign w:val="superscript"/>
                <w:lang w:val="en-US" w:bidi="cs-CZ"/>
              </w:rPr>
              <w:t>2</w:t>
            </w:r>
            <w:r w:rsidRPr="00DB38F0">
              <w:rPr>
                <w:lang w:val="en-US" w:bidi="cs-CZ"/>
              </w:rPr>
              <w:t xml:space="preserve"> ± 5%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Změna rozměrů po praní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1x praní, teplota 40°C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6330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5077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max ± 1,5%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Pevnost min. osnova/ útek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13934-1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610 N</w:t>
            </w:r>
          </w:p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170 N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Změna vzhledu po jednom cyklu údržby, 40°C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15487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3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lastRenderedPageBreak/>
              <w:t xml:space="preserve">Žmolkovitost Martindale, 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2000 otáček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ISO 12945-2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stupeň 4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Odolnost vůči oděru </w:t>
            </w:r>
          </w:p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na přístroji Martindale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12947-2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35 000 otáček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Mačkavost – úhel zotavení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22313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min. 90°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 xml:space="preserve">Obsah volného formaldehydu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14184-1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max. 75 mg/kg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Hodnota pH volného výluhu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ČSN EN ISO 3071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DB38F0" w:rsidP="000435FC">
            <w:pPr>
              <w:spacing w:after="0"/>
              <w:jc w:val="center"/>
              <w:rPr>
                <w:lang w:val="en-US" w:bidi="cs-CZ"/>
              </w:rPr>
            </w:pPr>
            <w:r w:rsidRPr="00DB38F0">
              <w:rPr>
                <w:lang w:val="en-US" w:bidi="cs-CZ"/>
              </w:rPr>
              <w:t>4,5 - 7,5</w:t>
            </w:r>
          </w:p>
        </w:tc>
      </w:tr>
      <w:tr w:rsidR="00DB38F0" w:rsidRPr="00DB38F0" w:rsidTr="000435FC">
        <w:trPr>
          <w:trHeight w:val="603"/>
          <w:jc w:val="center"/>
        </w:trPr>
        <w:tc>
          <w:tcPr>
            <w:tcW w:w="1641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bCs/>
                <w:lang w:val="cs" w:bidi="cs-CZ"/>
              </w:rPr>
            </w:pPr>
            <w:r w:rsidRPr="00DB38F0">
              <w:rPr>
                <w:bCs/>
                <w:lang w:val="cs" w:bidi="cs-CZ"/>
              </w:rPr>
              <w:t>Symboly údržby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DB38F0" w:rsidRPr="00DB38F0" w:rsidRDefault="00DB38F0" w:rsidP="00DB38F0">
            <w:pPr>
              <w:spacing w:after="0"/>
              <w:rPr>
                <w:lang w:val="cs" w:bidi="cs-CZ"/>
              </w:rPr>
            </w:pPr>
            <w:r w:rsidRPr="00DB38F0">
              <w:rPr>
                <w:lang w:val="cs" w:bidi="cs-CZ"/>
              </w:rPr>
              <w:t>ČSN EN ISO 3758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DB38F0" w:rsidRPr="00DB38F0" w:rsidRDefault="000435FC" w:rsidP="000435FC">
            <w:pPr>
              <w:spacing w:after="0"/>
              <w:jc w:val="center"/>
              <w:rPr>
                <w:lang w:val="en-US" w:bidi="cs-CZ"/>
              </w:rPr>
            </w:pPr>
            <w:r>
              <w:object w:dxaOrig="2460" w:dyaOrig="525">
                <v:shape id="_x0000_i1026" type="#_x0000_t75" style="width:123pt;height:26.25pt" o:ole="">
                  <v:imagedata r:id="rId9" o:title=""/>
                </v:shape>
                <o:OLEObject Type="Embed" ProgID="PBrush" ShapeID="_x0000_i1026" DrawAspect="Content" ObjectID="_1625384947" r:id="rId10"/>
              </w:object>
            </w:r>
          </w:p>
        </w:tc>
      </w:tr>
    </w:tbl>
    <w:p w:rsidR="00DB38F0" w:rsidRDefault="00DB38F0" w:rsidP="002125AB">
      <w:pPr>
        <w:spacing w:after="0"/>
        <w:rPr>
          <w:b/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4" w:name="bookmark5"/>
      <w:r w:rsidRPr="00245298">
        <w:rPr>
          <w:b/>
          <w:bCs/>
          <w:lang w:bidi="cs-CZ"/>
        </w:rPr>
        <w:t>ZNAČENÍ</w:t>
      </w:r>
      <w:bookmarkEnd w:id="4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574C34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574C34">
        <w:rPr>
          <w:lang w:bidi="cs-CZ"/>
        </w:rPr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="006874FC">
        <w:rPr>
          <w:b/>
          <w:bCs/>
          <w:lang w:bidi="cs-CZ"/>
        </w:rPr>
        <w:t xml:space="preserve"> </w:t>
      </w:r>
      <w:r w:rsidR="006874FC" w:rsidRPr="006874FC">
        <w:rPr>
          <w:bCs/>
          <w:lang w:bidi="cs-CZ"/>
        </w:rPr>
        <w:t>v barvě bílé, písmo černé</w:t>
      </w:r>
      <w:r w:rsidRPr="00574C34">
        <w:rPr>
          <w:lang w:bidi="cs-CZ"/>
        </w:rPr>
        <w:t xml:space="preserve">, která </w:t>
      </w:r>
      <w:r w:rsidR="00574C34" w:rsidRPr="00574C34">
        <w:rPr>
          <w:lang w:bidi="cs-CZ"/>
        </w:rPr>
        <w:t>je všit</w:t>
      </w:r>
      <w:r w:rsidR="0097445E">
        <w:rPr>
          <w:lang w:bidi="cs-CZ"/>
        </w:rPr>
        <w:t>á cca. 100mm od dolního kraje</w:t>
      </w:r>
      <w:r w:rsidR="00574C34" w:rsidRPr="00574C34">
        <w:rPr>
          <w:lang w:bidi="cs-CZ"/>
        </w:rPr>
        <w:t xml:space="preserve"> levého bočního švu</w:t>
      </w:r>
      <w:r w:rsidRPr="00574C34">
        <w:rPr>
          <w:bCs/>
          <w:lang w:bidi="cs-CZ"/>
        </w:rPr>
        <w:t>.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Obsahuje údaje: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název výrobku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výrobce (dodavatel)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velikost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složení materiálu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symboly ošetřování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datum výroby ve tvaru mm/rrrr (měsíc/rok například 01/2018)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653B3" w:rsidRPr="007653B3" w:rsidRDefault="007653B3" w:rsidP="007653B3">
      <w:pPr>
        <w:spacing w:after="0" w:line="276" w:lineRule="auto"/>
        <w:jc w:val="both"/>
        <w:rPr>
          <w:lang w:bidi="cs-CZ"/>
        </w:rPr>
      </w:pPr>
      <w:r w:rsidRPr="007653B3">
        <w:rPr>
          <w:lang w:bidi="cs-CZ"/>
        </w:rPr>
        <w:t>Každý výrobek je dále opatřen lepící papírovou visačkou, která je nalepená na PE sáčku a obsahuje:</w:t>
      </w:r>
    </w:p>
    <w:p w:rsidR="007653B3" w:rsidRPr="007653B3" w:rsidRDefault="007653B3" w:rsidP="007653B3">
      <w:pPr>
        <w:spacing w:after="0" w:line="276" w:lineRule="auto"/>
        <w:jc w:val="both"/>
        <w:rPr>
          <w:lang w:bidi="cs-CZ"/>
        </w:rPr>
      </w:pPr>
      <w:r w:rsidRPr="007653B3">
        <w:rPr>
          <w:lang w:bidi="cs-CZ"/>
        </w:rPr>
        <w:t>název výrobku</w:t>
      </w:r>
    </w:p>
    <w:p w:rsidR="007653B3" w:rsidRPr="007653B3" w:rsidRDefault="007653B3" w:rsidP="007653B3">
      <w:pPr>
        <w:spacing w:after="0" w:line="276" w:lineRule="auto"/>
        <w:jc w:val="both"/>
        <w:rPr>
          <w:lang w:bidi="cs-CZ"/>
        </w:rPr>
      </w:pPr>
      <w:r w:rsidRPr="007653B3">
        <w:rPr>
          <w:lang w:bidi="cs-CZ"/>
        </w:rPr>
        <w:t>výrobce (dodavatel)</w:t>
      </w:r>
    </w:p>
    <w:p w:rsidR="007653B3" w:rsidRPr="007653B3" w:rsidRDefault="007653B3" w:rsidP="007653B3">
      <w:pPr>
        <w:spacing w:after="0" w:line="276" w:lineRule="auto"/>
        <w:jc w:val="both"/>
        <w:rPr>
          <w:lang w:bidi="cs-CZ"/>
        </w:rPr>
      </w:pPr>
      <w:r w:rsidRPr="007653B3">
        <w:rPr>
          <w:lang w:bidi="cs-CZ"/>
        </w:rPr>
        <w:t>velikost</w:t>
      </w:r>
    </w:p>
    <w:p w:rsidR="007653B3" w:rsidRPr="007653B3" w:rsidRDefault="007653B3" w:rsidP="007653B3">
      <w:pPr>
        <w:spacing w:after="0" w:line="276" w:lineRule="auto"/>
        <w:jc w:val="both"/>
        <w:rPr>
          <w:lang w:bidi="cs-CZ"/>
        </w:rPr>
      </w:pPr>
      <w:r w:rsidRPr="007653B3">
        <w:rPr>
          <w:lang w:bidi="cs-CZ"/>
        </w:rPr>
        <w:t>čárový kód výrobku</w:t>
      </w:r>
    </w:p>
    <w:p w:rsidR="007653B3" w:rsidRPr="007653B3" w:rsidRDefault="007653B3" w:rsidP="007653B3">
      <w:pPr>
        <w:spacing w:after="0" w:line="276" w:lineRule="auto"/>
        <w:jc w:val="both"/>
        <w:rPr>
          <w:lang w:bidi="cs-CZ"/>
        </w:rPr>
      </w:pPr>
      <w:r w:rsidRPr="007653B3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7"/>
      <w:r w:rsidRPr="00245298">
        <w:rPr>
          <w:b/>
          <w:bCs/>
          <w:lang w:bidi="cs-CZ"/>
        </w:rPr>
        <w:lastRenderedPageBreak/>
        <w:t>POKYNY PRO SYSTÉM KONTROL, ZKOUŠENÍ A KONEČNOU KONTROLU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8"/>
      <w:r w:rsidRPr="00245298">
        <w:rPr>
          <w:b/>
          <w:bCs/>
          <w:lang w:bidi="cs-CZ"/>
        </w:rPr>
        <w:t>POKYNY PRO ÚDRŽBU A OPRAVY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9"/>
      <w:r w:rsidRPr="00245298">
        <w:rPr>
          <w:b/>
          <w:bCs/>
          <w:lang w:bidi="cs-CZ"/>
        </w:rPr>
        <w:t>BALENÍ, SKLADOVÁNÍ, EKOLOGICKÁ LIKVIDACE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C80C0B" w:rsidRDefault="00C80C0B" w:rsidP="00C80C0B">
      <w:pPr>
        <w:spacing w:after="0" w:line="276" w:lineRule="auto"/>
        <w:jc w:val="both"/>
        <w:rPr>
          <w:lang w:bidi="cs-CZ"/>
        </w:rPr>
      </w:pPr>
      <w:bookmarkStart w:id="8" w:name="bookmark10"/>
      <w:r w:rsidRPr="00C80C0B">
        <w:rPr>
          <w:lang w:bidi="cs-CZ"/>
        </w:rPr>
        <w:t>Výrobky se skládají na kartonový výsek. Pod límcem</w:t>
      </w:r>
      <w:r>
        <w:rPr>
          <w:lang w:bidi="cs-CZ"/>
        </w:rPr>
        <w:t xml:space="preserve"> </w:t>
      </w:r>
      <w:r w:rsidRPr="00C80C0B">
        <w:rPr>
          <w:lang w:bidi="cs-CZ"/>
        </w:rPr>
        <w:t>je vložený kartonový pásek, na knoflíku pod límcem je zasunutý motýl. Dále se výrobky vkládají do</w:t>
      </w:r>
      <w:r>
        <w:rPr>
          <w:lang w:bidi="cs-CZ"/>
        </w:rPr>
        <w:t xml:space="preserve"> PE </w:t>
      </w:r>
      <w:r w:rsidRPr="00C80C0B">
        <w:rPr>
          <w:lang w:bidi="cs-CZ"/>
        </w:rPr>
        <w:t>sáčku a balí do krabice z pětivrstvé lepenky. Výrobky jsou uloženy proti sobě.</w:t>
      </w:r>
      <w:r>
        <w:rPr>
          <w:lang w:bidi="cs-CZ"/>
        </w:rPr>
        <w:t xml:space="preserve"> </w:t>
      </w:r>
      <w:r w:rsidRPr="00C80C0B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C80C0B">
        <w:rPr>
          <w:lang w:bidi="cs-CZ"/>
        </w:rPr>
        <w:t>kusů musí být řádně označena. V každé</w:t>
      </w:r>
      <w:bookmarkStart w:id="9" w:name="_GoBack"/>
      <w:bookmarkEnd w:id="9"/>
      <w:r w:rsidRPr="00C80C0B">
        <w:rPr>
          <w:lang w:bidi="cs-CZ"/>
        </w:rPr>
        <w:t xml:space="preserve"> krabici musí být výrobky stejné velikosti a </w:t>
      </w:r>
      <w:r w:rsidR="00396AF4">
        <w:rPr>
          <w:lang w:bidi="cs-CZ"/>
        </w:rPr>
        <w:t>artiklu</w:t>
      </w:r>
      <w:r w:rsidRPr="00C80C0B">
        <w:rPr>
          <w:lang w:bidi="cs-CZ"/>
        </w:rPr>
        <w:t>. Každá</w:t>
      </w:r>
      <w:r>
        <w:rPr>
          <w:lang w:bidi="cs-CZ"/>
        </w:rPr>
        <w:t xml:space="preserve"> </w:t>
      </w:r>
      <w:r w:rsidRPr="00C80C0B">
        <w:rPr>
          <w:lang w:bidi="cs-CZ"/>
        </w:rPr>
        <w:t>krabice je označena štítkem s údaji: počet kusů, název výrobku, velikost. Krabice musí být uzavřeny a přelepeny lepicí páskou.</w:t>
      </w:r>
    </w:p>
    <w:p w:rsidR="00BC7214" w:rsidRDefault="00BC7214" w:rsidP="00C80C0B">
      <w:pPr>
        <w:spacing w:after="0" w:line="276" w:lineRule="auto"/>
        <w:jc w:val="both"/>
        <w:rPr>
          <w:lang w:bidi="cs-CZ"/>
        </w:rPr>
      </w:pPr>
    </w:p>
    <w:p w:rsidR="0092700C" w:rsidRPr="00245298" w:rsidRDefault="0092700C" w:rsidP="00C80C0B">
      <w:pPr>
        <w:spacing w:after="0" w:line="276" w:lineRule="auto"/>
        <w:jc w:val="both"/>
        <w:rPr>
          <w:lang w:bidi="cs-CZ"/>
        </w:rPr>
        <w:sectPr w:rsidR="0092700C" w:rsidRPr="00245298" w:rsidSect="00775615">
          <w:headerReference w:type="default" r:id="rId11"/>
          <w:pgSz w:w="11900" w:h="16840"/>
          <w:pgMar w:top="1418" w:right="1418" w:bottom="1418" w:left="1418" w:header="845" w:footer="6" w:gutter="0"/>
          <w:pgNumType w:start="1"/>
          <w:cols w:space="720"/>
          <w:noEndnote/>
          <w:docGrid w:linePitch="360"/>
        </w:sectPr>
      </w:pP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</w:t>
      </w:r>
      <w:r w:rsidR="00C80C0B">
        <w:rPr>
          <w:lang w:bidi="cs-CZ"/>
        </w:rPr>
        <w:t xml:space="preserve">ch prostorách </w:t>
      </w:r>
      <w:r w:rsidRPr="00245298">
        <w:rPr>
          <w:lang w:bidi="cs-CZ"/>
        </w:rPr>
        <w:t>a nesmějí být vystaveny přímým účinkům slunečního záření a sál</w:t>
      </w:r>
      <w:r w:rsidR="00C80C0B">
        <w:rPr>
          <w:lang w:bidi="cs-CZ"/>
        </w:rPr>
        <w:t>avému teplu.</w:t>
      </w:r>
      <w:r w:rsidRPr="00245298">
        <w:rPr>
          <w:lang w:bidi="cs-CZ"/>
        </w:rPr>
        <w:t xml:space="preserve">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515D69" w:rsidRDefault="00245298" w:rsidP="00245298">
      <w:pPr>
        <w:numPr>
          <w:ilvl w:val="0"/>
          <w:numId w:val="1"/>
        </w:numPr>
        <w:rPr>
          <w:b/>
          <w:bCs/>
          <w:lang w:bidi="cs-CZ"/>
        </w:rPr>
        <w:sectPr w:rsidR="00245298" w:rsidRPr="00515D69" w:rsidSect="00775615">
          <w:headerReference w:type="default" r:id="rId12"/>
          <w:pgSz w:w="11900" w:h="16840"/>
          <w:pgMar w:top="1417" w:right="1417" w:bottom="1417" w:left="1417" w:header="960" w:footer="0" w:gutter="0"/>
          <w:cols w:space="720"/>
          <w:noEndnote/>
          <w:docGrid w:linePitch="360"/>
        </w:sectPr>
      </w:pPr>
      <w:r w:rsidRPr="00245298">
        <w:rPr>
          <w:b/>
          <w:bCs/>
          <w:lang w:bidi="cs-CZ"/>
        </w:rPr>
        <w:lastRenderedPageBreak/>
        <w:t>TECHNICKÝ NÁKRES</w:t>
      </w:r>
      <w:bookmarkEnd w:id="8"/>
    </w:p>
    <w:p w:rsidR="00245298" w:rsidRPr="00245298" w:rsidRDefault="00775615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5DD3BE6A">
            <wp:extent cx="5514975" cy="368236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809" cy="3694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775615" w:rsidRDefault="00775615" w:rsidP="00775615">
      <w:pPr>
        <w:jc w:val="center"/>
        <w:rPr>
          <w:sz w:val="20"/>
          <w:szCs w:val="20"/>
          <w:lang w:bidi="cs-CZ"/>
        </w:rPr>
      </w:pPr>
      <w:r w:rsidRPr="00775615">
        <w:rPr>
          <w:sz w:val="20"/>
          <w:szCs w:val="20"/>
          <w:lang w:bidi="cs-CZ"/>
        </w:rPr>
        <w:t>Obr. 1 – Košile stejnokrojová dámská dlouhý rukáv</w:t>
      </w:r>
    </w:p>
    <w:p w:rsidR="00245298" w:rsidRDefault="00775615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4E6D76D9">
            <wp:extent cx="5476875" cy="3581203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886" cy="35955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5615" w:rsidRPr="00775615" w:rsidRDefault="00775615" w:rsidP="00775615">
      <w:pPr>
        <w:jc w:val="center"/>
        <w:rPr>
          <w:sz w:val="20"/>
          <w:szCs w:val="20"/>
          <w:lang w:bidi="cs-CZ"/>
        </w:rPr>
      </w:pPr>
      <w:r w:rsidRPr="00775615">
        <w:rPr>
          <w:sz w:val="20"/>
          <w:szCs w:val="20"/>
          <w:lang w:bidi="cs-CZ"/>
        </w:rPr>
        <w:t xml:space="preserve">Obr. </w:t>
      </w:r>
      <w:r>
        <w:rPr>
          <w:sz w:val="20"/>
          <w:szCs w:val="20"/>
          <w:lang w:bidi="cs-CZ"/>
        </w:rPr>
        <w:t>2</w:t>
      </w:r>
      <w:r w:rsidRPr="00775615">
        <w:rPr>
          <w:sz w:val="20"/>
          <w:szCs w:val="20"/>
          <w:lang w:bidi="cs-CZ"/>
        </w:rPr>
        <w:t xml:space="preserve"> – Košile stejnokrojová dámská </w:t>
      </w:r>
      <w:r>
        <w:rPr>
          <w:sz w:val="20"/>
          <w:szCs w:val="20"/>
          <w:lang w:bidi="cs-CZ"/>
        </w:rPr>
        <w:t>krátký</w:t>
      </w:r>
      <w:r w:rsidRPr="00775615">
        <w:rPr>
          <w:sz w:val="20"/>
          <w:szCs w:val="20"/>
          <w:lang w:bidi="cs-CZ"/>
        </w:rPr>
        <w:t xml:space="preserve"> rukáv</w:t>
      </w:r>
    </w:p>
    <w:p w:rsidR="00594F2F" w:rsidRPr="00594F2F" w:rsidRDefault="00594F2F" w:rsidP="00594F2F">
      <w:pPr>
        <w:rPr>
          <w:sz w:val="18"/>
          <w:szCs w:val="18"/>
          <w:lang w:bidi="cs-CZ"/>
        </w:rPr>
      </w:pPr>
      <w:r w:rsidRPr="00594F2F">
        <w:rPr>
          <w:sz w:val="18"/>
          <w:szCs w:val="18"/>
          <w:lang w:bidi="cs-CZ"/>
        </w:rPr>
        <w:t>* Vyobrazené logo SŽDC je pouze ilustrační a slouží jako pomůcka pro jeho umístění na výrobku.</w:t>
      </w:r>
      <w:r w:rsidR="00775615">
        <w:rPr>
          <w:sz w:val="18"/>
          <w:szCs w:val="18"/>
          <w:lang w:bidi="cs-CZ"/>
        </w:rPr>
        <w:t xml:space="preserve"> </w:t>
      </w:r>
      <w:r w:rsidRPr="00594F2F">
        <w:rPr>
          <w:sz w:val="18"/>
          <w:szCs w:val="18"/>
          <w:lang w:bidi="cs-CZ"/>
        </w:rPr>
        <w:t>Vyšité logo v oranžové barvě Pantone 151C/ oranžová nit 1333 Marathon a modré barvě Pantone 2955C/ modrá nit 1256 Marathon.</w:t>
      </w:r>
    </w:p>
    <w:p w:rsidR="00245298" w:rsidRPr="00245298" w:rsidRDefault="00245298" w:rsidP="00245298">
      <w:pPr>
        <w:rPr>
          <w:lang w:bidi="cs-CZ"/>
        </w:rPr>
        <w:sectPr w:rsidR="00245298" w:rsidRPr="00245298" w:rsidSect="00775615">
          <w:type w:val="continuous"/>
          <w:pgSz w:w="11900" w:h="16840"/>
          <w:pgMar w:top="1418" w:right="1418" w:bottom="1418" w:left="1418" w:header="936" w:footer="6" w:gutter="0"/>
          <w:cols w:space="720"/>
          <w:noEndnote/>
          <w:docGrid w:linePitch="360"/>
        </w:sectPr>
      </w:pPr>
    </w:p>
    <w:p w:rsidR="00993906" w:rsidRPr="00993906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</w:p>
    <w:p w:rsidR="00993906" w:rsidRDefault="00993906" w:rsidP="00993906">
      <w:pPr>
        <w:spacing w:after="0"/>
        <w:rPr>
          <w:b/>
          <w:bCs/>
          <w:lang w:bidi="cs-CZ"/>
        </w:rPr>
      </w:pPr>
    </w:p>
    <w:p w:rsidR="009E2010" w:rsidRPr="00245298" w:rsidRDefault="00993906" w:rsidP="009E2010">
      <w:pPr>
        <w:spacing w:after="0"/>
      </w:pPr>
      <w:r>
        <w:rPr>
          <w:b/>
          <w:bCs/>
          <w:lang w:bidi="cs-CZ"/>
        </w:rPr>
        <w:t>Kalkulační velikost: 170</w:t>
      </w:r>
      <w:r w:rsidR="00507FF9">
        <w:rPr>
          <w:b/>
          <w:bCs/>
          <w:lang w:bidi="cs-CZ"/>
        </w:rPr>
        <w:t>/ 48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1"/>
        <w:gridCol w:w="2844"/>
        <w:gridCol w:w="831"/>
        <w:gridCol w:w="738"/>
        <w:gridCol w:w="663"/>
        <w:gridCol w:w="734"/>
        <w:gridCol w:w="72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74"/>
      </w:tblGrid>
      <w:tr w:rsidR="00507FF9" w:rsidRPr="00507FF9" w:rsidTr="00040F9E">
        <w:trPr>
          <w:trHeight w:val="284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vMerge w:val="restart"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Výška postavy</w:t>
            </w:r>
          </w:p>
        </w:tc>
        <w:tc>
          <w:tcPr>
            <w:tcW w:w="738" w:type="dxa"/>
            <w:tcBorders>
              <w:top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41387D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 xml:space="preserve">ozn. velikosti </w:t>
            </w:r>
            <w:r w:rsidR="00040F9E">
              <w:rPr>
                <w:sz w:val="18"/>
                <w:szCs w:val="18"/>
              </w:rPr>
              <w:t xml:space="preserve"> (</w:t>
            </w:r>
            <w:r w:rsidR="0041387D" w:rsidRPr="0041387D">
              <w:rPr>
                <w:rFonts w:ascii="Century Gothic" w:hAnsi="Century Gothic"/>
                <w:sz w:val="18"/>
                <w:szCs w:val="18"/>
              </w:rPr>
              <w:t>½</w:t>
            </w:r>
            <w:r w:rsidR="0041387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040F9E">
              <w:rPr>
                <w:sz w:val="18"/>
                <w:szCs w:val="18"/>
              </w:rPr>
              <w:t>hrudní šíře)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66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 xml:space="preserve"> hrudní šíře</w:t>
            </w:r>
            <w:r w:rsidR="00BC4085">
              <w:rPr>
                <w:sz w:val="18"/>
                <w:szCs w:val="18"/>
              </w:rPr>
              <w:t xml:space="preserve"> </w:t>
            </w:r>
            <w:r w:rsidRPr="00507FF9">
              <w:rPr>
                <w:sz w:val="18"/>
                <w:szCs w:val="18"/>
              </w:rPr>
              <w:t>/¹</w:t>
            </w:r>
          </w:p>
        </w:tc>
        <w:tc>
          <w:tcPr>
            <w:tcW w:w="831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80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84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88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116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128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132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284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Kontrolní rozměry:</w:t>
            </w:r>
          </w:p>
        </w:tc>
        <w:tc>
          <w:tcPr>
            <w:tcW w:w="831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délka stojáku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37,2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37,8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38,4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39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39,6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40,2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40,8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41,4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42,6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43,2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43,8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44,4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45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986D85" w:rsidP="00507F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Prsní šířka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45,5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47,5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49,5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51,5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53,5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55,5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57,5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59,5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61,5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63,5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65,5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67,5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69,5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71,5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986D85" w:rsidP="00507F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Pasová šířka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38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40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42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44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49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53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58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64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66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986D85" w:rsidP="00507F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Šířka dolního kraje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46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48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70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72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 w:val="restart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2844" w:type="dxa"/>
            <w:vMerge w:val="restart"/>
            <w:noWrap/>
            <w:vAlign w:val="center"/>
            <w:hideMark/>
          </w:tcPr>
          <w:p w:rsidR="00507FF9" w:rsidRPr="00507FF9" w:rsidRDefault="00986D85" w:rsidP="00986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Zadní délka</w:t>
            </w: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61,5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63,5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65,5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67,5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 w:val="restart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844" w:type="dxa"/>
            <w:vMerge w:val="restart"/>
            <w:noWrap/>
            <w:vAlign w:val="center"/>
            <w:hideMark/>
          </w:tcPr>
          <w:p w:rsidR="00507FF9" w:rsidRPr="00507FF9" w:rsidRDefault="00507FF9" w:rsidP="00986D85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 xml:space="preserve">Délka rukávu </w:t>
            </w:r>
            <w:r w:rsidR="00986D85">
              <w:rPr>
                <w:sz w:val="18"/>
                <w:szCs w:val="18"/>
              </w:rPr>
              <w:t>krátkého</w:t>
            </w: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21,5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24,5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 w:val="restart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844" w:type="dxa"/>
            <w:vMerge w:val="restart"/>
            <w:noWrap/>
            <w:vAlign w:val="center"/>
            <w:hideMark/>
          </w:tcPr>
          <w:p w:rsidR="00507FF9" w:rsidRPr="00507FF9" w:rsidRDefault="00507FF9" w:rsidP="00986D85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Délka rukávu</w:t>
            </w:r>
            <w:r w:rsidR="00986D85">
              <w:rPr>
                <w:sz w:val="18"/>
                <w:szCs w:val="18"/>
              </w:rPr>
              <w:t xml:space="preserve"> dlouhého</w:t>
            </w:r>
            <w:r w:rsidRPr="00507FF9">
              <w:rPr>
                <w:sz w:val="18"/>
                <w:szCs w:val="18"/>
              </w:rPr>
              <w:t xml:space="preserve"> /</w:t>
            </w:r>
            <w:r w:rsidRPr="00507FF9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61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vMerge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4" w:type="dxa"/>
            <w:vMerge/>
            <w:vAlign w:val="center"/>
            <w:hideMark/>
          </w:tcPr>
          <w:p w:rsidR="00507FF9" w:rsidRPr="00507FF9" w:rsidRDefault="00507FF9" w:rsidP="00507FF9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38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986D85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Šíř</w:t>
            </w:r>
            <w:r w:rsidR="00986D85">
              <w:rPr>
                <w:sz w:val="18"/>
                <w:szCs w:val="18"/>
              </w:rPr>
              <w:t>ka náramenice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11,7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12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12,3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12,6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13,2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13,5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13,8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14,1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14,4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14,7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15,3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15,6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507FF9" w:rsidP="00986D85">
            <w:pPr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Šíř</w:t>
            </w:r>
            <w:r w:rsidR="00986D85">
              <w:rPr>
                <w:sz w:val="18"/>
                <w:szCs w:val="18"/>
              </w:rPr>
              <w:t>ka</w:t>
            </w:r>
            <w:r w:rsidRPr="00507FF9">
              <w:rPr>
                <w:sz w:val="18"/>
                <w:szCs w:val="18"/>
              </w:rPr>
              <w:t xml:space="preserve"> zad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34,2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35,2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36,2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37,2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38,2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39,2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40,2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41,2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42,2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43,2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44,2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45,2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46,2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47,2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507FF9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986D85" w:rsidP="00507F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Dolní šířka rukávu krátkého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15,2</w:t>
            </w:r>
          </w:p>
        </w:tc>
        <w:tc>
          <w:tcPr>
            <w:tcW w:w="663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15,6</w:t>
            </w:r>
          </w:p>
        </w:tc>
        <w:tc>
          <w:tcPr>
            <w:tcW w:w="73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16,4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 w:rsidRPr="00507FF9">
              <w:rPr>
                <w:b/>
                <w:bCs/>
                <w:sz w:val="18"/>
                <w:szCs w:val="18"/>
              </w:rPr>
              <w:t>16,8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17,2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17,6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18,4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18,8</w:t>
            </w:r>
          </w:p>
        </w:tc>
        <w:tc>
          <w:tcPr>
            <w:tcW w:w="708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19,2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19,6</w:t>
            </w:r>
          </w:p>
        </w:tc>
        <w:tc>
          <w:tcPr>
            <w:tcW w:w="709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20</w:t>
            </w:r>
          </w:p>
        </w:tc>
        <w:tc>
          <w:tcPr>
            <w:tcW w:w="674" w:type="dxa"/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sz w:val="18"/>
                <w:szCs w:val="18"/>
              </w:rPr>
            </w:pPr>
            <w:r w:rsidRPr="00507FF9">
              <w:rPr>
                <w:sz w:val="18"/>
                <w:szCs w:val="18"/>
              </w:rPr>
              <w:t>20,4</w:t>
            </w:r>
          </w:p>
        </w:tc>
      </w:tr>
      <w:tr w:rsidR="00507FF9" w:rsidRPr="00507FF9" w:rsidTr="00040F9E">
        <w:trPr>
          <w:trHeight w:val="284"/>
        </w:trPr>
        <w:tc>
          <w:tcPr>
            <w:tcW w:w="411" w:type="dxa"/>
            <w:noWrap/>
            <w:vAlign w:val="center"/>
            <w:hideMark/>
          </w:tcPr>
          <w:p w:rsidR="00507FF9" w:rsidRPr="00507FF9" w:rsidRDefault="00986D85" w:rsidP="00040F9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</w:t>
            </w:r>
          </w:p>
        </w:tc>
        <w:tc>
          <w:tcPr>
            <w:tcW w:w="2844" w:type="dxa"/>
            <w:tcBorders>
              <w:right w:val="nil"/>
            </w:tcBorders>
            <w:noWrap/>
            <w:vAlign w:val="center"/>
            <w:hideMark/>
          </w:tcPr>
          <w:p w:rsidR="00507FF9" w:rsidRPr="00507FF9" w:rsidRDefault="00986D85" w:rsidP="00507F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Délka manžety</w:t>
            </w:r>
          </w:p>
        </w:tc>
        <w:tc>
          <w:tcPr>
            <w:tcW w:w="831" w:type="dxa"/>
            <w:tcBorders>
              <w:left w:val="nil"/>
            </w:tcBorders>
            <w:noWrap/>
            <w:vAlign w:val="center"/>
            <w:hideMark/>
          </w:tcPr>
          <w:p w:rsidR="00507FF9" w:rsidRPr="00507FF9" w:rsidRDefault="00507FF9" w:rsidP="00507FF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54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18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383" w:type="dxa"/>
            <w:gridSpan w:val="2"/>
            <w:noWrap/>
            <w:vAlign w:val="center"/>
            <w:hideMark/>
          </w:tcPr>
          <w:p w:rsidR="00507FF9" w:rsidRPr="00507FF9" w:rsidRDefault="00986D85" w:rsidP="00507F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</w:tbl>
    <w:p w:rsidR="00507FF9" w:rsidRPr="00507FF9" w:rsidRDefault="00507FF9" w:rsidP="00507FF9">
      <w:pPr>
        <w:spacing w:after="0"/>
        <w:rPr>
          <w:sz w:val="18"/>
          <w:szCs w:val="18"/>
        </w:rPr>
      </w:pPr>
      <w:r w:rsidRPr="00507FF9">
        <w:rPr>
          <w:sz w:val="18"/>
          <w:szCs w:val="18"/>
        </w:rPr>
        <w:t>Všechny rozměry jsou uvedené v cm; metodika měření dle ČSN 80 7040;</w:t>
      </w:r>
      <w:r w:rsidR="009E2010">
        <w:rPr>
          <w:sz w:val="18"/>
          <w:szCs w:val="18"/>
        </w:rPr>
        <w:t xml:space="preserve"> </w:t>
      </w:r>
      <w:r w:rsidRPr="00507FF9">
        <w:rPr>
          <w:sz w:val="18"/>
          <w:szCs w:val="18"/>
        </w:rPr>
        <w:t>Povolená tolerance je ± 2%</w:t>
      </w:r>
    </w:p>
    <w:p w:rsidR="00056C00" w:rsidRPr="00937ED8" w:rsidRDefault="00507FF9" w:rsidP="00507FF9">
      <w:pPr>
        <w:spacing w:after="0"/>
        <w:rPr>
          <w:sz w:val="18"/>
          <w:szCs w:val="18"/>
        </w:rPr>
      </w:pPr>
      <w:r w:rsidRPr="00507FF9">
        <w:rPr>
          <w:sz w:val="18"/>
          <w:szCs w:val="18"/>
        </w:rPr>
        <w:t>/</w:t>
      </w:r>
      <w:r w:rsidRPr="00A442FA">
        <w:rPr>
          <w:sz w:val="18"/>
          <w:szCs w:val="18"/>
          <w:vertAlign w:val="superscript"/>
        </w:rPr>
        <w:t>1</w:t>
      </w:r>
      <w:r w:rsidRPr="00507FF9">
        <w:rPr>
          <w:sz w:val="18"/>
          <w:szCs w:val="18"/>
        </w:rPr>
        <w:t xml:space="preserve"> - tělesný rozměr</w:t>
      </w:r>
      <w:r w:rsidR="009E2010">
        <w:rPr>
          <w:sz w:val="18"/>
          <w:szCs w:val="18"/>
        </w:rPr>
        <w:t xml:space="preserve"> </w:t>
      </w:r>
      <w:r w:rsidRPr="00507FF9">
        <w:rPr>
          <w:sz w:val="18"/>
          <w:szCs w:val="18"/>
        </w:rPr>
        <w:t>/</w:t>
      </w:r>
      <w:r w:rsidRPr="00A442FA">
        <w:rPr>
          <w:sz w:val="18"/>
          <w:szCs w:val="18"/>
          <w:vertAlign w:val="superscript"/>
        </w:rPr>
        <w:t>2</w:t>
      </w:r>
      <w:r w:rsidRPr="00507FF9">
        <w:rPr>
          <w:sz w:val="18"/>
          <w:szCs w:val="18"/>
        </w:rPr>
        <w:t xml:space="preserve"> </w:t>
      </w:r>
      <w:r w:rsidR="00BC4085">
        <w:rPr>
          <w:sz w:val="18"/>
          <w:szCs w:val="18"/>
        </w:rPr>
        <w:t xml:space="preserve">- </w:t>
      </w:r>
      <w:r w:rsidRPr="00507FF9">
        <w:rPr>
          <w:sz w:val="18"/>
          <w:szCs w:val="18"/>
        </w:rPr>
        <w:t>délka uvedená včetně manžety</w:t>
      </w:r>
    </w:p>
    <w:sectPr w:rsidR="00056C00" w:rsidRPr="00937ED8" w:rsidSect="00245298">
      <w:footerReference w:type="default" r:id="rId15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E58" w:rsidRDefault="00BB7E58" w:rsidP="00245298">
      <w:pPr>
        <w:spacing w:after="0" w:line="240" w:lineRule="auto"/>
      </w:pPr>
      <w:r>
        <w:separator/>
      </w:r>
    </w:p>
  </w:endnote>
  <w:endnote w:type="continuationSeparator" w:id="0">
    <w:p w:rsidR="00BB7E58" w:rsidRDefault="00BB7E58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58" w:rsidRDefault="00BB7E58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B7E58" w:rsidRDefault="00BB7E58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Stranka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96AF4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224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BB7E58" w:rsidRDefault="00BB7E58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Stranka</w:t>
                    </w:r>
                    <w:proofErr w:type="spellEnd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96AF4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8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E58" w:rsidRDefault="00BB7E58" w:rsidP="00245298">
      <w:pPr>
        <w:spacing w:after="0" w:line="240" w:lineRule="auto"/>
      </w:pPr>
      <w:r>
        <w:separator/>
      </w:r>
    </w:p>
  </w:footnote>
  <w:footnote w:type="continuationSeparator" w:id="0">
    <w:p w:rsidR="00BB7E58" w:rsidRDefault="00BB7E58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58" w:rsidRDefault="00BB7E58" w:rsidP="00DB38F0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KOŠILE STEJNOKROJOVÁ DÁMSKÁ - DLOUHÝ/ KRÁTKÝ RUKÁV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58" w:rsidRDefault="00BB7E58" w:rsidP="00507FF9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KOŠILE STEJNOKROJOVÁ DÁMSKÁ - DLOUHÝ/ KRÁTKÝ RUKÁV</w:t>
    </w:r>
  </w:p>
  <w:p w:rsidR="00BB7E58" w:rsidRDefault="00BB7E5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13"/>
  </w:num>
  <w:num w:numId="9">
    <w:abstractNumId w:val="10"/>
  </w:num>
  <w:num w:numId="10">
    <w:abstractNumId w:val="17"/>
  </w:num>
  <w:num w:numId="11">
    <w:abstractNumId w:val="9"/>
  </w:num>
  <w:num w:numId="12">
    <w:abstractNumId w:val="3"/>
  </w:num>
  <w:num w:numId="13">
    <w:abstractNumId w:val="12"/>
  </w:num>
  <w:num w:numId="14">
    <w:abstractNumId w:val="15"/>
  </w:num>
  <w:num w:numId="15">
    <w:abstractNumId w:val="11"/>
  </w:num>
  <w:num w:numId="16">
    <w:abstractNumId w:val="16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0F9E"/>
    <w:rsid w:val="000435FC"/>
    <w:rsid w:val="00056C00"/>
    <w:rsid w:val="00080DD3"/>
    <w:rsid w:val="000A1C66"/>
    <w:rsid w:val="0014325D"/>
    <w:rsid w:val="00155F0E"/>
    <w:rsid w:val="002125AB"/>
    <w:rsid w:val="00245298"/>
    <w:rsid w:val="00267B3E"/>
    <w:rsid w:val="002F3873"/>
    <w:rsid w:val="0033236C"/>
    <w:rsid w:val="003452FF"/>
    <w:rsid w:val="0037317B"/>
    <w:rsid w:val="00396AF4"/>
    <w:rsid w:val="003B03F1"/>
    <w:rsid w:val="003F04BA"/>
    <w:rsid w:val="003F2BA9"/>
    <w:rsid w:val="0041387D"/>
    <w:rsid w:val="00463422"/>
    <w:rsid w:val="00474EC9"/>
    <w:rsid w:val="00507FF9"/>
    <w:rsid w:val="00510C69"/>
    <w:rsid w:val="00515D69"/>
    <w:rsid w:val="0054799D"/>
    <w:rsid w:val="00574C34"/>
    <w:rsid w:val="005879B3"/>
    <w:rsid w:val="00594F2F"/>
    <w:rsid w:val="006874FC"/>
    <w:rsid w:val="006919BE"/>
    <w:rsid w:val="006B5424"/>
    <w:rsid w:val="006E2D07"/>
    <w:rsid w:val="007653B3"/>
    <w:rsid w:val="00775615"/>
    <w:rsid w:val="0078171B"/>
    <w:rsid w:val="00785E1D"/>
    <w:rsid w:val="007D6C7D"/>
    <w:rsid w:val="00831396"/>
    <w:rsid w:val="008861BC"/>
    <w:rsid w:val="008A14B9"/>
    <w:rsid w:val="008C2C34"/>
    <w:rsid w:val="009126CA"/>
    <w:rsid w:val="0092700C"/>
    <w:rsid w:val="00937ED8"/>
    <w:rsid w:val="00940DE8"/>
    <w:rsid w:val="00972C36"/>
    <w:rsid w:val="0097445E"/>
    <w:rsid w:val="00986D85"/>
    <w:rsid w:val="00993906"/>
    <w:rsid w:val="009E2010"/>
    <w:rsid w:val="00A135AD"/>
    <w:rsid w:val="00A442FA"/>
    <w:rsid w:val="00A64EA5"/>
    <w:rsid w:val="00A7223F"/>
    <w:rsid w:val="00AC6A5F"/>
    <w:rsid w:val="00AE3EE9"/>
    <w:rsid w:val="00B34900"/>
    <w:rsid w:val="00BB7E58"/>
    <w:rsid w:val="00BC4085"/>
    <w:rsid w:val="00BC7214"/>
    <w:rsid w:val="00C12B0D"/>
    <w:rsid w:val="00C42385"/>
    <w:rsid w:val="00C80C0B"/>
    <w:rsid w:val="00D92615"/>
    <w:rsid w:val="00DB38F0"/>
    <w:rsid w:val="00DC2C95"/>
    <w:rsid w:val="00DD464F"/>
    <w:rsid w:val="00DE783E"/>
    <w:rsid w:val="00E02F33"/>
    <w:rsid w:val="00E06942"/>
    <w:rsid w:val="00E06A51"/>
    <w:rsid w:val="00E24BAE"/>
    <w:rsid w:val="00E417C5"/>
    <w:rsid w:val="00E54134"/>
    <w:rsid w:val="00E77AFD"/>
    <w:rsid w:val="00F02E08"/>
    <w:rsid w:val="00F03D60"/>
    <w:rsid w:val="00F20565"/>
    <w:rsid w:val="00FC1055"/>
    <w:rsid w:val="00FD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8</Pages>
  <Words>2050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2019-07-23T09:00:00Z</dcterms:modified>
</cp:coreProperties>
</file>