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0" w:name="bookmark1"/>
      <w:r w:rsidRPr="00245298">
        <w:rPr>
          <w:b/>
          <w:bCs/>
          <w:lang w:bidi="cs-CZ"/>
        </w:rPr>
        <w:t>URČENÍ VÝROBKU</w:t>
      </w:r>
      <w:bookmarkEnd w:id="0"/>
    </w:p>
    <w:p w:rsidR="00245298" w:rsidRDefault="00245298" w:rsidP="00DE783E">
      <w:pPr>
        <w:spacing w:after="0" w:line="276" w:lineRule="auto"/>
        <w:jc w:val="both"/>
        <w:rPr>
          <w:b/>
          <w:bCs/>
          <w:lang w:bidi="cs-CZ"/>
        </w:rPr>
      </w:pPr>
    </w:p>
    <w:p w:rsidR="00245298" w:rsidRDefault="000973D0" w:rsidP="00DE783E">
      <w:pPr>
        <w:spacing w:after="0" w:line="276" w:lineRule="auto"/>
        <w:jc w:val="both"/>
        <w:rPr>
          <w:lang w:bidi="cs-CZ"/>
        </w:rPr>
      </w:pPr>
      <w:r>
        <w:rPr>
          <w:b/>
          <w:bCs/>
          <w:lang w:bidi="cs-CZ"/>
        </w:rPr>
        <w:t>Sukně stejnokrojová</w:t>
      </w:r>
      <w:r w:rsidR="00245298" w:rsidRPr="00245298">
        <w:rPr>
          <w:b/>
          <w:bCs/>
          <w:lang w:bidi="cs-CZ"/>
        </w:rPr>
        <w:t xml:space="preserve"> </w:t>
      </w:r>
      <w:r w:rsidR="00B71047">
        <w:rPr>
          <w:b/>
          <w:bCs/>
          <w:lang w:bidi="cs-CZ"/>
        </w:rPr>
        <w:t xml:space="preserve">letní </w:t>
      </w:r>
      <w:r w:rsidR="007C2B2C" w:rsidRPr="005A270F">
        <w:rPr>
          <w:lang w:bidi="cs-CZ"/>
        </w:rPr>
        <w:t xml:space="preserve">(dále jen </w:t>
      </w:r>
      <w:r w:rsidR="007C2B2C">
        <w:rPr>
          <w:lang w:bidi="cs-CZ"/>
        </w:rPr>
        <w:t>sukně</w:t>
      </w:r>
      <w:r w:rsidR="007C2B2C" w:rsidRPr="005A270F">
        <w:rPr>
          <w:lang w:bidi="cs-CZ"/>
        </w:rPr>
        <w:t>)</w:t>
      </w:r>
      <w:r w:rsidR="007C2B2C">
        <w:rPr>
          <w:b/>
          <w:bCs/>
          <w:lang w:bidi="cs-CZ"/>
        </w:rPr>
        <w:t xml:space="preserve"> </w:t>
      </w:r>
      <w:r w:rsidR="007C2B2C">
        <w:rPr>
          <w:lang w:bidi="cs-CZ"/>
        </w:rPr>
        <w:t>je oděvní součástkou pro dolní část těla stejnokroje</w:t>
      </w:r>
      <w:r w:rsidR="007C2B2C" w:rsidRPr="00245298">
        <w:rPr>
          <w:lang w:bidi="cs-CZ"/>
        </w:rPr>
        <w:t xml:space="preserve"> Správ</w:t>
      </w:r>
      <w:r w:rsidR="007C2B2C">
        <w:rPr>
          <w:lang w:bidi="cs-CZ"/>
        </w:rPr>
        <w:t>y</w:t>
      </w:r>
      <w:r w:rsidR="007C2B2C" w:rsidRPr="00245298">
        <w:rPr>
          <w:lang w:bidi="cs-CZ"/>
        </w:rPr>
        <w:t xml:space="preserve"> železniční do</w:t>
      </w:r>
      <w:r w:rsidR="007C2B2C">
        <w:rPr>
          <w:lang w:bidi="cs-CZ"/>
        </w:rPr>
        <w:t>pravní cesty (dále jen SŽDC) pro ženy v letním období.</w:t>
      </w:r>
    </w:p>
    <w:p w:rsidR="007C2B2C" w:rsidRPr="00245298" w:rsidRDefault="007C2B2C" w:rsidP="00DE783E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1" w:name="bookmark2"/>
      <w:r w:rsidRPr="00245298">
        <w:rPr>
          <w:b/>
          <w:bCs/>
          <w:lang w:bidi="cs-CZ"/>
        </w:rPr>
        <w:t>TECHNICKÝ POPIS</w:t>
      </w:r>
      <w:bookmarkEnd w:id="1"/>
    </w:p>
    <w:p w:rsidR="00DE783E" w:rsidRDefault="00DE783E" w:rsidP="00DE783E">
      <w:pPr>
        <w:spacing w:after="0" w:line="276" w:lineRule="auto"/>
        <w:jc w:val="both"/>
        <w:rPr>
          <w:lang w:bidi="cs-CZ"/>
        </w:rPr>
      </w:pPr>
    </w:p>
    <w:p w:rsidR="007C2B2C" w:rsidRPr="000973D0" w:rsidRDefault="007C2B2C" w:rsidP="007C2B2C">
      <w:pPr>
        <w:spacing w:after="0" w:line="276" w:lineRule="auto"/>
        <w:jc w:val="both"/>
        <w:rPr>
          <w:lang w:bidi="cs-CZ"/>
        </w:rPr>
      </w:pPr>
      <w:r w:rsidRPr="000973D0">
        <w:rPr>
          <w:lang w:bidi="cs-CZ"/>
        </w:rPr>
        <w:t xml:space="preserve">Dámská podšitá sukně. Přední díl členěný </w:t>
      </w:r>
      <w:r>
        <w:rPr>
          <w:lang w:bidi="cs-CZ"/>
        </w:rPr>
        <w:t xml:space="preserve">svislými </w:t>
      </w:r>
      <w:r w:rsidRPr="000973D0">
        <w:rPr>
          <w:lang w:bidi="cs-CZ"/>
        </w:rPr>
        <w:t>šv</w:t>
      </w:r>
      <w:r>
        <w:rPr>
          <w:lang w:bidi="cs-CZ"/>
        </w:rPr>
        <w:t xml:space="preserve">y, v dolním okraji jsou v členících švech </w:t>
      </w:r>
      <w:r w:rsidRPr="000973D0">
        <w:rPr>
          <w:lang w:bidi="cs-CZ"/>
        </w:rPr>
        <w:t>složen</w:t>
      </w:r>
      <w:r>
        <w:rPr>
          <w:lang w:bidi="cs-CZ"/>
        </w:rPr>
        <w:t>é</w:t>
      </w:r>
      <w:r w:rsidRPr="000973D0">
        <w:rPr>
          <w:lang w:bidi="cs-CZ"/>
        </w:rPr>
        <w:t xml:space="preserve"> záhyb</w:t>
      </w:r>
      <w:r>
        <w:rPr>
          <w:lang w:bidi="cs-CZ"/>
        </w:rPr>
        <w:t>y. B</w:t>
      </w:r>
      <w:r w:rsidRPr="000973D0">
        <w:rPr>
          <w:lang w:bidi="cs-CZ"/>
        </w:rPr>
        <w:t>oční</w:t>
      </w:r>
      <w:r>
        <w:rPr>
          <w:lang w:bidi="cs-CZ"/>
        </w:rPr>
        <w:t xml:space="preserve"> kapsy </w:t>
      </w:r>
      <w:r w:rsidRPr="000973D0">
        <w:rPr>
          <w:lang w:bidi="cs-CZ"/>
        </w:rPr>
        <w:t>klíno</w:t>
      </w:r>
      <w:r>
        <w:rPr>
          <w:lang w:bidi="cs-CZ"/>
        </w:rPr>
        <w:t>vé</w:t>
      </w:r>
      <w:r w:rsidRPr="000973D0">
        <w:rPr>
          <w:lang w:bidi="cs-CZ"/>
        </w:rPr>
        <w:t>. Zadní díl se</w:t>
      </w:r>
      <w:r>
        <w:rPr>
          <w:lang w:bidi="cs-CZ"/>
        </w:rPr>
        <w:t xml:space="preserve"> středovým švem a dvěma </w:t>
      </w:r>
      <w:r w:rsidRPr="000973D0">
        <w:rPr>
          <w:lang w:bidi="cs-CZ"/>
        </w:rPr>
        <w:t xml:space="preserve">záševky. V horní části </w:t>
      </w:r>
      <w:r>
        <w:rPr>
          <w:lang w:bidi="cs-CZ"/>
        </w:rPr>
        <w:t xml:space="preserve">středového švu zadního dílu </w:t>
      </w:r>
      <w:r w:rsidRPr="000973D0">
        <w:rPr>
          <w:lang w:bidi="cs-CZ"/>
        </w:rPr>
        <w:t>rozparek zapínaný na zdrhovadlo, v dolní části středového švu s</w:t>
      </w:r>
      <w:r>
        <w:rPr>
          <w:lang w:bidi="cs-CZ"/>
        </w:rPr>
        <w:t> </w:t>
      </w:r>
      <w:proofErr w:type="spellStart"/>
      <w:r>
        <w:rPr>
          <w:lang w:bidi="cs-CZ"/>
        </w:rPr>
        <w:t>podkrytovým</w:t>
      </w:r>
      <w:proofErr w:type="spellEnd"/>
      <w:r>
        <w:rPr>
          <w:lang w:bidi="cs-CZ"/>
        </w:rPr>
        <w:t xml:space="preserve"> levostranným</w:t>
      </w:r>
      <w:r w:rsidRPr="000973D0">
        <w:rPr>
          <w:lang w:bidi="cs-CZ"/>
        </w:rPr>
        <w:t xml:space="preserve"> rozparkem. Pasový límec zapínaný na knoflík a dírku, regulovatelný po bočních stranách </w:t>
      </w:r>
      <w:proofErr w:type="spellStart"/>
      <w:r w:rsidRPr="000973D0">
        <w:rPr>
          <w:lang w:bidi="cs-CZ"/>
        </w:rPr>
        <w:t>autospon</w:t>
      </w:r>
      <w:r>
        <w:rPr>
          <w:lang w:bidi="cs-CZ"/>
        </w:rPr>
        <w:t>ami</w:t>
      </w:r>
      <w:proofErr w:type="spellEnd"/>
      <w:r w:rsidRPr="000973D0">
        <w:rPr>
          <w:lang w:bidi="cs-CZ"/>
        </w:rPr>
        <w:t>.</w:t>
      </w:r>
    </w:p>
    <w:p w:rsidR="000973D0" w:rsidRPr="000973D0" w:rsidRDefault="000973D0" w:rsidP="000973D0">
      <w:pPr>
        <w:spacing w:after="0" w:line="276" w:lineRule="auto"/>
        <w:jc w:val="both"/>
        <w:rPr>
          <w:b/>
          <w:lang w:bidi="cs-CZ"/>
        </w:rPr>
      </w:pPr>
    </w:p>
    <w:p w:rsidR="000973D0" w:rsidRPr="000973D0" w:rsidRDefault="000973D0" w:rsidP="000973D0">
      <w:pPr>
        <w:spacing w:after="0" w:line="276" w:lineRule="auto"/>
        <w:jc w:val="both"/>
        <w:rPr>
          <w:b/>
          <w:lang w:bidi="cs-CZ"/>
        </w:rPr>
      </w:pPr>
      <w:r w:rsidRPr="000973D0">
        <w:rPr>
          <w:b/>
          <w:lang w:bidi="cs-CZ"/>
        </w:rPr>
        <w:t>Přední díl:</w:t>
      </w:r>
    </w:p>
    <w:p w:rsidR="007C2B2C" w:rsidRPr="000973D0" w:rsidRDefault="007C2B2C" w:rsidP="007C2B2C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Č</w:t>
      </w:r>
      <w:r w:rsidRPr="000973D0">
        <w:rPr>
          <w:lang w:bidi="cs-CZ"/>
        </w:rPr>
        <w:t xml:space="preserve">leněný </w:t>
      </w:r>
      <w:r>
        <w:rPr>
          <w:lang w:bidi="cs-CZ"/>
        </w:rPr>
        <w:t xml:space="preserve">svislými </w:t>
      </w:r>
      <w:r w:rsidRPr="000973D0">
        <w:rPr>
          <w:lang w:bidi="cs-CZ"/>
        </w:rPr>
        <w:t>šv</w:t>
      </w:r>
      <w:r>
        <w:rPr>
          <w:lang w:bidi="cs-CZ"/>
        </w:rPr>
        <w:t>y, do kterých jsou střihovou manipulací přenesené záševky.</w:t>
      </w:r>
      <w:r w:rsidRPr="000973D0">
        <w:rPr>
          <w:lang w:bidi="cs-CZ"/>
        </w:rPr>
        <w:t xml:space="preserve"> V</w:t>
      </w:r>
      <w:r>
        <w:rPr>
          <w:lang w:bidi="cs-CZ"/>
        </w:rPr>
        <w:t xml:space="preserve"> členících švech jsou od </w:t>
      </w:r>
      <w:r w:rsidRPr="000973D0">
        <w:rPr>
          <w:lang w:bidi="cs-CZ"/>
        </w:rPr>
        <w:t>dolní</w:t>
      </w:r>
      <w:r>
        <w:rPr>
          <w:lang w:bidi="cs-CZ"/>
        </w:rPr>
        <w:t>ho</w:t>
      </w:r>
      <w:r w:rsidRPr="000973D0">
        <w:rPr>
          <w:lang w:bidi="cs-CZ"/>
        </w:rPr>
        <w:t xml:space="preserve"> okraj</w:t>
      </w:r>
      <w:r>
        <w:rPr>
          <w:lang w:bidi="cs-CZ"/>
        </w:rPr>
        <w:t>e</w:t>
      </w:r>
      <w:r w:rsidRPr="000973D0">
        <w:rPr>
          <w:lang w:bidi="cs-CZ"/>
        </w:rPr>
        <w:t xml:space="preserve"> </w:t>
      </w:r>
      <w:proofErr w:type="spellStart"/>
      <w:r w:rsidRPr="000973D0">
        <w:rPr>
          <w:lang w:bidi="cs-CZ"/>
        </w:rPr>
        <w:t>přinechan</w:t>
      </w:r>
      <w:r>
        <w:rPr>
          <w:lang w:bidi="cs-CZ"/>
        </w:rPr>
        <w:t>é</w:t>
      </w:r>
      <w:proofErr w:type="spellEnd"/>
      <w:r w:rsidRPr="000973D0">
        <w:rPr>
          <w:lang w:bidi="cs-CZ"/>
        </w:rPr>
        <w:t xml:space="preserve"> a složen</w:t>
      </w:r>
      <w:r>
        <w:rPr>
          <w:lang w:bidi="cs-CZ"/>
        </w:rPr>
        <w:t>é</w:t>
      </w:r>
      <w:r w:rsidRPr="000973D0">
        <w:rPr>
          <w:lang w:bidi="cs-CZ"/>
        </w:rPr>
        <w:t xml:space="preserve"> </w:t>
      </w:r>
      <w:r>
        <w:rPr>
          <w:lang w:bidi="cs-CZ"/>
        </w:rPr>
        <w:t xml:space="preserve">21,5cm dlouhé </w:t>
      </w:r>
      <w:r w:rsidRPr="000973D0">
        <w:rPr>
          <w:lang w:bidi="cs-CZ"/>
        </w:rPr>
        <w:t>záhyb</w:t>
      </w:r>
      <w:r>
        <w:rPr>
          <w:lang w:bidi="cs-CZ"/>
        </w:rPr>
        <w:t>y hluboké</w:t>
      </w:r>
      <w:r w:rsidRPr="000973D0">
        <w:rPr>
          <w:lang w:bidi="cs-CZ"/>
        </w:rPr>
        <w:t xml:space="preserve"> 45mm, </w:t>
      </w:r>
      <w:r>
        <w:rPr>
          <w:lang w:bidi="cs-CZ"/>
        </w:rPr>
        <w:t xml:space="preserve">otočené směrem do středu předního dílu, ukončení záhybu je </w:t>
      </w:r>
      <w:r w:rsidRPr="000973D0">
        <w:rPr>
          <w:lang w:bidi="cs-CZ"/>
        </w:rPr>
        <w:t>prošit</w:t>
      </w:r>
      <w:r>
        <w:rPr>
          <w:lang w:bidi="cs-CZ"/>
        </w:rPr>
        <w:t>é</w:t>
      </w:r>
      <w:r w:rsidRPr="000973D0">
        <w:rPr>
          <w:lang w:bidi="cs-CZ"/>
        </w:rPr>
        <w:t xml:space="preserve"> </w:t>
      </w:r>
      <w:r>
        <w:rPr>
          <w:lang w:bidi="cs-CZ"/>
        </w:rPr>
        <w:t xml:space="preserve">šikmo </w:t>
      </w:r>
      <w:r w:rsidRPr="000973D0">
        <w:rPr>
          <w:lang w:bidi="cs-CZ"/>
        </w:rPr>
        <w:t>do hloubky 45mm.</w:t>
      </w:r>
    </w:p>
    <w:p w:rsidR="000973D0" w:rsidRPr="000973D0" w:rsidRDefault="000973D0" w:rsidP="000973D0">
      <w:pPr>
        <w:spacing w:after="0" w:line="276" w:lineRule="auto"/>
        <w:jc w:val="both"/>
        <w:rPr>
          <w:lang w:bidi="cs-CZ"/>
        </w:rPr>
      </w:pPr>
    </w:p>
    <w:p w:rsidR="000973D0" w:rsidRPr="000973D0" w:rsidRDefault="000973D0" w:rsidP="000973D0">
      <w:pPr>
        <w:spacing w:after="0" w:line="276" w:lineRule="auto"/>
        <w:jc w:val="both"/>
        <w:rPr>
          <w:lang w:bidi="cs-CZ"/>
        </w:rPr>
      </w:pPr>
      <w:r w:rsidRPr="000973D0">
        <w:rPr>
          <w:b/>
          <w:lang w:bidi="cs-CZ"/>
        </w:rPr>
        <w:t>Boční kapsy:</w:t>
      </w:r>
    </w:p>
    <w:p w:rsidR="00050942" w:rsidRPr="000973D0" w:rsidRDefault="00050942" w:rsidP="00050942">
      <w:pPr>
        <w:spacing w:after="0" w:line="276" w:lineRule="auto"/>
        <w:jc w:val="both"/>
        <w:rPr>
          <w:lang w:bidi="cs-CZ"/>
        </w:rPr>
      </w:pPr>
      <w:r w:rsidRPr="000973D0">
        <w:rPr>
          <w:lang w:bidi="cs-CZ"/>
        </w:rPr>
        <w:t>Kl</w:t>
      </w:r>
      <w:r>
        <w:rPr>
          <w:lang w:bidi="cs-CZ"/>
        </w:rPr>
        <w:t xml:space="preserve">ínové, </w:t>
      </w:r>
      <w:r w:rsidRPr="000973D0">
        <w:rPr>
          <w:lang w:bidi="cs-CZ"/>
        </w:rPr>
        <w:t>ukončení kap</w:t>
      </w:r>
      <w:r>
        <w:rPr>
          <w:lang w:bidi="cs-CZ"/>
        </w:rPr>
        <w:t>es</w:t>
      </w:r>
      <w:r w:rsidRPr="000973D0">
        <w:rPr>
          <w:lang w:bidi="cs-CZ"/>
        </w:rPr>
        <w:t xml:space="preserve"> zajištěn</w:t>
      </w:r>
      <w:r>
        <w:rPr>
          <w:lang w:bidi="cs-CZ"/>
        </w:rPr>
        <w:t>ě</w:t>
      </w:r>
      <w:r w:rsidRPr="000973D0">
        <w:rPr>
          <w:lang w:bidi="cs-CZ"/>
        </w:rPr>
        <w:t xml:space="preserve"> uzávěrk</w:t>
      </w:r>
      <w:r>
        <w:rPr>
          <w:lang w:bidi="cs-CZ"/>
        </w:rPr>
        <w:t xml:space="preserve">ami zhotovenými na </w:t>
      </w:r>
      <w:proofErr w:type="spellStart"/>
      <w:r>
        <w:rPr>
          <w:lang w:bidi="cs-CZ"/>
        </w:rPr>
        <w:t>závorovacím</w:t>
      </w:r>
      <w:proofErr w:type="spellEnd"/>
      <w:r>
        <w:rPr>
          <w:lang w:bidi="cs-CZ"/>
        </w:rPr>
        <w:t xml:space="preserve"> šicím stroji</w:t>
      </w:r>
      <w:r w:rsidRPr="000973D0">
        <w:rPr>
          <w:lang w:bidi="cs-CZ"/>
        </w:rPr>
        <w:t xml:space="preserve">. Délka </w:t>
      </w:r>
      <w:r>
        <w:rPr>
          <w:lang w:bidi="cs-CZ"/>
        </w:rPr>
        <w:t>kapes</w:t>
      </w:r>
      <w:r w:rsidRPr="000973D0">
        <w:rPr>
          <w:lang w:bidi="cs-CZ"/>
        </w:rPr>
        <w:t xml:space="preserve"> 155mm, </w:t>
      </w:r>
      <w:proofErr w:type="spellStart"/>
      <w:r>
        <w:rPr>
          <w:lang w:bidi="cs-CZ"/>
        </w:rPr>
        <w:t>průhmat</w:t>
      </w:r>
      <w:proofErr w:type="spellEnd"/>
      <w:r>
        <w:rPr>
          <w:lang w:bidi="cs-CZ"/>
        </w:rPr>
        <w:t xml:space="preserve"> kapes prošitý za 5mm</w:t>
      </w:r>
      <w:r w:rsidRPr="000973D0">
        <w:rPr>
          <w:lang w:bidi="cs-CZ"/>
        </w:rPr>
        <w:t>. Kapesní váč</w:t>
      </w:r>
      <w:r>
        <w:rPr>
          <w:lang w:bidi="cs-CZ"/>
        </w:rPr>
        <w:t>ky</w:t>
      </w:r>
      <w:r w:rsidRPr="000973D0">
        <w:rPr>
          <w:lang w:bidi="cs-CZ"/>
        </w:rPr>
        <w:t xml:space="preserve"> s</w:t>
      </w:r>
      <w:r>
        <w:rPr>
          <w:lang w:bidi="cs-CZ"/>
        </w:rPr>
        <w:t> </w:t>
      </w:r>
      <w:r w:rsidRPr="000973D0">
        <w:rPr>
          <w:lang w:bidi="cs-CZ"/>
        </w:rPr>
        <w:t>našit</w:t>
      </w:r>
      <w:r>
        <w:rPr>
          <w:lang w:bidi="cs-CZ"/>
        </w:rPr>
        <w:t>ými</w:t>
      </w:r>
      <w:r w:rsidRPr="000973D0">
        <w:rPr>
          <w:lang w:bidi="cs-CZ"/>
        </w:rPr>
        <w:t xml:space="preserve"> </w:t>
      </w:r>
      <w:r>
        <w:rPr>
          <w:lang w:bidi="cs-CZ"/>
        </w:rPr>
        <w:t>podkladovými podsádkami</w:t>
      </w:r>
      <w:r w:rsidRPr="000973D0">
        <w:rPr>
          <w:lang w:bidi="cs-CZ"/>
        </w:rPr>
        <w:t>, v místě členění pasového límce prostřižen</w:t>
      </w:r>
      <w:r>
        <w:rPr>
          <w:lang w:bidi="cs-CZ"/>
        </w:rPr>
        <w:t>é</w:t>
      </w:r>
      <w:r w:rsidRPr="000973D0">
        <w:rPr>
          <w:lang w:bidi="cs-CZ"/>
        </w:rPr>
        <w:t xml:space="preserve"> do hloubky 60mm, </w:t>
      </w:r>
      <w:r>
        <w:rPr>
          <w:lang w:bidi="cs-CZ"/>
        </w:rPr>
        <w:t>prostřižení (včetně podšívky)</w:t>
      </w:r>
      <w:r w:rsidRPr="000973D0">
        <w:rPr>
          <w:lang w:bidi="cs-CZ"/>
        </w:rPr>
        <w:t xml:space="preserve"> je začištěno olemováním </w:t>
      </w:r>
      <w:proofErr w:type="spellStart"/>
      <w:r w:rsidRPr="000973D0">
        <w:rPr>
          <w:lang w:bidi="cs-CZ"/>
        </w:rPr>
        <w:t>veltonovým</w:t>
      </w:r>
      <w:proofErr w:type="spellEnd"/>
      <w:r w:rsidRPr="000973D0">
        <w:rPr>
          <w:lang w:bidi="cs-CZ"/>
        </w:rPr>
        <w:t xml:space="preserve"> proužkem. Rozevření klínov</w:t>
      </w:r>
      <w:r>
        <w:rPr>
          <w:lang w:bidi="cs-CZ"/>
        </w:rPr>
        <w:t>ých</w:t>
      </w:r>
      <w:r w:rsidRPr="000973D0">
        <w:rPr>
          <w:lang w:bidi="cs-CZ"/>
        </w:rPr>
        <w:t xml:space="preserve"> kap</w:t>
      </w:r>
      <w:r>
        <w:rPr>
          <w:lang w:bidi="cs-CZ"/>
        </w:rPr>
        <w:t>es je</w:t>
      </w:r>
      <w:r w:rsidRPr="000973D0">
        <w:rPr>
          <w:lang w:bidi="cs-CZ"/>
        </w:rPr>
        <w:t xml:space="preserve"> 50mm od bočního švu.</w:t>
      </w:r>
    </w:p>
    <w:p w:rsidR="000973D0" w:rsidRPr="000973D0" w:rsidRDefault="000973D0" w:rsidP="000973D0">
      <w:pPr>
        <w:spacing w:after="0" w:line="276" w:lineRule="auto"/>
        <w:jc w:val="both"/>
        <w:rPr>
          <w:b/>
          <w:lang w:bidi="cs-CZ"/>
        </w:rPr>
      </w:pPr>
    </w:p>
    <w:p w:rsidR="000973D0" w:rsidRPr="000973D0" w:rsidRDefault="000973D0" w:rsidP="000973D0">
      <w:pPr>
        <w:spacing w:after="0" w:line="276" w:lineRule="auto"/>
        <w:jc w:val="both"/>
        <w:rPr>
          <w:b/>
          <w:lang w:bidi="cs-CZ"/>
        </w:rPr>
      </w:pPr>
      <w:r w:rsidRPr="000973D0">
        <w:rPr>
          <w:b/>
          <w:lang w:bidi="cs-CZ"/>
        </w:rPr>
        <w:t xml:space="preserve">Zadní díl: </w:t>
      </w:r>
    </w:p>
    <w:p w:rsidR="00050942" w:rsidRPr="0093456D" w:rsidRDefault="00050942" w:rsidP="00050942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S</w:t>
      </w:r>
      <w:r w:rsidRPr="000973D0">
        <w:rPr>
          <w:lang w:bidi="cs-CZ"/>
        </w:rPr>
        <w:t>e středovým švem</w:t>
      </w:r>
      <w:r>
        <w:rPr>
          <w:lang w:bidi="cs-CZ"/>
        </w:rPr>
        <w:t>, na každé straně v</w:t>
      </w:r>
      <w:r w:rsidRPr="000973D0">
        <w:rPr>
          <w:lang w:bidi="cs-CZ"/>
        </w:rPr>
        <w:t xml:space="preserve"> pase </w:t>
      </w:r>
      <w:proofErr w:type="spellStart"/>
      <w:r>
        <w:rPr>
          <w:lang w:bidi="cs-CZ"/>
        </w:rPr>
        <w:t>odšito</w:t>
      </w:r>
      <w:proofErr w:type="spellEnd"/>
      <w:r>
        <w:rPr>
          <w:lang w:bidi="cs-CZ"/>
        </w:rPr>
        <w:t xml:space="preserve"> po jednom záševku dlouhém 120mm, přežehleném k bočnímu švu. </w:t>
      </w:r>
      <w:r w:rsidRPr="000973D0">
        <w:rPr>
          <w:lang w:bidi="cs-CZ"/>
        </w:rPr>
        <w:t>V horní části</w:t>
      </w:r>
      <w:r>
        <w:rPr>
          <w:lang w:bidi="cs-CZ"/>
        </w:rPr>
        <w:t xml:space="preserve"> středového švu</w:t>
      </w:r>
      <w:r w:rsidRPr="000973D0">
        <w:rPr>
          <w:lang w:bidi="cs-CZ"/>
        </w:rPr>
        <w:t xml:space="preserve"> </w:t>
      </w:r>
      <w:r>
        <w:rPr>
          <w:lang w:bidi="cs-CZ"/>
        </w:rPr>
        <w:t>rozparek</w:t>
      </w:r>
      <w:r w:rsidRPr="000973D0">
        <w:rPr>
          <w:lang w:bidi="cs-CZ"/>
        </w:rPr>
        <w:t xml:space="preserve"> zapínaný</w:t>
      </w:r>
      <w:r>
        <w:rPr>
          <w:lang w:bidi="cs-CZ"/>
        </w:rPr>
        <w:t xml:space="preserve"> na </w:t>
      </w:r>
      <w:r w:rsidRPr="000973D0">
        <w:rPr>
          <w:lang w:bidi="cs-CZ"/>
        </w:rPr>
        <w:t xml:space="preserve">kryté zdrhovadlo, hotová délka rozparku je 180mm. V dolní části </w:t>
      </w:r>
      <w:r>
        <w:rPr>
          <w:lang w:bidi="cs-CZ"/>
        </w:rPr>
        <w:t xml:space="preserve">středového švu </w:t>
      </w:r>
      <w:proofErr w:type="spellStart"/>
      <w:r>
        <w:rPr>
          <w:lang w:bidi="cs-CZ"/>
        </w:rPr>
        <w:t>podkrytový</w:t>
      </w:r>
      <w:proofErr w:type="spellEnd"/>
      <w:r>
        <w:rPr>
          <w:lang w:bidi="cs-CZ"/>
        </w:rPr>
        <w:t xml:space="preserve"> levostranný rozparek</w:t>
      </w:r>
      <w:r w:rsidRPr="000973D0">
        <w:rPr>
          <w:lang w:bidi="cs-CZ"/>
        </w:rPr>
        <w:t>, dlouhý 175mm, šíře</w:t>
      </w:r>
      <w:r>
        <w:rPr>
          <w:lang w:bidi="cs-CZ"/>
        </w:rPr>
        <w:t xml:space="preserve"> </w:t>
      </w:r>
      <w:proofErr w:type="spellStart"/>
      <w:r>
        <w:rPr>
          <w:lang w:bidi="cs-CZ"/>
        </w:rPr>
        <w:t>nákrytové</w:t>
      </w:r>
      <w:proofErr w:type="spellEnd"/>
      <w:r>
        <w:rPr>
          <w:lang w:bidi="cs-CZ"/>
        </w:rPr>
        <w:t xml:space="preserve"> a </w:t>
      </w:r>
      <w:proofErr w:type="spellStart"/>
      <w:r>
        <w:rPr>
          <w:lang w:bidi="cs-CZ"/>
        </w:rPr>
        <w:t>podkrytové</w:t>
      </w:r>
      <w:proofErr w:type="spellEnd"/>
      <w:r>
        <w:rPr>
          <w:lang w:bidi="cs-CZ"/>
        </w:rPr>
        <w:t xml:space="preserve"> strany</w:t>
      </w:r>
      <w:r w:rsidRPr="000973D0">
        <w:rPr>
          <w:lang w:bidi="cs-CZ"/>
        </w:rPr>
        <w:t xml:space="preserve"> 45mm, prošitý</w:t>
      </w:r>
      <w:r>
        <w:rPr>
          <w:lang w:bidi="cs-CZ"/>
        </w:rPr>
        <w:t xml:space="preserve"> šikmo</w:t>
      </w:r>
      <w:r w:rsidRPr="000973D0">
        <w:rPr>
          <w:lang w:bidi="cs-CZ"/>
        </w:rPr>
        <w:t xml:space="preserve"> do hloubky 45mm.</w:t>
      </w:r>
    </w:p>
    <w:p w:rsidR="000973D0" w:rsidRPr="000973D0" w:rsidRDefault="000973D0" w:rsidP="000973D0">
      <w:pPr>
        <w:spacing w:after="0" w:line="276" w:lineRule="auto"/>
        <w:jc w:val="both"/>
        <w:rPr>
          <w:lang w:bidi="cs-CZ"/>
        </w:rPr>
      </w:pPr>
    </w:p>
    <w:p w:rsidR="000973D0" w:rsidRPr="000973D0" w:rsidRDefault="000973D0" w:rsidP="000973D0">
      <w:pPr>
        <w:spacing w:after="0" w:line="276" w:lineRule="auto"/>
        <w:jc w:val="both"/>
        <w:rPr>
          <w:b/>
          <w:lang w:bidi="cs-CZ"/>
        </w:rPr>
      </w:pPr>
      <w:r w:rsidRPr="000973D0">
        <w:rPr>
          <w:b/>
          <w:lang w:bidi="cs-CZ"/>
        </w:rPr>
        <w:t>Pasový límec:</w:t>
      </w:r>
    </w:p>
    <w:p w:rsidR="00050942" w:rsidRPr="000973D0" w:rsidRDefault="00050942" w:rsidP="00050942">
      <w:pPr>
        <w:spacing w:after="0" w:line="276" w:lineRule="auto"/>
        <w:jc w:val="both"/>
        <w:rPr>
          <w:lang w:bidi="cs-CZ"/>
        </w:rPr>
      </w:pPr>
      <w:r w:rsidRPr="000973D0">
        <w:rPr>
          <w:lang w:bidi="cs-CZ"/>
        </w:rPr>
        <w:t xml:space="preserve">Z vrchového materiálu, šíře 35mm v horním okraji v přehybu. </w:t>
      </w:r>
      <w:r>
        <w:rPr>
          <w:lang w:bidi="cs-CZ"/>
        </w:rPr>
        <w:t>Levá strana pasového límce s</w:t>
      </w:r>
      <w:r w:rsidRPr="000973D0">
        <w:rPr>
          <w:lang w:bidi="cs-CZ"/>
        </w:rPr>
        <w:t xml:space="preserve"> prodloužením přepnutí </w:t>
      </w:r>
      <w:r>
        <w:rPr>
          <w:lang w:bidi="cs-CZ"/>
        </w:rPr>
        <w:t xml:space="preserve">dlouhým </w:t>
      </w:r>
      <w:r w:rsidRPr="000973D0">
        <w:rPr>
          <w:lang w:bidi="cs-CZ"/>
        </w:rPr>
        <w:t>30mm, zapínan</w:t>
      </w:r>
      <w:r>
        <w:rPr>
          <w:lang w:bidi="cs-CZ"/>
        </w:rPr>
        <w:t>á</w:t>
      </w:r>
      <w:r w:rsidRPr="000973D0">
        <w:rPr>
          <w:lang w:bidi="cs-CZ"/>
        </w:rPr>
        <w:t xml:space="preserve"> na knoflík a dírku. </w:t>
      </w:r>
      <w:r>
        <w:rPr>
          <w:lang w:bidi="cs-CZ"/>
        </w:rPr>
        <w:t>Límec je prošitý</w:t>
      </w:r>
      <w:r w:rsidRPr="000973D0">
        <w:rPr>
          <w:lang w:bidi="cs-CZ"/>
        </w:rPr>
        <w:t xml:space="preserve"> pod pasovým límcem.</w:t>
      </w:r>
      <w:r>
        <w:rPr>
          <w:lang w:bidi="cs-CZ"/>
        </w:rPr>
        <w:t xml:space="preserve"> </w:t>
      </w:r>
      <w:r w:rsidRPr="00C12C41">
        <w:rPr>
          <w:lang w:bidi="cs-CZ"/>
        </w:rPr>
        <w:t>V místě bočních kapes je pasový límec členěný, regulovatelný</w:t>
      </w:r>
      <w:r>
        <w:rPr>
          <w:lang w:bidi="cs-CZ"/>
        </w:rPr>
        <w:t xml:space="preserve"> </w:t>
      </w:r>
      <w:proofErr w:type="spellStart"/>
      <w:r>
        <w:rPr>
          <w:lang w:bidi="cs-CZ"/>
        </w:rPr>
        <w:t>autosponou</w:t>
      </w:r>
      <w:proofErr w:type="spellEnd"/>
      <w:r>
        <w:rPr>
          <w:lang w:bidi="cs-CZ"/>
        </w:rPr>
        <w:t xml:space="preserve">. Plastovou kolejnici </w:t>
      </w:r>
      <w:proofErr w:type="spellStart"/>
      <w:r>
        <w:rPr>
          <w:lang w:bidi="cs-CZ"/>
        </w:rPr>
        <w:t>autospon</w:t>
      </w:r>
      <w:proofErr w:type="spellEnd"/>
      <w:r>
        <w:rPr>
          <w:lang w:bidi="cs-CZ"/>
        </w:rPr>
        <w:t xml:space="preserve"> </w:t>
      </w:r>
      <w:r w:rsidR="00D33387">
        <w:rPr>
          <w:lang w:bidi="cs-CZ"/>
        </w:rPr>
        <w:t xml:space="preserve">našitou na zadní části pasového límce </w:t>
      </w:r>
      <w:r>
        <w:rPr>
          <w:lang w:bidi="cs-CZ"/>
        </w:rPr>
        <w:t>překrývají</w:t>
      </w:r>
      <w:r w:rsidRPr="00C12C41">
        <w:rPr>
          <w:lang w:bidi="cs-CZ"/>
        </w:rPr>
        <w:t xml:space="preserve"> pás</w:t>
      </w:r>
      <w:r>
        <w:rPr>
          <w:lang w:bidi="cs-CZ"/>
        </w:rPr>
        <w:t>ky</w:t>
      </w:r>
      <w:r w:rsidRPr="00C12C41">
        <w:rPr>
          <w:lang w:bidi="cs-CZ"/>
        </w:rPr>
        <w:t xml:space="preserve"> z vrchového materiálu</w:t>
      </w:r>
      <w:r>
        <w:rPr>
          <w:lang w:bidi="cs-CZ"/>
        </w:rPr>
        <w:t xml:space="preserve"> šíře 20mm, provlečené kovovou částí spony nalisovanou k pasovému límci. B</w:t>
      </w:r>
      <w:r w:rsidR="00D33387">
        <w:rPr>
          <w:lang w:bidi="cs-CZ"/>
        </w:rPr>
        <w:t xml:space="preserve">oční strany </w:t>
      </w:r>
      <w:r w:rsidRPr="00C12C41">
        <w:rPr>
          <w:lang w:bidi="cs-CZ"/>
        </w:rPr>
        <w:t xml:space="preserve">pásku jsou </w:t>
      </w:r>
      <w:r>
        <w:rPr>
          <w:lang w:bidi="cs-CZ"/>
        </w:rPr>
        <w:t>připevněné</w:t>
      </w:r>
      <w:r w:rsidRPr="00C12C41">
        <w:rPr>
          <w:lang w:bidi="cs-CZ"/>
        </w:rPr>
        <w:t xml:space="preserve"> k pasovému límci uzávěrk</w:t>
      </w:r>
      <w:r>
        <w:rPr>
          <w:lang w:bidi="cs-CZ"/>
        </w:rPr>
        <w:t xml:space="preserve">ami zhotovenými na </w:t>
      </w:r>
      <w:proofErr w:type="spellStart"/>
      <w:r>
        <w:rPr>
          <w:lang w:bidi="cs-CZ"/>
        </w:rPr>
        <w:t>závor</w:t>
      </w:r>
      <w:r w:rsidR="00D33387">
        <w:rPr>
          <w:lang w:bidi="cs-CZ"/>
        </w:rPr>
        <w:t>ovacím</w:t>
      </w:r>
      <w:proofErr w:type="spellEnd"/>
      <w:r w:rsidR="00D33387">
        <w:rPr>
          <w:lang w:bidi="cs-CZ"/>
        </w:rPr>
        <w:t xml:space="preserve"> šicím stroji. P</w:t>
      </w:r>
      <w:r>
        <w:rPr>
          <w:lang w:bidi="cs-CZ"/>
        </w:rPr>
        <w:t>ásky jsou</w:t>
      </w:r>
      <w:r w:rsidRPr="00C12C41">
        <w:rPr>
          <w:lang w:bidi="cs-CZ"/>
        </w:rPr>
        <w:t xml:space="preserve"> prošit</w:t>
      </w:r>
      <w:r>
        <w:rPr>
          <w:lang w:bidi="cs-CZ"/>
        </w:rPr>
        <w:t>é za</w:t>
      </w:r>
      <w:r w:rsidRPr="00C12C41">
        <w:rPr>
          <w:lang w:bidi="cs-CZ"/>
        </w:rPr>
        <w:t xml:space="preserve"> 1mm </w:t>
      </w:r>
      <w:r>
        <w:rPr>
          <w:lang w:bidi="cs-CZ"/>
        </w:rPr>
        <w:t>ze dvou stran</w:t>
      </w:r>
      <w:r w:rsidRPr="00C12C41">
        <w:rPr>
          <w:lang w:bidi="cs-CZ"/>
        </w:rPr>
        <w:t xml:space="preserve">. </w:t>
      </w:r>
      <w:r w:rsidRPr="000973D0">
        <w:rPr>
          <w:lang w:bidi="cs-CZ"/>
        </w:rPr>
        <w:t xml:space="preserve"> </w:t>
      </w:r>
      <w:r>
        <w:rPr>
          <w:lang w:bidi="cs-CZ"/>
        </w:rPr>
        <w:t>Konfekční k</w:t>
      </w:r>
      <w:r w:rsidRPr="000973D0">
        <w:rPr>
          <w:lang w:bidi="cs-CZ"/>
        </w:rPr>
        <w:t xml:space="preserve">noflíková </w:t>
      </w:r>
      <w:r>
        <w:rPr>
          <w:lang w:bidi="cs-CZ"/>
        </w:rPr>
        <w:t>vyšitá ve vzdálenosti</w:t>
      </w:r>
      <w:r w:rsidRPr="000973D0">
        <w:rPr>
          <w:lang w:bidi="cs-CZ"/>
        </w:rPr>
        <w:t xml:space="preserve"> 12 mm od okraje</w:t>
      </w:r>
      <w:r>
        <w:rPr>
          <w:lang w:bidi="cs-CZ"/>
        </w:rPr>
        <w:t>, proti dírce je na pravé straně pasového límce přišitý knoflík</w:t>
      </w:r>
      <w:r w:rsidRPr="000973D0">
        <w:rPr>
          <w:lang w:bidi="cs-CZ"/>
        </w:rPr>
        <w:t>.</w:t>
      </w:r>
    </w:p>
    <w:p w:rsidR="000973D0" w:rsidRPr="000973D0" w:rsidRDefault="000973D0" w:rsidP="000973D0">
      <w:pPr>
        <w:spacing w:after="0" w:line="276" w:lineRule="auto"/>
        <w:jc w:val="both"/>
        <w:rPr>
          <w:lang w:bidi="cs-CZ"/>
        </w:rPr>
      </w:pPr>
    </w:p>
    <w:p w:rsidR="000973D0" w:rsidRPr="000973D0" w:rsidRDefault="000973D0" w:rsidP="000973D0">
      <w:pPr>
        <w:spacing w:after="0" w:line="276" w:lineRule="auto"/>
        <w:jc w:val="both"/>
        <w:rPr>
          <w:b/>
          <w:lang w:bidi="cs-CZ"/>
        </w:rPr>
      </w:pPr>
      <w:r w:rsidRPr="000973D0">
        <w:rPr>
          <w:b/>
          <w:lang w:bidi="cs-CZ"/>
        </w:rPr>
        <w:t>Poutka:</w:t>
      </w:r>
    </w:p>
    <w:p w:rsidR="00050942" w:rsidRPr="000973D0" w:rsidRDefault="00050942" w:rsidP="00050942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 xml:space="preserve">V pasovém švu je všito </w:t>
      </w:r>
      <w:r>
        <w:rPr>
          <w:lang w:bidi="cs-CZ"/>
        </w:rPr>
        <w:t xml:space="preserve">šest rovnoměrné rozmístěných poutek z vrchového materiálu šíře 12mm, které jsou zajištěné spodní uzávěrkou umístěnou 10mm pod pasovým límcem, následně jsou poutka přehnuté a v kraji pasového límce připevněné uzávěrkou zhotovenou na </w:t>
      </w:r>
      <w:proofErr w:type="spellStart"/>
      <w:r>
        <w:rPr>
          <w:lang w:bidi="cs-CZ"/>
        </w:rPr>
        <w:t>závorovacím</w:t>
      </w:r>
      <w:proofErr w:type="spellEnd"/>
      <w:r>
        <w:rPr>
          <w:lang w:bidi="cs-CZ"/>
        </w:rPr>
        <w:t xml:space="preserve"> šicím stroji.</w:t>
      </w:r>
    </w:p>
    <w:p w:rsidR="000973D0" w:rsidRPr="000973D0" w:rsidRDefault="000973D0" w:rsidP="000973D0">
      <w:pPr>
        <w:spacing w:after="0" w:line="276" w:lineRule="auto"/>
        <w:jc w:val="both"/>
        <w:rPr>
          <w:lang w:bidi="cs-CZ"/>
        </w:rPr>
      </w:pPr>
      <w:r w:rsidRPr="000973D0">
        <w:rPr>
          <w:b/>
          <w:lang w:bidi="cs-CZ"/>
        </w:rPr>
        <w:lastRenderedPageBreak/>
        <w:t>Dolní okraj:</w:t>
      </w:r>
      <w:r w:rsidRPr="000973D0">
        <w:rPr>
          <w:lang w:bidi="cs-CZ"/>
        </w:rPr>
        <w:t xml:space="preserve"> </w:t>
      </w:r>
    </w:p>
    <w:p w:rsidR="00C25A3F" w:rsidRPr="000973D0" w:rsidRDefault="00050942" w:rsidP="000973D0">
      <w:pPr>
        <w:spacing w:after="0" w:line="276" w:lineRule="auto"/>
        <w:jc w:val="both"/>
        <w:rPr>
          <w:lang w:bidi="cs-CZ"/>
        </w:rPr>
      </w:pPr>
      <w:r w:rsidRPr="000973D0">
        <w:rPr>
          <w:lang w:bidi="cs-CZ"/>
        </w:rPr>
        <w:t xml:space="preserve">Záložka </w:t>
      </w:r>
      <w:r>
        <w:rPr>
          <w:lang w:bidi="cs-CZ"/>
        </w:rPr>
        <w:t>40m</w:t>
      </w:r>
      <w:r w:rsidRPr="000973D0">
        <w:rPr>
          <w:lang w:bidi="cs-CZ"/>
        </w:rPr>
        <w:t>m, obnitk</w:t>
      </w:r>
      <w:r>
        <w:rPr>
          <w:lang w:bidi="cs-CZ"/>
        </w:rPr>
        <w:t>ovaná, zapošitá skrytým stehem.</w:t>
      </w:r>
    </w:p>
    <w:p w:rsidR="000973D0" w:rsidRDefault="000973D0" w:rsidP="000973D0">
      <w:pPr>
        <w:spacing w:after="0" w:line="276" w:lineRule="auto"/>
        <w:jc w:val="both"/>
        <w:rPr>
          <w:b/>
          <w:lang w:bidi="cs-CZ"/>
        </w:rPr>
      </w:pPr>
    </w:p>
    <w:p w:rsidR="000973D0" w:rsidRPr="000973D0" w:rsidRDefault="000973D0" w:rsidP="000973D0">
      <w:pPr>
        <w:spacing w:after="0" w:line="276" w:lineRule="auto"/>
        <w:jc w:val="both"/>
        <w:rPr>
          <w:b/>
          <w:lang w:bidi="cs-CZ"/>
        </w:rPr>
      </w:pPr>
      <w:r w:rsidRPr="000973D0">
        <w:rPr>
          <w:b/>
          <w:lang w:bidi="cs-CZ"/>
        </w:rPr>
        <w:t>Podšívka:</w:t>
      </w:r>
    </w:p>
    <w:p w:rsidR="00050942" w:rsidRPr="000973D0" w:rsidRDefault="00050942" w:rsidP="00050942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Všitá do sukně pod pasový límec, kopíruje přední a zadní díl v dolním kraji sahá mírně pod úroveň začátku rozparku zadního dílu. Přední díly bez svislých členících švů, n</w:t>
      </w:r>
      <w:r w:rsidRPr="000973D0">
        <w:rPr>
          <w:lang w:bidi="cs-CZ"/>
        </w:rPr>
        <w:t xml:space="preserve">a předním </w:t>
      </w:r>
      <w:r>
        <w:rPr>
          <w:lang w:bidi="cs-CZ"/>
        </w:rPr>
        <w:t xml:space="preserve">v místě členících švů vrchového předního dílu </w:t>
      </w:r>
      <w:r w:rsidRPr="000973D0">
        <w:rPr>
          <w:lang w:bidi="cs-CZ"/>
        </w:rPr>
        <w:t xml:space="preserve">a </w:t>
      </w:r>
      <w:r>
        <w:rPr>
          <w:lang w:bidi="cs-CZ"/>
        </w:rPr>
        <w:t xml:space="preserve">na </w:t>
      </w:r>
      <w:r w:rsidRPr="000973D0">
        <w:rPr>
          <w:lang w:bidi="cs-CZ"/>
        </w:rPr>
        <w:t xml:space="preserve">zadním díle v místě záševků </w:t>
      </w:r>
      <w:r>
        <w:rPr>
          <w:lang w:bidi="cs-CZ"/>
        </w:rPr>
        <w:t xml:space="preserve">jsou </w:t>
      </w:r>
      <w:r w:rsidRPr="000973D0">
        <w:rPr>
          <w:lang w:bidi="cs-CZ"/>
        </w:rPr>
        <w:t>složené záhyby.</w:t>
      </w:r>
      <w:r>
        <w:rPr>
          <w:lang w:bidi="cs-CZ"/>
        </w:rPr>
        <w:t xml:space="preserve"> </w:t>
      </w:r>
      <w:r w:rsidRPr="000973D0">
        <w:rPr>
          <w:lang w:bidi="cs-CZ"/>
        </w:rPr>
        <w:t>Ve vrchní části zadního středového dílu</w:t>
      </w:r>
      <w:r>
        <w:rPr>
          <w:lang w:bidi="cs-CZ"/>
        </w:rPr>
        <w:t xml:space="preserve"> v místě zdrhovadla</w:t>
      </w:r>
      <w:r w:rsidRPr="000973D0">
        <w:rPr>
          <w:lang w:bidi="cs-CZ"/>
        </w:rPr>
        <w:t xml:space="preserve"> je </w:t>
      </w:r>
      <w:r>
        <w:rPr>
          <w:lang w:bidi="cs-CZ"/>
        </w:rPr>
        <w:t>zhotovený</w:t>
      </w:r>
      <w:r w:rsidRPr="000973D0">
        <w:rPr>
          <w:lang w:bidi="cs-CZ"/>
        </w:rPr>
        <w:t xml:space="preserve"> dotykový rozparek, dlouhý 185mm, prošitý </w:t>
      </w:r>
      <w:r>
        <w:rPr>
          <w:lang w:bidi="cs-CZ"/>
        </w:rPr>
        <w:t xml:space="preserve">z obou stran </w:t>
      </w:r>
      <w:r w:rsidRPr="000973D0">
        <w:rPr>
          <w:lang w:bidi="cs-CZ"/>
        </w:rPr>
        <w:t xml:space="preserve">15mm od okraje. </w:t>
      </w:r>
      <w:r>
        <w:rPr>
          <w:lang w:bidi="cs-CZ"/>
        </w:rPr>
        <w:t xml:space="preserve">V dolním </w:t>
      </w:r>
      <w:r w:rsidRPr="000973D0">
        <w:rPr>
          <w:lang w:bidi="cs-CZ"/>
        </w:rPr>
        <w:t xml:space="preserve">kraji </w:t>
      </w:r>
      <w:r>
        <w:rPr>
          <w:lang w:bidi="cs-CZ"/>
        </w:rPr>
        <w:t xml:space="preserve">v </w:t>
      </w:r>
      <w:r w:rsidRPr="000973D0">
        <w:rPr>
          <w:lang w:bidi="cs-CZ"/>
        </w:rPr>
        <w:t>bočních šv</w:t>
      </w:r>
      <w:r>
        <w:rPr>
          <w:lang w:bidi="cs-CZ"/>
        </w:rPr>
        <w:t xml:space="preserve">ech </w:t>
      </w:r>
      <w:r w:rsidRPr="000973D0">
        <w:rPr>
          <w:lang w:bidi="cs-CZ"/>
        </w:rPr>
        <w:t xml:space="preserve">jsou </w:t>
      </w:r>
      <w:r>
        <w:rPr>
          <w:lang w:bidi="cs-CZ"/>
        </w:rPr>
        <w:t xml:space="preserve">zhotovené </w:t>
      </w:r>
      <w:r w:rsidRPr="000973D0">
        <w:rPr>
          <w:lang w:bidi="cs-CZ"/>
        </w:rPr>
        <w:t>dotykové rozparky dlouhé 80mm, prošité 7mm od okraje.</w:t>
      </w:r>
      <w:r>
        <w:rPr>
          <w:lang w:bidi="cs-CZ"/>
        </w:rPr>
        <w:t xml:space="preserve"> </w:t>
      </w:r>
      <w:r w:rsidRPr="000973D0">
        <w:rPr>
          <w:lang w:bidi="cs-CZ"/>
        </w:rPr>
        <w:t>Dolní okraj</w:t>
      </w:r>
      <w:r>
        <w:rPr>
          <w:lang w:bidi="cs-CZ"/>
        </w:rPr>
        <w:t xml:space="preserve"> 2x podehnutý a prošitý za 10mm.</w:t>
      </w:r>
    </w:p>
    <w:p w:rsidR="000973D0" w:rsidRPr="000973D0" w:rsidRDefault="000973D0" w:rsidP="000973D0">
      <w:pPr>
        <w:spacing w:after="0" w:line="276" w:lineRule="auto"/>
        <w:jc w:val="both"/>
        <w:rPr>
          <w:lang w:bidi="cs-CZ"/>
        </w:rPr>
      </w:pPr>
    </w:p>
    <w:p w:rsidR="000973D0" w:rsidRPr="000973D0" w:rsidRDefault="000973D0" w:rsidP="000973D0">
      <w:pPr>
        <w:spacing w:after="0" w:line="276" w:lineRule="auto"/>
        <w:jc w:val="both"/>
        <w:rPr>
          <w:b/>
          <w:lang w:bidi="cs-CZ"/>
        </w:rPr>
      </w:pPr>
      <w:r w:rsidRPr="000973D0">
        <w:rPr>
          <w:b/>
          <w:lang w:bidi="cs-CZ"/>
        </w:rPr>
        <w:t>Vnitřní zpracování:</w:t>
      </w:r>
    </w:p>
    <w:p w:rsidR="00050942" w:rsidRPr="000973D0" w:rsidRDefault="00050942" w:rsidP="00050942">
      <w:pPr>
        <w:spacing w:after="0" w:line="276" w:lineRule="auto"/>
        <w:jc w:val="both"/>
        <w:rPr>
          <w:lang w:bidi="cs-CZ"/>
        </w:rPr>
      </w:pPr>
      <w:r w:rsidRPr="000973D0">
        <w:rPr>
          <w:lang w:bidi="cs-CZ"/>
        </w:rPr>
        <w:t>Boční</w:t>
      </w:r>
      <w:r>
        <w:rPr>
          <w:lang w:bidi="cs-CZ"/>
        </w:rPr>
        <w:t xml:space="preserve"> švy,</w:t>
      </w:r>
      <w:r w:rsidRPr="000973D0">
        <w:rPr>
          <w:lang w:bidi="cs-CZ"/>
        </w:rPr>
        <w:t xml:space="preserve"> členící šv</w:t>
      </w:r>
      <w:r>
        <w:rPr>
          <w:lang w:bidi="cs-CZ"/>
        </w:rPr>
        <w:t>y předního dílu, středový šev zadního dílu jsou obnitkované sešité</w:t>
      </w:r>
      <w:r w:rsidRPr="000973D0">
        <w:rPr>
          <w:lang w:bidi="cs-CZ"/>
        </w:rPr>
        <w:t xml:space="preserve"> rozžehlené.</w:t>
      </w:r>
      <w:r>
        <w:rPr>
          <w:lang w:bidi="cs-CZ"/>
        </w:rPr>
        <w:t xml:space="preserve"> S</w:t>
      </w:r>
      <w:r w:rsidRPr="000973D0">
        <w:rPr>
          <w:lang w:bidi="cs-CZ"/>
        </w:rPr>
        <w:t>podní okraj pasového límce obnitkovaný.</w:t>
      </w:r>
      <w:r>
        <w:rPr>
          <w:lang w:bidi="cs-CZ"/>
        </w:rPr>
        <w:t xml:space="preserve"> </w:t>
      </w:r>
      <w:r w:rsidRPr="000973D0">
        <w:rPr>
          <w:lang w:bidi="cs-CZ"/>
        </w:rPr>
        <w:t>V</w:t>
      </w:r>
      <w:r>
        <w:rPr>
          <w:lang w:bidi="cs-CZ"/>
        </w:rPr>
        <w:t xml:space="preserve"> místě </w:t>
      </w:r>
      <w:r w:rsidRPr="000973D0">
        <w:rPr>
          <w:lang w:bidi="cs-CZ"/>
        </w:rPr>
        <w:t xml:space="preserve">bocích </w:t>
      </w:r>
      <w:r>
        <w:rPr>
          <w:lang w:bidi="cs-CZ"/>
        </w:rPr>
        <w:t xml:space="preserve">švů </w:t>
      </w:r>
      <w:r w:rsidRPr="000973D0">
        <w:rPr>
          <w:lang w:bidi="cs-CZ"/>
        </w:rPr>
        <w:t>jsou</w:t>
      </w:r>
      <w:r>
        <w:rPr>
          <w:lang w:bidi="cs-CZ"/>
        </w:rPr>
        <w:t xml:space="preserve"> do pasového švu vnitřní strany sukně</w:t>
      </w:r>
      <w:r w:rsidRPr="000973D0">
        <w:rPr>
          <w:lang w:bidi="cs-CZ"/>
        </w:rPr>
        <w:t xml:space="preserve"> </w:t>
      </w:r>
      <w:r>
        <w:rPr>
          <w:lang w:bidi="cs-CZ"/>
        </w:rPr>
        <w:t xml:space="preserve">všité </w:t>
      </w:r>
      <w:r w:rsidRPr="000973D0">
        <w:rPr>
          <w:lang w:bidi="cs-CZ"/>
        </w:rPr>
        <w:t xml:space="preserve">závěsné poutka z polotovaru. Kapesní váčky </w:t>
      </w:r>
      <w:r>
        <w:rPr>
          <w:lang w:bidi="cs-CZ"/>
        </w:rPr>
        <w:t xml:space="preserve">kryje podšívka a </w:t>
      </w:r>
      <w:r w:rsidRPr="000973D0">
        <w:rPr>
          <w:lang w:bidi="cs-CZ"/>
        </w:rPr>
        <w:t xml:space="preserve">jsou </w:t>
      </w:r>
      <w:r>
        <w:rPr>
          <w:lang w:bidi="cs-CZ"/>
        </w:rPr>
        <w:t xml:space="preserve">sešité na obnitkovacím šicím stroji se zajišťovacím stehem. </w:t>
      </w:r>
      <w:r w:rsidRPr="000973D0">
        <w:rPr>
          <w:lang w:bidi="cs-CZ"/>
        </w:rPr>
        <w:t>Etiketa s ošetřovacími symboly je všitá do pasového švu</w:t>
      </w:r>
      <w:r>
        <w:rPr>
          <w:lang w:bidi="cs-CZ"/>
        </w:rPr>
        <w:t xml:space="preserve"> středem pravého</w:t>
      </w:r>
      <w:r w:rsidRPr="000973D0">
        <w:rPr>
          <w:lang w:bidi="cs-CZ"/>
        </w:rPr>
        <w:t xml:space="preserve"> zadního dílu</w:t>
      </w:r>
      <w:r>
        <w:rPr>
          <w:lang w:bidi="cs-CZ"/>
        </w:rPr>
        <w:t xml:space="preserve"> z vnitřní strany</w:t>
      </w:r>
      <w:r w:rsidRPr="000973D0">
        <w:rPr>
          <w:lang w:bidi="cs-CZ"/>
        </w:rPr>
        <w:t xml:space="preserve">. </w:t>
      </w:r>
      <w:r>
        <w:rPr>
          <w:lang w:bidi="cs-CZ"/>
        </w:rPr>
        <w:t>Tkaná e</w:t>
      </w:r>
      <w:r w:rsidRPr="000973D0">
        <w:rPr>
          <w:lang w:bidi="cs-CZ"/>
        </w:rPr>
        <w:t xml:space="preserve">tiketa výrobce </w:t>
      </w:r>
      <w:r>
        <w:rPr>
          <w:lang w:bidi="cs-CZ"/>
        </w:rPr>
        <w:t>našitá</w:t>
      </w:r>
      <w:r w:rsidRPr="000973D0">
        <w:rPr>
          <w:lang w:bidi="cs-CZ"/>
        </w:rPr>
        <w:t xml:space="preserve"> </w:t>
      </w:r>
      <w:r>
        <w:rPr>
          <w:lang w:bidi="cs-CZ"/>
        </w:rPr>
        <w:t xml:space="preserve">středem </w:t>
      </w:r>
      <w:r w:rsidRPr="000973D0">
        <w:rPr>
          <w:lang w:bidi="cs-CZ"/>
        </w:rPr>
        <w:t xml:space="preserve">spodní </w:t>
      </w:r>
      <w:r>
        <w:rPr>
          <w:lang w:bidi="cs-CZ"/>
        </w:rPr>
        <w:t>strany pravého pasového límce zadního dílu nad etiketu s ošetřovacími symboly</w:t>
      </w:r>
      <w:r w:rsidRPr="000973D0">
        <w:rPr>
          <w:lang w:bidi="cs-CZ"/>
        </w:rPr>
        <w:t>.</w:t>
      </w:r>
    </w:p>
    <w:p w:rsidR="000973D0" w:rsidRPr="000973D0" w:rsidRDefault="000973D0" w:rsidP="000973D0">
      <w:pPr>
        <w:spacing w:after="0" w:line="276" w:lineRule="auto"/>
        <w:jc w:val="both"/>
        <w:rPr>
          <w:lang w:bidi="cs-CZ"/>
        </w:rPr>
      </w:pPr>
    </w:p>
    <w:p w:rsidR="000973D0" w:rsidRPr="000973D0" w:rsidRDefault="000973D0" w:rsidP="000973D0">
      <w:pPr>
        <w:spacing w:after="0" w:line="276" w:lineRule="auto"/>
        <w:jc w:val="both"/>
        <w:rPr>
          <w:b/>
          <w:lang w:bidi="cs-CZ"/>
        </w:rPr>
      </w:pPr>
      <w:r w:rsidRPr="000973D0">
        <w:rPr>
          <w:b/>
          <w:lang w:bidi="cs-CZ"/>
        </w:rPr>
        <w:t>Fixace:</w:t>
      </w:r>
    </w:p>
    <w:p w:rsidR="00050942" w:rsidRPr="000973D0" w:rsidRDefault="00050942" w:rsidP="00050942">
      <w:pPr>
        <w:spacing w:after="0" w:line="276" w:lineRule="auto"/>
        <w:jc w:val="both"/>
        <w:rPr>
          <w:u w:val="single"/>
          <w:lang w:bidi="cs-CZ"/>
        </w:rPr>
      </w:pPr>
      <w:r>
        <w:rPr>
          <w:u w:val="single"/>
          <w:lang w:bidi="cs-CZ"/>
        </w:rPr>
        <w:t>netkaná fixační vložka</w:t>
      </w:r>
    </w:p>
    <w:p w:rsidR="00050942" w:rsidRPr="000973D0" w:rsidRDefault="00050942" w:rsidP="00050942">
      <w:pPr>
        <w:numPr>
          <w:ilvl w:val="0"/>
          <w:numId w:val="16"/>
        </w:numPr>
        <w:spacing w:after="0" w:line="276" w:lineRule="auto"/>
        <w:jc w:val="both"/>
        <w:rPr>
          <w:lang w:bidi="cs-CZ"/>
        </w:rPr>
      </w:pPr>
      <w:r w:rsidRPr="000973D0">
        <w:rPr>
          <w:lang w:bidi="cs-CZ"/>
        </w:rPr>
        <w:t>rozparek zadního dílu</w:t>
      </w:r>
      <w:r>
        <w:rPr>
          <w:lang w:bidi="cs-CZ"/>
        </w:rPr>
        <w:t xml:space="preserve"> – </w:t>
      </w:r>
      <w:proofErr w:type="spellStart"/>
      <w:r>
        <w:rPr>
          <w:lang w:bidi="cs-CZ"/>
        </w:rPr>
        <w:t>nákrytová</w:t>
      </w:r>
      <w:proofErr w:type="spellEnd"/>
      <w:r>
        <w:rPr>
          <w:lang w:bidi="cs-CZ"/>
        </w:rPr>
        <w:t xml:space="preserve"> strana</w:t>
      </w:r>
      <w:r w:rsidRPr="000973D0">
        <w:rPr>
          <w:lang w:bidi="cs-CZ"/>
        </w:rPr>
        <w:t xml:space="preserve">, </w:t>
      </w:r>
      <w:proofErr w:type="spellStart"/>
      <w:r w:rsidRPr="000973D0">
        <w:rPr>
          <w:lang w:bidi="cs-CZ"/>
        </w:rPr>
        <w:t>průhmat</w:t>
      </w:r>
      <w:proofErr w:type="spellEnd"/>
      <w:r w:rsidRPr="000973D0">
        <w:rPr>
          <w:lang w:bidi="cs-CZ"/>
        </w:rPr>
        <w:t xml:space="preserve"> boční</w:t>
      </w:r>
      <w:r>
        <w:rPr>
          <w:lang w:bidi="cs-CZ"/>
        </w:rPr>
        <w:t>ch</w:t>
      </w:r>
      <w:r w:rsidRPr="000973D0">
        <w:rPr>
          <w:lang w:bidi="cs-CZ"/>
        </w:rPr>
        <w:t xml:space="preserve"> kap</w:t>
      </w:r>
      <w:r>
        <w:rPr>
          <w:lang w:bidi="cs-CZ"/>
        </w:rPr>
        <w:t>es</w:t>
      </w:r>
      <w:r w:rsidRPr="000973D0">
        <w:rPr>
          <w:lang w:bidi="cs-CZ"/>
        </w:rPr>
        <w:t>,</w:t>
      </w:r>
    </w:p>
    <w:p w:rsidR="00245298" w:rsidRDefault="00245298" w:rsidP="00DE783E">
      <w:pPr>
        <w:spacing w:after="0" w:line="276" w:lineRule="auto"/>
        <w:jc w:val="both"/>
        <w:rPr>
          <w:b/>
          <w:bCs/>
          <w:lang w:bidi="cs-CZ"/>
        </w:rPr>
      </w:pPr>
    </w:p>
    <w:p w:rsidR="00E50D47" w:rsidRPr="00AE7D50" w:rsidRDefault="00E50D47" w:rsidP="00E50D47">
      <w:pPr>
        <w:spacing w:after="0" w:line="276" w:lineRule="auto"/>
        <w:jc w:val="both"/>
        <w:rPr>
          <w:bCs/>
          <w:lang w:bidi="cs-CZ"/>
        </w:rPr>
      </w:pPr>
      <w:r w:rsidRPr="00AE7D50">
        <w:rPr>
          <w:bCs/>
          <w:lang w:bidi="cs-CZ"/>
        </w:rPr>
        <w:t xml:space="preserve">Veškeré zadané rozměry v kapitole </w:t>
      </w:r>
      <w:r>
        <w:rPr>
          <w:bCs/>
          <w:lang w:bidi="cs-CZ"/>
        </w:rPr>
        <w:t>2</w:t>
      </w:r>
      <w:r w:rsidRPr="00AE7D50">
        <w:rPr>
          <w:bCs/>
          <w:lang w:bidi="cs-CZ"/>
        </w:rPr>
        <w:t xml:space="preserve"> jsou stanovené pro kalkulační velikost,</w:t>
      </w:r>
      <w:r>
        <w:rPr>
          <w:bCs/>
          <w:lang w:bidi="cs-CZ"/>
        </w:rPr>
        <w:t xml:space="preserve"> </w:t>
      </w:r>
      <w:r w:rsidRPr="00AE7D50">
        <w:rPr>
          <w:bCs/>
          <w:lang w:bidi="cs-CZ"/>
        </w:rPr>
        <w:t>není-li specifikováno na konkrétní velikosti</w:t>
      </w:r>
      <w:r>
        <w:rPr>
          <w:bCs/>
          <w:lang w:bidi="cs-CZ"/>
        </w:rPr>
        <w:t>.</w:t>
      </w:r>
      <w:r w:rsidRPr="00AE7D50">
        <w:rPr>
          <w:bCs/>
          <w:lang w:bidi="cs-CZ"/>
        </w:rPr>
        <w:t xml:space="preserve"> </w:t>
      </w:r>
      <w:r>
        <w:rPr>
          <w:bCs/>
          <w:lang w:bidi="cs-CZ"/>
        </w:rPr>
        <w:t>K</w:t>
      </w:r>
      <w:r w:rsidRPr="00AE7D50">
        <w:rPr>
          <w:bCs/>
          <w:lang w:bidi="cs-CZ"/>
        </w:rPr>
        <w:t>onstrukční řešení jednotlivých dílů musí být</w:t>
      </w:r>
      <w:r>
        <w:rPr>
          <w:bCs/>
          <w:lang w:bidi="cs-CZ"/>
        </w:rPr>
        <w:t xml:space="preserve"> </w:t>
      </w:r>
      <w:r w:rsidRPr="00AE7D50">
        <w:rPr>
          <w:bCs/>
          <w:lang w:bidi="cs-CZ"/>
        </w:rPr>
        <w:t>přizpůsobeno funkčnosti a nesmí omezovat účel použití výrobku.</w:t>
      </w:r>
    </w:p>
    <w:p w:rsidR="00E50D47" w:rsidRPr="000973D0" w:rsidRDefault="00E50D47" w:rsidP="00DE783E">
      <w:pPr>
        <w:spacing w:after="0" w:line="276" w:lineRule="auto"/>
        <w:jc w:val="both"/>
        <w:rPr>
          <w:b/>
          <w:bCs/>
          <w:lang w:bidi="cs-CZ"/>
        </w:rPr>
      </w:pPr>
    </w:p>
    <w:p w:rsidR="00245298" w:rsidRPr="000973D0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2" w:name="bookmark3"/>
      <w:r w:rsidRPr="000973D0">
        <w:rPr>
          <w:b/>
          <w:bCs/>
          <w:lang w:bidi="cs-CZ"/>
        </w:rPr>
        <w:t>ZPRACOVÁNÍ</w:t>
      </w:r>
      <w:bookmarkEnd w:id="2"/>
    </w:p>
    <w:p w:rsidR="000973D0" w:rsidRPr="000973D0" w:rsidRDefault="000973D0" w:rsidP="000973D0">
      <w:pPr>
        <w:pStyle w:val="Odstavecseseznamem"/>
        <w:numPr>
          <w:ilvl w:val="0"/>
          <w:numId w:val="18"/>
        </w:numPr>
        <w:spacing w:after="0" w:line="276" w:lineRule="auto"/>
        <w:rPr>
          <w:bCs/>
          <w:lang w:bidi="cs-CZ"/>
        </w:rPr>
      </w:pPr>
      <w:r w:rsidRPr="000973D0">
        <w:rPr>
          <w:bCs/>
          <w:lang w:bidi="cs-CZ"/>
        </w:rPr>
        <w:t>počet stehů strojového šití a prošití je 5 +/- 1steh na 10mm, stehy musí být pravidelné bez vynechání, napětí rovnoměrné, začátky, konce šití a více namáhaná místa musí být řádně zapošitá 10mm dlouhým šitím proti párání a proti vytržení,</w:t>
      </w:r>
    </w:p>
    <w:p w:rsidR="000973D0" w:rsidRPr="000973D0" w:rsidRDefault="000973D0" w:rsidP="000973D0">
      <w:pPr>
        <w:pStyle w:val="Odstavecseseznamem"/>
        <w:numPr>
          <w:ilvl w:val="0"/>
          <w:numId w:val="18"/>
        </w:numPr>
        <w:spacing w:after="0" w:line="276" w:lineRule="auto"/>
        <w:rPr>
          <w:bCs/>
          <w:lang w:bidi="cs-CZ"/>
        </w:rPr>
      </w:pPr>
      <w:r w:rsidRPr="000973D0">
        <w:rPr>
          <w:bCs/>
          <w:lang w:bidi="cs-CZ"/>
        </w:rPr>
        <w:t>konce stehů musí být na celém výrobku řádně odstřižené,</w:t>
      </w:r>
    </w:p>
    <w:p w:rsidR="0050579E" w:rsidRDefault="0050579E" w:rsidP="00245298">
      <w:pPr>
        <w:spacing w:after="0" w:line="276" w:lineRule="auto"/>
        <w:ind w:left="720"/>
        <w:rPr>
          <w:bCs/>
          <w:lang w:bidi="cs-CZ"/>
        </w:rPr>
      </w:pPr>
    </w:p>
    <w:p w:rsidR="00245298" w:rsidRPr="00245298" w:rsidRDefault="00245298" w:rsidP="002125AB">
      <w:pPr>
        <w:numPr>
          <w:ilvl w:val="0"/>
          <w:numId w:val="1"/>
        </w:numPr>
        <w:spacing w:after="0" w:line="276" w:lineRule="auto"/>
        <w:rPr>
          <w:b/>
          <w:bCs/>
          <w:lang w:bidi="cs-CZ"/>
        </w:rPr>
      </w:pPr>
      <w:bookmarkStart w:id="3" w:name="bookmark4"/>
      <w:r w:rsidRPr="00245298">
        <w:rPr>
          <w:b/>
          <w:bCs/>
          <w:lang w:bidi="cs-CZ"/>
        </w:rPr>
        <w:t>SPECIFIKACE POUŽITÉHO MATERIÁLU</w:t>
      </w:r>
      <w:bookmarkEnd w:id="3"/>
    </w:p>
    <w:p w:rsidR="00245298" w:rsidRPr="00245298" w:rsidRDefault="00245298" w:rsidP="002125AB">
      <w:pPr>
        <w:spacing w:after="0" w:line="276" w:lineRule="auto"/>
        <w:rPr>
          <w:b/>
          <w:bCs/>
          <w:lang w:bidi="cs-CZ"/>
        </w:rPr>
      </w:pPr>
    </w:p>
    <w:p w:rsidR="00245298" w:rsidRDefault="00245298" w:rsidP="002125AB">
      <w:pPr>
        <w:numPr>
          <w:ilvl w:val="1"/>
          <w:numId w:val="1"/>
        </w:numPr>
        <w:spacing w:after="0" w:line="276" w:lineRule="auto"/>
        <w:rPr>
          <w:lang w:bidi="cs-CZ"/>
        </w:rPr>
      </w:pPr>
      <w:r w:rsidRPr="00245298">
        <w:rPr>
          <w:lang w:bidi="cs-CZ"/>
        </w:rPr>
        <w:t>Soupis materiálu</w:t>
      </w:r>
    </w:p>
    <w:p w:rsidR="00420A5D" w:rsidRPr="00245298" w:rsidRDefault="00420A5D" w:rsidP="00420A5D">
      <w:pPr>
        <w:spacing w:after="0" w:line="276" w:lineRule="auto"/>
        <w:rPr>
          <w:lang w:bidi="cs-CZ"/>
        </w:rPr>
      </w:pPr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7"/>
        <w:gridCol w:w="4115"/>
      </w:tblGrid>
      <w:tr w:rsidR="00B71047" w:rsidRPr="00245298" w:rsidTr="00420A5D">
        <w:trPr>
          <w:trHeight w:val="314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1047" w:rsidRPr="00245298" w:rsidRDefault="00B71047" w:rsidP="001A2025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Materiál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1047" w:rsidRPr="00245298" w:rsidRDefault="00B71047" w:rsidP="001A2025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Složení</w:t>
            </w:r>
          </w:p>
        </w:tc>
      </w:tr>
      <w:tr w:rsidR="00B71047" w:rsidRPr="00245298" w:rsidTr="001A2025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1047" w:rsidRPr="00245298" w:rsidRDefault="00B71047" w:rsidP="001A2025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vrchový materiál</w:t>
            </w:r>
          </w:p>
          <w:p w:rsidR="00B71047" w:rsidRPr="00245298" w:rsidRDefault="00B71047" w:rsidP="001A2025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barva tmavě modrá podle trichromatických souřadnic spektrofotometricky</w:t>
            </w:r>
          </w:p>
          <w:p w:rsidR="00B71047" w:rsidRPr="00245298" w:rsidRDefault="00B71047" w:rsidP="001A2025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Povolená tolerance - stupeň 4 šedé stupnice</w:t>
            </w:r>
          </w:p>
          <w:p w:rsidR="00B71047" w:rsidRPr="00245298" w:rsidRDefault="00B71047" w:rsidP="001A2025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vazba plátnová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1047" w:rsidRPr="00245298" w:rsidRDefault="00B71047" w:rsidP="001A2025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>6</w:t>
            </w:r>
            <w:r w:rsidR="00A27267">
              <w:rPr>
                <w:lang w:bidi="cs-CZ"/>
              </w:rPr>
              <w:t>4</w:t>
            </w:r>
            <w:r>
              <w:rPr>
                <w:lang w:bidi="cs-CZ"/>
              </w:rPr>
              <w:t>%</w:t>
            </w:r>
            <w:r w:rsidRPr="00245298">
              <w:rPr>
                <w:lang w:bidi="cs-CZ"/>
              </w:rPr>
              <w:t xml:space="preserve"> polyester/ </w:t>
            </w:r>
            <w:r>
              <w:rPr>
                <w:lang w:bidi="cs-CZ"/>
              </w:rPr>
              <w:t>3</w:t>
            </w:r>
            <w:r w:rsidR="00A27267">
              <w:rPr>
                <w:lang w:bidi="cs-CZ"/>
              </w:rPr>
              <w:t>4</w:t>
            </w:r>
            <w:r>
              <w:rPr>
                <w:lang w:bidi="cs-CZ"/>
              </w:rPr>
              <w:t xml:space="preserve">% viskóza/ </w:t>
            </w:r>
            <w:r w:rsidR="00A27267">
              <w:rPr>
                <w:lang w:bidi="cs-CZ"/>
              </w:rPr>
              <w:t>2</w:t>
            </w:r>
            <w:r w:rsidRPr="00245298">
              <w:rPr>
                <w:lang w:bidi="cs-CZ"/>
              </w:rPr>
              <w:t xml:space="preserve">% </w:t>
            </w:r>
            <w:proofErr w:type="spellStart"/>
            <w:r w:rsidRPr="00245298">
              <w:rPr>
                <w:lang w:bidi="cs-CZ"/>
              </w:rPr>
              <w:t>elastan</w:t>
            </w:r>
            <w:proofErr w:type="spellEnd"/>
          </w:p>
        </w:tc>
      </w:tr>
      <w:tr w:rsidR="00DC2DDD" w:rsidRPr="00245298" w:rsidTr="0055116C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2DDD" w:rsidRPr="00245298" w:rsidRDefault="00DC2DDD" w:rsidP="00DC2DDD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podšívka</w:t>
            </w:r>
          </w:p>
          <w:p w:rsidR="00DC2DDD" w:rsidRPr="00245298" w:rsidRDefault="00DC2DDD" w:rsidP="00DC2DDD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lastRenderedPageBreak/>
              <w:t>barva černá</w:t>
            </w:r>
          </w:p>
          <w:p w:rsidR="00DC2DDD" w:rsidRPr="00245298" w:rsidRDefault="00DC2DDD" w:rsidP="00DC2DDD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 xml:space="preserve">hmotnost </w:t>
            </w:r>
            <w:r>
              <w:rPr>
                <w:lang w:bidi="cs-CZ"/>
              </w:rPr>
              <w:t>65</w:t>
            </w:r>
            <w:r w:rsidRPr="00245298">
              <w:rPr>
                <w:lang w:bidi="cs-CZ"/>
              </w:rPr>
              <w:t xml:space="preserve"> ± 5 g.m</w:t>
            </w:r>
            <w:r w:rsidRPr="00245298">
              <w:rPr>
                <w:vertAlign w:val="superscript"/>
                <w:lang w:bidi="cs-CZ"/>
              </w:rPr>
              <w:t>-2</w:t>
            </w:r>
            <w:r w:rsidRPr="00245298">
              <w:rPr>
                <w:lang w:bidi="cs-CZ"/>
              </w:rPr>
              <w:t>,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2DDD" w:rsidRPr="00245298" w:rsidRDefault="00DC2DDD" w:rsidP="00DC2DDD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lastRenderedPageBreak/>
              <w:t>100% polyester</w:t>
            </w:r>
          </w:p>
        </w:tc>
      </w:tr>
      <w:tr w:rsidR="00DC2DDD" w:rsidRPr="00245298" w:rsidTr="001A2025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2DDD" w:rsidRPr="00245298" w:rsidRDefault="00DC2DDD" w:rsidP="00DC2DDD">
            <w:pPr>
              <w:spacing w:after="0"/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lastRenderedPageBreak/>
              <w:t>kapsovina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2DDD" w:rsidRPr="00245298" w:rsidRDefault="00DC2DDD" w:rsidP="00DC2DDD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65% polyester/ 35% bavlna</w:t>
            </w:r>
          </w:p>
        </w:tc>
      </w:tr>
      <w:tr w:rsidR="0050579E" w:rsidRPr="00245298" w:rsidTr="001A2025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579E" w:rsidRPr="00245298" w:rsidRDefault="0050579E" w:rsidP="0050579E">
            <w:pPr>
              <w:spacing w:after="0"/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nitě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79E" w:rsidRPr="00245298" w:rsidRDefault="0050579E" w:rsidP="0050579E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100% polyester</w:t>
            </w:r>
          </w:p>
        </w:tc>
      </w:tr>
      <w:tr w:rsidR="0050579E" w:rsidRPr="00245298" w:rsidTr="001A2025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579E" w:rsidRPr="00245298" w:rsidRDefault="0050579E" w:rsidP="0050579E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nitě obnitkovací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79E" w:rsidRPr="00245298" w:rsidRDefault="0050579E" w:rsidP="0050579E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>100% polyester</w:t>
            </w:r>
          </w:p>
        </w:tc>
      </w:tr>
      <w:tr w:rsidR="0050579E" w:rsidRPr="00245298" w:rsidTr="001A2025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579E" w:rsidRPr="00245298" w:rsidRDefault="0050579E" w:rsidP="0050579E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knoflík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79E" w:rsidRPr="00245298" w:rsidRDefault="0050579E" w:rsidP="0050579E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>100% polyester</w:t>
            </w:r>
          </w:p>
        </w:tc>
      </w:tr>
      <w:tr w:rsidR="00206275" w:rsidRPr="00245298" w:rsidTr="001A2025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275" w:rsidRPr="00245298" w:rsidRDefault="00206275" w:rsidP="00206275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fixační materiál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275" w:rsidRPr="00245298" w:rsidRDefault="00206275" w:rsidP="00206275">
            <w:pPr>
              <w:spacing w:after="0"/>
              <w:rPr>
                <w:lang w:bidi="cs-CZ"/>
              </w:rPr>
            </w:pPr>
          </w:p>
        </w:tc>
      </w:tr>
      <w:tr w:rsidR="00206275" w:rsidRPr="00245298" w:rsidTr="001A2025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275" w:rsidRPr="00245298" w:rsidRDefault="00206275" w:rsidP="00206275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fixační perforovaná výztuž 10-35-35-10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275" w:rsidRPr="00245298" w:rsidRDefault="00206275" w:rsidP="00206275">
            <w:pPr>
              <w:spacing w:after="0"/>
              <w:rPr>
                <w:lang w:bidi="cs-CZ"/>
              </w:rPr>
            </w:pPr>
          </w:p>
        </w:tc>
      </w:tr>
      <w:tr w:rsidR="00206275" w:rsidRPr="00245298" w:rsidTr="001A2025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275" w:rsidRPr="00245298" w:rsidRDefault="0050579E" w:rsidP="00206275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z</w:t>
            </w:r>
            <w:r w:rsidR="00206275">
              <w:rPr>
                <w:b/>
                <w:lang w:bidi="cs-CZ"/>
              </w:rPr>
              <w:t>drhovadlo</w:t>
            </w:r>
            <w:r>
              <w:rPr>
                <w:b/>
                <w:lang w:bidi="cs-CZ"/>
              </w:rPr>
              <w:t xml:space="preserve"> spirálové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275" w:rsidRPr="00245298" w:rsidRDefault="00206275" w:rsidP="00206275">
            <w:pPr>
              <w:spacing w:after="0"/>
              <w:rPr>
                <w:lang w:bidi="cs-CZ"/>
              </w:rPr>
            </w:pPr>
          </w:p>
        </w:tc>
      </w:tr>
      <w:tr w:rsidR="00206275" w:rsidRPr="00245298" w:rsidTr="001A2025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275" w:rsidRPr="00245298" w:rsidRDefault="00420A5D" w:rsidP="00206275">
            <w:pPr>
              <w:spacing w:after="0"/>
              <w:rPr>
                <w:b/>
                <w:lang w:bidi="cs-CZ"/>
              </w:rPr>
            </w:pPr>
            <w:proofErr w:type="spellStart"/>
            <w:r>
              <w:rPr>
                <w:b/>
                <w:lang w:bidi="cs-CZ"/>
              </w:rPr>
              <w:t>a</w:t>
            </w:r>
            <w:r w:rsidR="00206275">
              <w:rPr>
                <w:b/>
                <w:lang w:bidi="cs-CZ"/>
              </w:rPr>
              <w:t>utospona</w:t>
            </w:r>
            <w:proofErr w:type="spellEnd"/>
            <w:r w:rsidR="0050579E">
              <w:rPr>
                <w:b/>
                <w:lang w:bidi="cs-CZ"/>
              </w:rPr>
              <w:t xml:space="preserve"> kovová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275" w:rsidRPr="00245298" w:rsidRDefault="00206275" w:rsidP="00206275">
            <w:pPr>
              <w:spacing w:after="0"/>
              <w:rPr>
                <w:lang w:bidi="cs-CZ"/>
              </w:rPr>
            </w:pPr>
          </w:p>
        </w:tc>
      </w:tr>
      <w:tr w:rsidR="00206275" w:rsidRPr="00245298" w:rsidTr="001A2025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275" w:rsidRPr="00245298" w:rsidRDefault="00206275" w:rsidP="00206275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tkaná etiketa výrobce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275" w:rsidRPr="00245298" w:rsidRDefault="00206275" w:rsidP="00206275">
            <w:pPr>
              <w:spacing w:after="0"/>
              <w:rPr>
                <w:lang w:bidi="cs-CZ"/>
              </w:rPr>
            </w:pPr>
          </w:p>
        </w:tc>
      </w:tr>
      <w:tr w:rsidR="00206275" w:rsidRPr="00245298" w:rsidTr="001A2025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275" w:rsidRDefault="00206275" w:rsidP="00206275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rypsová stuha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275" w:rsidRPr="00245298" w:rsidRDefault="00206275" w:rsidP="00206275">
            <w:pPr>
              <w:spacing w:after="0"/>
              <w:rPr>
                <w:lang w:bidi="cs-CZ"/>
              </w:rPr>
            </w:pPr>
          </w:p>
        </w:tc>
      </w:tr>
    </w:tbl>
    <w:p w:rsidR="00B71047" w:rsidRPr="00245298" w:rsidRDefault="00B71047" w:rsidP="002125AB">
      <w:pPr>
        <w:spacing w:after="0"/>
        <w:rPr>
          <w:lang w:bidi="cs-CZ"/>
        </w:rPr>
      </w:pPr>
    </w:p>
    <w:p w:rsidR="002125AB" w:rsidRDefault="002125AB" w:rsidP="002125AB">
      <w:pPr>
        <w:numPr>
          <w:ilvl w:val="1"/>
          <w:numId w:val="1"/>
        </w:numPr>
        <w:spacing w:after="0"/>
        <w:rPr>
          <w:lang w:bidi="cs-CZ"/>
        </w:rPr>
      </w:pPr>
      <w:r w:rsidRPr="00245298">
        <w:rPr>
          <w:lang w:bidi="cs-CZ"/>
        </w:rPr>
        <w:t>Technické parametry použitého vrchového a podšívkového materiálu a odpovídající zku</w:t>
      </w:r>
      <w:r>
        <w:rPr>
          <w:lang w:bidi="cs-CZ"/>
        </w:rPr>
        <w:t>šební metody jsou uvedeny v tabulkách</w:t>
      </w:r>
      <w:r w:rsidRPr="00245298">
        <w:rPr>
          <w:lang w:bidi="cs-CZ"/>
        </w:rPr>
        <w:t>.</w:t>
      </w:r>
    </w:p>
    <w:p w:rsidR="002125AB" w:rsidRDefault="002125AB" w:rsidP="002125AB">
      <w:pPr>
        <w:spacing w:after="0"/>
        <w:rPr>
          <w:lang w:bidi="cs-CZ"/>
        </w:rPr>
      </w:pPr>
    </w:p>
    <w:p w:rsidR="002125AB" w:rsidRDefault="002125AB" w:rsidP="002125AB">
      <w:pPr>
        <w:spacing w:after="0"/>
        <w:rPr>
          <w:b/>
          <w:lang w:bidi="cs-CZ"/>
        </w:rPr>
      </w:pPr>
      <w:r w:rsidRPr="00DC2DDD">
        <w:rPr>
          <w:b/>
          <w:lang w:bidi="cs-CZ"/>
        </w:rPr>
        <w:t>Vrchový materiál:</w:t>
      </w:r>
    </w:p>
    <w:tbl>
      <w:tblPr>
        <w:tblW w:w="50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057"/>
        <w:gridCol w:w="3057"/>
      </w:tblGrid>
      <w:tr w:rsidR="002633B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b/>
                <w:lang w:val="cs" w:bidi="cs-CZ"/>
              </w:rPr>
            </w:pPr>
            <w:r w:rsidRPr="00DD1376">
              <w:rPr>
                <w:b/>
                <w:lang w:val="cs" w:bidi="cs-CZ"/>
              </w:rPr>
              <w:t>Parametr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b/>
                <w:lang w:val="cs" w:bidi="cs-CZ"/>
              </w:rPr>
            </w:pPr>
            <w:r w:rsidRPr="00DD1376">
              <w:rPr>
                <w:b/>
                <w:lang w:val="cs" w:bidi="cs-CZ"/>
              </w:rPr>
              <w:t>Zkušební metoda, norma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b/>
                <w:lang w:val="cs" w:bidi="cs-CZ"/>
              </w:rPr>
            </w:pPr>
            <w:r w:rsidRPr="00DD1376">
              <w:rPr>
                <w:b/>
                <w:lang w:val="cs" w:bidi="cs-CZ"/>
              </w:rPr>
              <w:t>Hodnota</w:t>
            </w:r>
          </w:p>
        </w:tc>
      </w:tr>
      <w:tr w:rsidR="002633B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Materiálové složení</w:t>
            </w:r>
          </w:p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</w:p>
        </w:tc>
        <w:tc>
          <w:tcPr>
            <w:tcW w:w="1643" w:type="pct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</w:p>
        </w:tc>
        <w:tc>
          <w:tcPr>
            <w:tcW w:w="1643" w:type="pct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val="cs" w:bidi="cs-CZ"/>
              </w:rPr>
              <w:t>6</w:t>
            </w:r>
            <w:r w:rsidR="0016130D">
              <w:rPr>
                <w:lang w:val="cs" w:bidi="cs-CZ"/>
              </w:rPr>
              <w:t>4</w:t>
            </w:r>
            <w:r w:rsidRPr="00DD1376">
              <w:rPr>
                <w:lang w:val="cs" w:bidi="cs-CZ"/>
              </w:rPr>
              <w:t>% polyester,</w:t>
            </w:r>
          </w:p>
          <w:p w:rsidR="002633B6" w:rsidRPr="00DD1376" w:rsidRDefault="002633B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val="cs" w:bidi="cs-CZ"/>
              </w:rPr>
              <w:t>3</w:t>
            </w:r>
            <w:r w:rsidR="0016130D">
              <w:rPr>
                <w:lang w:val="cs" w:bidi="cs-CZ"/>
              </w:rPr>
              <w:t>4</w:t>
            </w:r>
            <w:r w:rsidRPr="00DD1376">
              <w:rPr>
                <w:lang w:val="cs" w:bidi="cs-CZ"/>
              </w:rPr>
              <w:t>% viskóza,</w:t>
            </w:r>
          </w:p>
          <w:p w:rsidR="002633B6" w:rsidRPr="00DD1376" w:rsidRDefault="0016130D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>
              <w:rPr>
                <w:lang w:val="cs" w:bidi="cs-CZ"/>
              </w:rPr>
              <w:t>2</w:t>
            </w:r>
            <w:r w:rsidR="002633B6" w:rsidRPr="00DD1376">
              <w:rPr>
                <w:lang w:val="cs" w:bidi="cs-CZ"/>
              </w:rPr>
              <w:t>% </w:t>
            </w:r>
            <w:proofErr w:type="spellStart"/>
            <w:r w:rsidR="002633B6" w:rsidRPr="00DD1376">
              <w:rPr>
                <w:lang w:val="cs" w:bidi="cs-CZ"/>
              </w:rPr>
              <w:t>elastan</w:t>
            </w:r>
            <w:proofErr w:type="spellEnd"/>
            <w:r w:rsidR="002633B6" w:rsidRPr="00DD1376">
              <w:rPr>
                <w:lang w:val="cs" w:bidi="cs-CZ"/>
              </w:rPr>
              <w:t xml:space="preserve"> (útkový streč)</w:t>
            </w:r>
          </w:p>
        </w:tc>
      </w:tr>
      <w:tr w:rsidR="002633B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Barva dle trichromatických souřadnic </w:t>
            </w:r>
            <w:proofErr w:type="spellStart"/>
            <w:r w:rsidRPr="00DD1376">
              <w:rPr>
                <w:lang w:val="cs" w:bidi="cs-CZ"/>
              </w:rPr>
              <w:t>CieLab</w:t>
            </w:r>
            <w:proofErr w:type="spellEnd"/>
          </w:p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Barva: Tmavomodrá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ČSN EN ISO </w:t>
            </w:r>
            <w:proofErr w:type="gramStart"/>
            <w:r w:rsidRPr="00DD1376">
              <w:rPr>
                <w:lang w:val="cs" w:bidi="cs-CZ"/>
              </w:rPr>
              <w:t>105-J01</w:t>
            </w:r>
            <w:proofErr w:type="gramEnd"/>
          </w:p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ČSN EN </w:t>
            </w:r>
            <w:proofErr w:type="gramStart"/>
            <w:r w:rsidRPr="00DD1376">
              <w:rPr>
                <w:lang w:val="cs" w:bidi="cs-CZ"/>
              </w:rPr>
              <w:t>20105-A02</w:t>
            </w:r>
            <w:proofErr w:type="gramEnd"/>
          </w:p>
        </w:tc>
        <w:tc>
          <w:tcPr>
            <w:tcW w:w="1643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center"/>
              <w:rPr>
                <w:bCs/>
                <w:iCs/>
                <w:lang w:bidi="cs-CZ"/>
              </w:rPr>
            </w:pPr>
            <w:r w:rsidRPr="00DD1376">
              <w:rPr>
                <w:bCs/>
                <w:iCs/>
                <w:lang w:bidi="cs-CZ"/>
              </w:rPr>
              <w:t>L = 18,48</w:t>
            </w:r>
          </w:p>
          <w:p w:rsidR="002633B6" w:rsidRPr="00DD1376" w:rsidRDefault="002633B6" w:rsidP="00B2232C">
            <w:pPr>
              <w:spacing w:after="0" w:line="276" w:lineRule="auto"/>
              <w:jc w:val="center"/>
              <w:rPr>
                <w:bCs/>
                <w:iCs/>
                <w:lang w:bidi="cs-CZ"/>
              </w:rPr>
            </w:pPr>
            <w:r w:rsidRPr="00DD1376">
              <w:rPr>
                <w:bCs/>
                <w:iCs/>
                <w:lang w:bidi="cs-CZ"/>
              </w:rPr>
              <w:t>a = 0,49</w:t>
            </w:r>
          </w:p>
          <w:p w:rsidR="002633B6" w:rsidRPr="00DD1376" w:rsidRDefault="002633B6" w:rsidP="00B2232C">
            <w:pPr>
              <w:spacing w:after="0" w:line="276" w:lineRule="auto"/>
              <w:jc w:val="center"/>
              <w:rPr>
                <w:bCs/>
                <w:iCs/>
                <w:lang w:bidi="cs-CZ"/>
              </w:rPr>
            </w:pPr>
            <w:r w:rsidRPr="00DD1376">
              <w:rPr>
                <w:bCs/>
                <w:iCs/>
                <w:lang w:bidi="cs-CZ"/>
              </w:rPr>
              <w:t>b = -4,59</w:t>
            </w:r>
          </w:p>
          <w:p w:rsidR="002633B6" w:rsidRPr="00DD1376" w:rsidRDefault="002633B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val="cs" w:bidi="cs-CZ"/>
              </w:rPr>
              <w:t>povolená barevná odchylka</w:t>
            </w:r>
          </w:p>
          <w:p w:rsidR="002633B6" w:rsidRPr="00DD1376" w:rsidRDefault="002633B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val="cs" w:bidi="cs-CZ"/>
              </w:rPr>
              <w:t>stupeň 4 šedé stupnice</w:t>
            </w:r>
          </w:p>
        </w:tc>
      </w:tr>
      <w:tr w:rsidR="002633B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Úprava</w:t>
            </w:r>
          </w:p>
        </w:tc>
        <w:tc>
          <w:tcPr>
            <w:tcW w:w="1643" w:type="pct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</w:p>
        </w:tc>
        <w:tc>
          <w:tcPr>
            <w:tcW w:w="1643" w:type="pct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bidi="cs-CZ"/>
              </w:rPr>
              <w:t xml:space="preserve">NANO - </w:t>
            </w:r>
            <w:proofErr w:type="spellStart"/>
            <w:r w:rsidRPr="00DD1376">
              <w:rPr>
                <w:lang w:bidi="cs-CZ"/>
              </w:rPr>
              <w:t>nešpinivá</w:t>
            </w:r>
            <w:proofErr w:type="spellEnd"/>
            <w:r w:rsidRPr="00DD1376">
              <w:rPr>
                <w:lang w:bidi="cs-CZ"/>
              </w:rPr>
              <w:t xml:space="preserve"> (odpuzující vodu a nečistoty)</w:t>
            </w:r>
          </w:p>
        </w:tc>
      </w:tr>
      <w:tr w:rsidR="002633B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Vazba</w:t>
            </w:r>
          </w:p>
        </w:tc>
        <w:tc>
          <w:tcPr>
            <w:tcW w:w="1643" w:type="pct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</w:p>
        </w:tc>
        <w:tc>
          <w:tcPr>
            <w:tcW w:w="1643" w:type="pct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val="cs" w:bidi="cs-CZ"/>
              </w:rPr>
              <w:t>plátnová</w:t>
            </w:r>
          </w:p>
        </w:tc>
      </w:tr>
      <w:tr w:rsidR="002633B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Plošná hmotnost</w:t>
            </w:r>
          </w:p>
        </w:tc>
        <w:tc>
          <w:tcPr>
            <w:tcW w:w="1643" w:type="pct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ČSN EN 12127:2000</w:t>
            </w:r>
          </w:p>
        </w:tc>
        <w:tc>
          <w:tcPr>
            <w:tcW w:w="1643" w:type="pct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val="cs" w:bidi="cs-CZ"/>
              </w:rPr>
              <w:t>185 g/m2 ± 5%</w:t>
            </w:r>
          </w:p>
        </w:tc>
      </w:tr>
      <w:tr w:rsidR="002633B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Pevnost min. (N) osnova/útek</w:t>
            </w:r>
          </w:p>
        </w:tc>
        <w:tc>
          <w:tcPr>
            <w:tcW w:w="1643" w:type="pct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ČSN EN ISO 13934-1</w:t>
            </w:r>
          </w:p>
        </w:tc>
        <w:tc>
          <w:tcPr>
            <w:tcW w:w="1643" w:type="pct"/>
            <w:vAlign w:val="center"/>
          </w:tcPr>
          <w:p w:rsidR="002633B6" w:rsidRPr="00DD1376" w:rsidRDefault="005176AE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>
              <w:rPr>
                <w:lang w:val="cs" w:bidi="cs-CZ"/>
              </w:rPr>
              <w:t>5</w:t>
            </w:r>
            <w:bookmarkStart w:id="4" w:name="_GoBack"/>
            <w:bookmarkEnd w:id="4"/>
            <w:r w:rsidR="002633B6" w:rsidRPr="00DD1376">
              <w:rPr>
                <w:lang w:val="cs" w:bidi="cs-CZ"/>
              </w:rPr>
              <w:t>00/</w:t>
            </w:r>
            <w:r w:rsidR="0016130D">
              <w:rPr>
                <w:lang w:val="cs" w:bidi="cs-CZ"/>
              </w:rPr>
              <w:t>5</w:t>
            </w:r>
            <w:r w:rsidR="002633B6" w:rsidRPr="00DD1376">
              <w:rPr>
                <w:lang w:val="cs" w:bidi="cs-CZ"/>
              </w:rPr>
              <w:t>00</w:t>
            </w:r>
          </w:p>
        </w:tc>
      </w:tr>
      <w:tr w:rsidR="002633B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rPr>
                <w:lang w:val="cs" w:bidi="cs-CZ"/>
              </w:rPr>
            </w:pPr>
            <w:r w:rsidRPr="00DD1376">
              <w:rPr>
                <w:lang w:val="cs" w:bidi="cs-CZ"/>
              </w:rPr>
              <w:t>Stálobarevnost v chemickém čištění</w:t>
            </w:r>
          </w:p>
        </w:tc>
        <w:tc>
          <w:tcPr>
            <w:tcW w:w="1643" w:type="pct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ČSN EN ISO </w:t>
            </w:r>
            <w:proofErr w:type="gramStart"/>
            <w:r w:rsidRPr="00DD1376">
              <w:rPr>
                <w:lang w:val="cs" w:bidi="cs-CZ"/>
              </w:rPr>
              <w:t>105-D01</w:t>
            </w:r>
            <w:proofErr w:type="gramEnd"/>
          </w:p>
        </w:tc>
        <w:tc>
          <w:tcPr>
            <w:tcW w:w="1643" w:type="pct"/>
            <w:vAlign w:val="center"/>
          </w:tcPr>
          <w:p w:rsidR="002633B6" w:rsidRDefault="002633B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>
              <w:rPr>
                <w:lang w:val="cs" w:bidi="cs-CZ"/>
              </w:rPr>
              <w:t xml:space="preserve">min. </w:t>
            </w:r>
            <w:r w:rsidRPr="00DD1376">
              <w:rPr>
                <w:lang w:val="cs" w:bidi="cs-CZ"/>
              </w:rPr>
              <w:t>4</w:t>
            </w:r>
            <w:r w:rsidR="0016130D">
              <w:rPr>
                <w:lang w:val="cs" w:bidi="cs-CZ"/>
              </w:rPr>
              <w:t>-5</w:t>
            </w:r>
          </w:p>
          <w:p w:rsidR="002633B6" w:rsidRPr="00DD1376" w:rsidRDefault="002633B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2633B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Stálobarevnost v otěru suchý</w:t>
            </w:r>
          </w:p>
        </w:tc>
        <w:tc>
          <w:tcPr>
            <w:tcW w:w="1643" w:type="pct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ČSN EN ISO </w:t>
            </w:r>
            <w:proofErr w:type="gramStart"/>
            <w:r w:rsidRPr="00DD1376">
              <w:rPr>
                <w:lang w:val="cs" w:bidi="cs-CZ"/>
              </w:rPr>
              <w:t>105-X12</w:t>
            </w:r>
            <w:proofErr w:type="gramEnd"/>
          </w:p>
        </w:tc>
        <w:tc>
          <w:tcPr>
            <w:tcW w:w="1643" w:type="pct"/>
            <w:vAlign w:val="center"/>
          </w:tcPr>
          <w:p w:rsidR="002633B6" w:rsidRDefault="002633B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>
              <w:rPr>
                <w:lang w:val="cs" w:bidi="cs-CZ"/>
              </w:rPr>
              <w:t xml:space="preserve">min. </w:t>
            </w:r>
            <w:r w:rsidRPr="00DD1376">
              <w:rPr>
                <w:lang w:val="cs" w:bidi="cs-CZ"/>
              </w:rPr>
              <w:t>4-5</w:t>
            </w:r>
          </w:p>
          <w:p w:rsidR="002633B6" w:rsidRPr="00DD1376" w:rsidRDefault="002633B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2633B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Stálobarevnost při žehlení</w:t>
            </w:r>
            <w:r>
              <w:rPr>
                <w:lang w:val="cs" w:bidi="cs-CZ"/>
              </w:rPr>
              <w:t xml:space="preserve"> </w:t>
            </w:r>
          </w:p>
        </w:tc>
        <w:tc>
          <w:tcPr>
            <w:tcW w:w="1643" w:type="pct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ČSN EN ISO </w:t>
            </w:r>
            <w:proofErr w:type="gramStart"/>
            <w:r w:rsidRPr="00DD1376">
              <w:rPr>
                <w:lang w:val="cs" w:bidi="cs-CZ"/>
              </w:rPr>
              <w:t>105-X11</w:t>
            </w:r>
            <w:proofErr w:type="gramEnd"/>
          </w:p>
        </w:tc>
        <w:tc>
          <w:tcPr>
            <w:tcW w:w="1643" w:type="pct"/>
            <w:vAlign w:val="center"/>
          </w:tcPr>
          <w:p w:rsidR="002633B6" w:rsidRDefault="002633B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>
              <w:rPr>
                <w:lang w:val="cs" w:bidi="cs-CZ"/>
              </w:rPr>
              <w:t xml:space="preserve">min. </w:t>
            </w:r>
            <w:r w:rsidRPr="00DD1376">
              <w:rPr>
                <w:lang w:val="cs" w:bidi="cs-CZ"/>
              </w:rPr>
              <w:t>4</w:t>
            </w:r>
            <w:r w:rsidR="0016130D">
              <w:rPr>
                <w:lang w:val="cs" w:bidi="cs-CZ"/>
              </w:rPr>
              <w:t>-5</w:t>
            </w:r>
          </w:p>
          <w:p w:rsidR="002633B6" w:rsidRPr="00DD1376" w:rsidRDefault="002633B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2633B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Stálobarevnost v</w:t>
            </w:r>
            <w:r>
              <w:rPr>
                <w:lang w:val="cs" w:bidi="cs-CZ"/>
              </w:rPr>
              <w:t> </w:t>
            </w:r>
            <w:r w:rsidRPr="00DD1376">
              <w:rPr>
                <w:lang w:val="cs" w:bidi="cs-CZ"/>
              </w:rPr>
              <w:t>potu</w:t>
            </w:r>
          </w:p>
        </w:tc>
        <w:tc>
          <w:tcPr>
            <w:tcW w:w="1643" w:type="pct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ČSN EN ISO </w:t>
            </w:r>
            <w:proofErr w:type="gramStart"/>
            <w:r w:rsidRPr="00DD1376">
              <w:rPr>
                <w:lang w:val="cs" w:bidi="cs-CZ"/>
              </w:rPr>
              <w:t>105-E04</w:t>
            </w:r>
            <w:proofErr w:type="gramEnd"/>
          </w:p>
        </w:tc>
        <w:tc>
          <w:tcPr>
            <w:tcW w:w="1643" w:type="pct"/>
            <w:vAlign w:val="center"/>
          </w:tcPr>
          <w:p w:rsidR="002633B6" w:rsidRDefault="002633B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>
              <w:rPr>
                <w:lang w:val="cs" w:bidi="cs-CZ"/>
              </w:rPr>
              <w:t xml:space="preserve">min. </w:t>
            </w:r>
            <w:r w:rsidRPr="00DD1376">
              <w:rPr>
                <w:lang w:val="cs" w:bidi="cs-CZ"/>
              </w:rPr>
              <w:t>4</w:t>
            </w:r>
            <w:r w:rsidR="0016130D">
              <w:rPr>
                <w:lang w:val="cs" w:bidi="cs-CZ"/>
              </w:rPr>
              <w:t>-5</w:t>
            </w:r>
          </w:p>
          <w:p w:rsidR="002633B6" w:rsidRPr="00DD1376" w:rsidRDefault="002633B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2633B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Stálobarevnost ve vodě</w:t>
            </w:r>
          </w:p>
        </w:tc>
        <w:tc>
          <w:tcPr>
            <w:tcW w:w="1643" w:type="pct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ČSN EN ISO </w:t>
            </w:r>
            <w:proofErr w:type="gramStart"/>
            <w:r w:rsidRPr="00DD1376">
              <w:rPr>
                <w:lang w:val="cs" w:bidi="cs-CZ"/>
              </w:rPr>
              <w:t>105-E01</w:t>
            </w:r>
            <w:proofErr w:type="gramEnd"/>
          </w:p>
        </w:tc>
        <w:tc>
          <w:tcPr>
            <w:tcW w:w="1643" w:type="pct"/>
            <w:vAlign w:val="center"/>
          </w:tcPr>
          <w:p w:rsidR="002633B6" w:rsidRDefault="002633B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>
              <w:rPr>
                <w:lang w:val="cs" w:bidi="cs-CZ"/>
              </w:rPr>
              <w:t xml:space="preserve">min. </w:t>
            </w:r>
            <w:r w:rsidRPr="00DD1376">
              <w:rPr>
                <w:lang w:val="cs" w:bidi="cs-CZ"/>
              </w:rPr>
              <w:t>4-5</w:t>
            </w:r>
          </w:p>
          <w:p w:rsidR="002633B6" w:rsidRPr="00DD1376" w:rsidRDefault="002633B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2633B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lastRenderedPageBreak/>
              <w:t>Odolnost proti povrchovému smáčení stupeň ISO (materiál originál)</w:t>
            </w:r>
          </w:p>
        </w:tc>
        <w:tc>
          <w:tcPr>
            <w:tcW w:w="1643" w:type="pct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ČSN EN ISO 4920</w:t>
            </w:r>
          </w:p>
        </w:tc>
        <w:tc>
          <w:tcPr>
            <w:tcW w:w="1643" w:type="pct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val="cs" w:bidi="cs-CZ"/>
              </w:rPr>
              <w:t>min. 4</w:t>
            </w:r>
          </w:p>
        </w:tc>
      </w:tr>
      <w:tr w:rsidR="002633B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en-US" w:bidi="cs-CZ"/>
              </w:rPr>
            </w:pPr>
            <w:proofErr w:type="spellStart"/>
            <w:r w:rsidRPr="00DD1376">
              <w:rPr>
                <w:lang w:val="en-US" w:bidi="cs-CZ"/>
              </w:rPr>
              <w:t>Obsah</w:t>
            </w:r>
            <w:proofErr w:type="spellEnd"/>
            <w:r w:rsidRPr="00DD1376">
              <w:rPr>
                <w:lang w:val="en-US" w:bidi="cs-CZ"/>
              </w:rPr>
              <w:t xml:space="preserve"> </w:t>
            </w:r>
            <w:proofErr w:type="spellStart"/>
            <w:r w:rsidRPr="00DD1376">
              <w:rPr>
                <w:lang w:val="en-US" w:bidi="cs-CZ"/>
              </w:rPr>
              <w:t>volného</w:t>
            </w:r>
            <w:proofErr w:type="spellEnd"/>
            <w:r w:rsidRPr="00DD1376">
              <w:rPr>
                <w:lang w:val="en-US" w:bidi="cs-CZ"/>
              </w:rPr>
              <w:t xml:space="preserve"> </w:t>
            </w:r>
            <w:proofErr w:type="spellStart"/>
            <w:r w:rsidRPr="00DD1376">
              <w:rPr>
                <w:lang w:val="en-US" w:bidi="cs-CZ"/>
              </w:rPr>
              <w:t>formaldehydu</w:t>
            </w:r>
            <w:proofErr w:type="spellEnd"/>
            <w:r w:rsidRPr="00DD1376">
              <w:rPr>
                <w:lang w:val="en-US" w:bidi="cs-CZ"/>
              </w:rPr>
              <w:t xml:space="preserve"> 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en-US" w:bidi="cs-CZ"/>
              </w:rPr>
            </w:pPr>
            <w:r w:rsidRPr="00DD1376">
              <w:rPr>
                <w:lang w:val="en-US" w:bidi="cs-CZ"/>
              </w:rPr>
              <w:t>ČSN EN ISO 14184-1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center"/>
              <w:rPr>
                <w:lang w:val="en-US" w:bidi="cs-CZ"/>
              </w:rPr>
            </w:pPr>
            <w:proofErr w:type="gramStart"/>
            <w:r w:rsidRPr="00DD1376">
              <w:rPr>
                <w:lang w:val="en-US" w:bidi="cs-CZ"/>
              </w:rPr>
              <w:t>max</w:t>
            </w:r>
            <w:proofErr w:type="gramEnd"/>
            <w:r w:rsidRPr="00DD1376">
              <w:rPr>
                <w:lang w:val="en-US" w:bidi="cs-CZ"/>
              </w:rPr>
              <w:t>. 75 mg/kg</w:t>
            </w:r>
          </w:p>
        </w:tc>
      </w:tr>
      <w:tr w:rsidR="002633B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en-US" w:bidi="cs-CZ"/>
              </w:rPr>
            </w:pPr>
            <w:proofErr w:type="spellStart"/>
            <w:r w:rsidRPr="00DD1376">
              <w:rPr>
                <w:lang w:val="en-US" w:bidi="cs-CZ"/>
              </w:rPr>
              <w:t>Hodnota</w:t>
            </w:r>
            <w:proofErr w:type="spellEnd"/>
            <w:r w:rsidRPr="00DD1376">
              <w:rPr>
                <w:lang w:val="en-US" w:bidi="cs-CZ"/>
              </w:rPr>
              <w:t xml:space="preserve"> pH </w:t>
            </w:r>
            <w:proofErr w:type="spellStart"/>
            <w:r w:rsidRPr="00DD1376">
              <w:rPr>
                <w:lang w:val="en-US" w:bidi="cs-CZ"/>
              </w:rPr>
              <w:t>volného</w:t>
            </w:r>
            <w:proofErr w:type="spellEnd"/>
            <w:r w:rsidRPr="00DD1376">
              <w:rPr>
                <w:lang w:val="en-US" w:bidi="cs-CZ"/>
              </w:rPr>
              <w:t xml:space="preserve"> </w:t>
            </w:r>
            <w:proofErr w:type="spellStart"/>
            <w:r w:rsidRPr="00DD1376">
              <w:rPr>
                <w:lang w:val="en-US" w:bidi="cs-CZ"/>
              </w:rPr>
              <w:t>výluhu</w:t>
            </w:r>
            <w:proofErr w:type="spellEnd"/>
          </w:p>
        </w:tc>
        <w:tc>
          <w:tcPr>
            <w:tcW w:w="1643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en-US" w:bidi="cs-CZ"/>
              </w:rPr>
            </w:pPr>
            <w:r w:rsidRPr="00DD1376">
              <w:rPr>
                <w:lang w:val="en-US" w:bidi="cs-CZ"/>
              </w:rPr>
              <w:t>ČSN EN ISO 3071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center"/>
              <w:rPr>
                <w:lang w:val="en-US" w:bidi="cs-CZ"/>
              </w:rPr>
            </w:pPr>
            <w:r w:rsidRPr="00DD1376">
              <w:rPr>
                <w:lang w:val="en-US" w:bidi="cs-CZ"/>
              </w:rPr>
              <w:t>4,5 - 7,5</w:t>
            </w:r>
          </w:p>
        </w:tc>
      </w:tr>
      <w:tr w:rsidR="002633B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bCs/>
                <w:lang w:val="cs" w:bidi="cs-CZ"/>
              </w:rPr>
            </w:pPr>
            <w:r w:rsidRPr="00DD1376">
              <w:rPr>
                <w:bCs/>
                <w:lang w:val="cs" w:bidi="cs-CZ"/>
              </w:rPr>
              <w:t>Symboly údržby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ČSN EN ISO 3758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2633B6" w:rsidRPr="00DD1376" w:rsidRDefault="002633B6" w:rsidP="00B2232C">
            <w:pPr>
              <w:spacing w:after="0" w:line="276" w:lineRule="auto"/>
              <w:jc w:val="center"/>
              <w:rPr>
                <w:lang w:bidi="cs-CZ"/>
              </w:rPr>
            </w:pPr>
            <w:r>
              <w:object w:dxaOrig="2505" w:dyaOrig="5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5.25pt;height:26.25pt" o:ole="">
                  <v:imagedata r:id="rId9" o:title=""/>
                </v:shape>
                <o:OLEObject Type="Embed" ProgID="PBrush" ShapeID="_x0000_i1025" DrawAspect="Content" ObjectID="_1627190906" r:id="rId10"/>
              </w:object>
            </w:r>
          </w:p>
        </w:tc>
      </w:tr>
    </w:tbl>
    <w:p w:rsidR="002633B6" w:rsidRDefault="002633B6" w:rsidP="002125AB">
      <w:pPr>
        <w:spacing w:after="0"/>
        <w:rPr>
          <w:b/>
          <w:lang w:bidi="cs-CZ"/>
        </w:rPr>
      </w:pPr>
    </w:p>
    <w:p w:rsidR="002125AB" w:rsidRPr="00DC2DDD" w:rsidRDefault="002125AB" w:rsidP="002125AB">
      <w:pPr>
        <w:spacing w:after="0" w:line="276" w:lineRule="auto"/>
        <w:rPr>
          <w:b/>
          <w:lang w:bidi="cs-CZ"/>
        </w:rPr>
      </w:pPr>
      <w:r w:rsidRPr="00DC2DDD">
        <w:rPr>
          <w:b/>
          <w:lang w:bidi="cs-CZ"/>
        </w:rPr>
        <w:t>Podšívka: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3018"/>
        <w:gridCol w:w="3018"/>
      </w:tblGrid>
      <w:tr w:rsidR="002125AB" w:rsidTr="00C42385">
        <w:trPr>
          <w:trHeight w:val="397"/>
        </w:trPr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Parametr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Z</w:t>
            </w:r>
            <w:r w:rsidRPr="003452FF">
              <w:rPr>
                <w:b/>
                <w:lang w:bidi="cs-CZ"/>
              </w:rPr>
              <w:t>kušební metoda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H</w:t>
            </w:r>
            <w:r w:rsidRPr="003452FF">
              <w:rPr>
                <w:b/>
                <w:lang w:bidi="cs-CZ"/>
              </w:rPr>
              <w:t>odnota</w:t>
            </w:r>
          </w:p>
        </w:tc>
      </w:tr>
      <w:tr w:rsidR="002125AB" w:rsidTr="00C42385">
        <w:trPr>
          <w:trHeight w:val="397"/>
        </w:trPr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Materiálové složení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bidi="cs-CZ"/>
              </w:rPr>
            </w:pP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jc w:val="center"/>
              <w:rPr>
                <w:lang w:val="cs" w:bidi="cs-CZ"/>
              </w:rPr>
            </w:pPr>
            <w:r w:rsidRPr="003452FF">
              <w:rPr>
                <w:lang w:val="cs" w:bidi="cs-CZ"/>
              </w:rPr>
              <w:t>100% polyester</w:t>
            </w:r>
          </w:p>
        </w:tc>
      </w:tr>
      <w:tr w:rsidR="002125AB" w:rsidTr="00C42385">
        <w:trPr>
          <w:trHeight w:val="397"/>
        </w:trPr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Barva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bidi="cs-CZ"/>
              </w:rPr>
            </w:pP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jc w:val="center"/>
              <w:rPr>
                <w:lang w:val="cs" w:bidi="cs-CZ"/>
              </w:rPr>
            </w:pPr>
            <w:r w:rsidRPr="003452FF">
              <w:rPr>
                <w:lang w:val="cs" w:bidi="cs-CZ"/>
              </w:rPr>
              <w:t>černá</w:t>
            </w:r>
          </w:p>
        </w:tc>
      </w:tr>
      <w:tr w:rsidR="002125AB" w:rsidTr="00C42385">
        <w:trPr>
          <w:trHeight w:val="397"/>
        </w:trPr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bCs/>
                <w:lang w:val="cs" w:bidi="cs-CZ"/>
              </w:rPr>
            </w:pPr>
            <w:r w:rsidRPr="003452FF">
              <w:rPr>
                <w:bCs/>
                <w:lang w:val="cs" w:bidi="cs-CZ"/>
              </w:rPr>
              <w:t>Plošná hmotnost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12127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Pr="00FC1055" w:rsidRDefault="00C12C41" w:rsidP="002125AB">
            <w:pPr>
              <w:spacing w:line="276" w:lineRule="auto"/>
              <w:jc w:val="center"/>
              <w:rPr>
                <w:lang w:bidi="cs-CZ"/>
              </w:rPr>
            </w:pPr>
            <w:r>
              <w:rPr>
                <w:lang w:bidi="cs-CZ"/>
              </w:rPr>
              <w:t>65</w:t>
            </w:r>
            <w:r w:rsidR="002125AB">
              <w:rPr>
                <w:lang w:bidi="cs-CZ"/>
              </w:rPr>
              <w:t xml:space="preserve"> ± 5 </w:t>
            </w:r>
            <w:r w:rsidR="002125AB" w:rsidRPr="003452FF">
              <w:rPr>
                <w:lang w:val="cs" w:bidi="cs-CZ"/>
              </w:rPr>
              <w:t>g.m</w:t>
            </w:r>
            <w:r w:rsidR="002125AB" w:rsidRPr="003452FF">
              <w:rPr>
                <w:vertAlign w:val="superscript"/>
                <w:lang w:val="cs" w:bidi="cs-CZ"/>
              </w:rPr>
              <w:t>-2</w:t>
            </w:r>
          </w:p>
        </w:tc>
      </w:tr>
      <w:tr w:rsidR="002125AB" w:rsidTr="00C42385">
        <w:trPr>
          <w:trHeight w:val="397"/>
        </w:trPr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Stálobarevnost v potu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ČSN EN ISO </w:t>
            </w:r>
            <w:proofErr w:type="gramStart"/>
            <w:r w:rsidRPr="003452FF">
              <w:rPr>
                <w:lang w:val="cs" w:bidi="cs-CZ"/>
              </w:rPr>
              <w:t>105-E04</w:t>
            </w:r>
            <w:proofErr w:type="gramEnd"/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4-5/4-5</w:t>
            </w:r>
          </w:p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stupeň šedé stupnice</w:t>
            </w:r>
          </w:p>
        </w:tc>
      </w:tr>
      <w:tr w:rsidR="002125AB" w:rsidTr="00C42385">
        <w:trPr>
          <w:trHeight w:val="397"/>
        </w:trPr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Stálobarevnost v otěru </w:t>
            </w:r>
          </w:p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za sucha/za vlhka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ČSN EN ISO </w:t>
            </w:r>
            <w:proofErr w:type="gramStart"/>
            <w:r w:rsidRPr="003452FF">
              <w:rPr>
                <w:lang w:val="cs" w:bidi="cs-CZ"/>
              </w:rPr>
              <w:t>105-X12</w:t>
            </w:r>
            <w:proofErr w:type="gramEnd"/>
            <w:r w:rsidRPr="003452FF">
              <w:rPr>
                <w:lang w:val="cs" w:bidi="cs-CZ"/>
              </w:rPr>
              <w:t xml:space="preserve"> </w:t>
            </w:r>
          </w:p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ČSN EN ISO </w:t>
            </w:r>
            <w:proofErr w:type="gramStart"/>
            <w:r w:rsidRPr="003452FF">
              <w:rPr>
                <w:lang w:val="cs" w:bidi="cs-CZ"/>
              </w:rPr>
              <w:t>105-X12</w:t>
            </w:r>
            <w:proofErr w:type="gramEnd"/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4-5 min. 4-5</w:t>
            </w:r>
          </w:p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stupeň šedé stupnice</w:t>
            </w:r>
          </w:p>
        </w:tc>
      </w:tr>
      <w:tr w:rsidR="002125AB" w:rsidTr="00C42385">
        <w:trPr>
          <w:trHeight w:val="397"/>
        </w:trPr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Posuvnost niti ve švu (mm):</w:t>
            </w:r>
          </w:p>
          <w:p w:rsidR="002125AB" w:rsidRPr="003452FF" w:rsidRDefault="002125AB" w:rsidP="002125AB">
            <w:pPr>
              <w:numPr>
                <w:ilvl w:val="0"/>
                <w:numId w:val="12"/>
              </w:num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osnova</w:t>
            </w:r>
          </w:p>
          <w:p w:rsidR="002125AB" w:rsidRPr="003452FF" w:rsidRDefault="002125AB" w:rsidP="002125AB">
            <w:pPr>
              <w:numPr>
                <w:ilvl w:val="0"/>
                <w:numId w:val="12"/>
              </w:num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útek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ISO 13936-2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en-US"/>
              </w:rPr>
              <w:t xml:space="preserve">max. </w:t>
            </w:r>
            <w:r w:rsidRPr="00FC1055">
              <w:rPr>
                <w:lang w:bidi="cs-CZ"/>
              </w:rPr>
              <w:t>3</w:t>
            </w:r>
            <w:r>
              <w:rPr>
                <w:lang w:bidi="cs-CZ"/>
              </w:rPr>
              <w:t xml:space="preserve"> mm</w:t>
            </w:r>
          </w:p>
        </w:tc>
      </w:tr>
      <w:tr w:rsidR="002125AB" w:rsidTr="00C42385">
        <w:trPr>
          <w:trHeight w:val="397"/>
        </w:trPr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Odolnost proti </w:t>
            </w:r>
            <w:proofErr w:type="spellStart"/>
            <w:r w:rsidRPr="003452FF">
              <w:rPr>
                <w:lang w:val="cs" w:bidi="cs-CZ"/>
              </w:rPr>
              <w:t>žmolkování</w:t>
            </w:r>
            <w:proofErr w:type="spellEnd"/>
            <w:r w:rsidRPr="003452FF">
              <w:rPr>
                <w:lang w:val="cs" w:bidi="cs-CZ"/>
              </w:rPr>
              <w:t xml:space="preserve">, </w:t>
            </w:r>
          </w:p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7000 otáček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ISO 12945-2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3-4</w:t>
            </w:r>
          </w:p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stupeň</w:t>
            </w:r>
          </w:p>
        </w:tc>
      </w:tr>
      <w:tr w:rsidR="002125AB" w:rsidTr="00C42385">
        <w:trPr>
          <w:trHeight w:val="397"/>
        </w:trPr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Odolnost proti oděru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ISO 12947-2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Pr="00FC1055" w:rsidRDefault="002125AB" w:rsidP="00C12C41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2</w:t>
            </w:r>
            <w:r w:rsidR="00C12C41">
              <w:rPr>
                <w:lang w:bidi="cs-CZ"/>
              </w:rPr>
              <w:t>0</w:t>
            </w:r>
            <w:r>
              <w:rPr>
                <w:lang w:bidi="cs-CZ"/>
              </w:rPr>
              <w:t> </w:t>
            </w:r>
            <w:r w:rsidRPr="00FC1055">
              <w:rPr>
                <w:lang w:bidi="cs-CZ"/>
              </w:rPr>
              <w:t>000</w:t>
            </w:r>
            <w:r>
              <w:rPr>
                <w:lang w:bidi="cs-CZ"/>
              </w:rPr>
              <w:t xml:space="preserve"> otáček</w:t>
            </w:r>
          </w:p>
        </w:tc>
      </w:tr>
    </w:tbl>
    <w:p w:rsidR="002125AB" w:rsidRDefault="002125AB" w:rsidP="003452FF">
      <w:pPr>
        <w:spacing w:after="0" w:line="276" w:lineRule="auto"/>
        <w:jc w:val="both"/>
        <w:rPr>
          <w:lang w:bidi="cs-CZ"/>
        </w:rPr>
      </w:pPr>
    </w:p>
    <w:p w:rsidR="00DC2DDD" w:rsidRDefault="00DC2DDD" w:rsidP="00DC2DDD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Poznámka: Pokud jsou v tabulce u jednoho ukazatele uvedeny dvě hodnoty stálobarevnosti oddělené lomítkem, znamená to, že před lomítkem je uvedena hodnota pro změnu odstínu původního materiálu a za lomítkem je uvedena hodnota pro zapouštění na tu z předepsaných doprovodných tkanin, která při zkoušce vykázala horší výsledek.</w:t>
      </w:r>
    </w:p>
    <w:p w:rsidR="00DC2DDD" w:rsidRPr="00245298" w:rsidRDefault="00DC2DDD" w:rsidP="00DC2DDD">
      <w:pPr>
        <w:spacing w:after="0" w:line="276" w:lineRule="auto"/>
        <w:jc w:val="both"/>
        <w:rPr>
          <w:lang w:bidi="cs-CZ"/>
        </w:rPr>
      </w:pPr>
    </w:p>
    <w:p w:rsidR="00DC2DDD" w:rsidRPr="00245298" w:rsidRDefault="00DC2DDD" w:rsidP="00DC2DDD">
      <w:pPr>
        <w:numPr>
          <w:ilvl w:val="1"/>
          <w:numId w:val="1"/>
        </w:num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Na parametry uvedené v</w:t>
      </w:r>
      <w:r>
        <w:rPr>
          <w:lang w:bidi="cs-CZ"/>
        </w:rPr>
        <w:t> </w:t>
      </w:r>
      <w:r w:rsidRPr="00245298">
        <w:rPr>
          <w:lang w:bidi="cs-CZ"/>
        </w:rPr>
        <w:t>tabul</w:t>
      </w:r>
      <w:r>
        <w:rPr>
          <w:lang w:bidi="cs-CZ"/>
        </w:rPr>
        <w:t>kách dle 4.2</w:t>
      </w:r>
      <w:r w:rsidRPr="00245298">
        <w:rPr>
          <w:lang w:bidi="cs-CZ"/>
        </w:rPr>
        <w:t xml:space="preserve"> jsou požadovány zkušební protokoly akreditované zkušební laboratoře. Další </w:t>
      </w:r>
      <w:r>
        <w:rPr>
          <w:lang w:bidi="cs-CZ"/>
        </w:rPr>
        <w:t>specifikace použitého materiálu</w:t>
      </w:r>
      <w:r w:rsidRPr="00245298">
        <w:rPr>
          <w:lang w:bidi="cs-CZ"/>
        </w:rPr>
        <w:t xml:space="preserve">, tj. materiálové složení, úprava, </w:t>
      </w:r>
      <w:r>
        <w:rPr>
          <w:lang w:bidi="cs-CZ"/>
        </w:rPr>
        <w:t xml:space="preserve">vazba, </w:t>
      </w:r>
      <w:r w:rsidRPr="00245298">
        <w:rPr>
          <w:lang w:bidi="cs-CZ"/>
        </w:rPr>
        <w:t>symboly údržby podle ČSN EN ISO 3758 musí být doloženy materiálovým listem. Na materiálovém listu bude uvedeno datum vyhotovení a bude opatřen razítkem a podpisem uchazeče. V případě, že materiálový list požadované parametry neobsahuje, je nutné je doložit protokolem zkušební laboratoře.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5" w:name="bookmark5"/>
      <w:r w:rsidRPr="00245298">
        <w:rPr>
          <w:b/>
          <w:bCs/>
          <w:lang w:bidi="cs-CZ"/>
        </w:rPr>
        <w:t>ZNAČENÍ</w:t>
      </w:r>
      <w:bookmarkEnd w:id="5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Značení musí vyhovovat požadavkům zákona o ochraně spotřebitele č. 634/1992 Sb. v platném znění a Nařízení Evropského parlamentu a Rady (EU) č. 1007/2011 o názvech textilních vláken a souvisejícím označování materiálového složení textilních výrobků. Konkrétní požadavky pro textilní výrobky stanoví ČSN 80 3010.</w:t>
      </w:r>
    </w:p>
    <w:p w:rsidR="00245298" w:rsidRPr="00245298" w:rsidRDefault="00245298" w:rsidP="003452FF">
      <w:pPr>
        <w:spacing w:after="0" w:line="276" w:lineRule="auto"/>
        <w:jc w:val="both"/>
        <w:rPr>
          <w:bCs/>
          <w:lang w:bidi="cs-CZ"/>
        </w:rPr>
      </w:pPr>
      <w:r w:rsidRPr="00245298">
        <w:rPr>
          <w:lang w:bidi="cs-CZ"/>
        </w:rPr>
        <w:lastRenderedPageBreak/>
        <w:t xml:space="preserve">Značení je uvedeno na </w:t>
      </w:r>
      <w:r w:rsidRPr="00245298">
        <w:rPr>
          <w:b/>
          <w:bCs/>
          <w:lang w:bidi="cs-CZ"/>
        </w:rPr>
        <w:t>textilní etiketě</w:t>
      </w:r>
      <w:r w:rsidR="000035FF">
        <w:rPr>
          <w:b/>
          <w:bCs/>
          <w:lang w:bidi="cs-CZ"/>
        </w:rPr>
        <w:t xml:space="preserve"> </w:t>
      </w:r>
      <w:r w:rsidR="000035FF" w:rsidRPr="000035FF">
        <w:rPr>
          <w:bCs/>
          <w:lang w:bidi="cs-CZ"/>
        </w:rPr>
        <w:t>v barvě bílé, písmo černé</w:t>
      </w:r>
      <w:r w:rsidRPr="00245298">
        <w:rPr>
          <w:lang w:bidi="cs-CZ"/>
        </w:rPr>
        <w:t xml:space="preserve">, která je </w:t>
      </w:r>
      <w:r w:rsidR="00C12C41" w:rsidRPr="00C12C41">
        <w:rPr>
          <w:lang w:bidi="cs-CZ"/>
        </w:rPr>
        <w:t xml:space="preserve">všitá </w:t>
      </w:r>
      <w:r w:rsidR="00206275" w:rsidRPr="000973D0">
        <w:rPr>
          <w:lang w:bidi="cs-CZ"/>
        </w:rPr>
        <w:t>do pasového švu</w:t>
      </w:r>
      <w:r w:rsidR="00206275">
        <w:rPr>
          <w:lang w:bidi="cs-CZ"/>
        </w:rPr>
        <w:t xml:space="preserve"> středem pravého</w:t>
      </w:r>
      <w:r w:rsidR="00206275" w:rsidRPr="000973D0">
        <w:rPr>
          <w:lang w:bidi="cs-CZ"/>
        </w:rPr>
        <w:t xml:space="preserve"> zadního dílu</w:t>
      </w:r>
      <w:r w:rsidR="00206275">
        <w:rPr>
          <w:lang w:bidi="cs-CZ"/>
        </w:rPr>
        <w:t xml:space="preserve"> z vnitřní strany</w:t>
      </w:r>
      <w:r w:rsidRPr="00245298">
        <w:rPr>
          <w:bCs/>
          <w:lang w:bidi="cs-CZ"/>
        </w:rPr>
        <w:t>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Obsahuje údaje: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název výrobku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výrobce (dodavatel)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velikost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složení materiálu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symboly ošetřování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datum výroby ve tvaru mm/</w:t>
      </w:r>
      <w:proofErr w:type="spellStart"/>
      <w:r w:rsidRPr="00245298">
        <w:rPr>
          <w:lang w:bidi="cs-CZ"/>
        </w:rPr>
        <w:t>rrrr</w:t>
      </w:r>
      <w:proofErr w:type="spellEnd"/>
      <w:r w:rsidRPr="00245298">
        <w:rPr>
          <w:lang w:bidi="cs-CZ"/>
        </w:rPr>
        <w:t xml:space="preserve"> (měsíc/rok například 01/2018)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Etiketa je stálobarevná v údržbě.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 xml:space="preserve">Každý výrobek je dále opatřen </w:t>
      </w:r>
      <w:r w:rsidRPr="00245298">
        <w:rPr>
          <w:b/>
          <w:bCs/>
          <w:lang w:bidi="cs-CZ"/>
        </w:rPr>
        <w:t>papírovou visačkou</w:t>
      </w:r>
      <w:r w:rsidRPr="00245298">
        <w:rPr>
          <w:lang w:bidi="cs-CZ"/>
        </w:rPr>
        <w:t xml:space="preserve">, která je umístěna </w:t>
      </w:r>
      <w:r w:rsidR="008F31B3">
        <w:rPr>
          <w:lang w:bidi="cs-CZ"/>
        </w:rPr>
        <w:t>v bočním švu</w:t>
      </w:r>
      <w:r w:rsidRPr="00245298">
        <w:rPr>
          <w:lang w:bidi="cs-CZ"/>
        </w:rPr>
        <w:t xml:space="preserve"> a obsahuje: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název výrobku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výrobce (dodavatel)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datum výroby ve tvaru mm/</w:t>
      </w:r>
      <w:proofErr w:type="spellStart"/>
      <w:r w:rsidRPr="00245298">
        <w:rPr>
          <w:lang w:bidi="cs-CZ"/>
        </w:rPr>
        <w:t>rrrr</w:t>
      </w:r>
      <w:proofErr w:type="spellEnd"/>
      <w:r w:rsidRPr="00245298">
        <w:rPr>
          <w:lang w:bidi="cs-CZ"/>
        </w:rPr>
        <w:t xml:space="preserve"> (měsíc/rok například 01/2018)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6" w:name="bookmark7"/>
      <w:r w:rsidRPr="00245298">
        <w:rPr>
          <w:b/>
          <w:bCs/>
          <w:lang w:bidi="cs-CZ"/>
        </w:rPr>
        <w:t>POKYNY PRO SYSTÉM KONTROL, ZKOUŠENÍ A KONEČNOU KONTROLU</w:t>
      </w:r>
      <w:bookmarkEnd w:id="6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Hotové výrobky musí odpovídat požadavkům platných technických norem, těmto technickým podmínkám a referenčnímu vzorku. Jakost použitého materiálu se zkouší podle ČSN 80 3014/ ČSN 80 7030/ ČSN 80 7010, pevnost švů, počet stehů, rozměry, celkové provedení a vzhled výrobku. Oděv se vyrábí pouze v 1. jakosti. Záruční doba na výrobky je 2 roky od předání konečnému uživateli. V případě zjištění závad a uplatnění reklamace vůči výrobci se bude postupovat v souladu s Občanským zákoníkem a kupní smlouvou. Místem reklamačních oprav je sídlo zhotovitele zakázky.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7" w:name="bookmark8"/>
      <w:r w:rsidRPr="00245298">
        <w:rPr>
          <w:b/>
          <w:bCs/>
          <w:lang w:bidi="cs-CZ"/>
        </w:rPr>
        <w:t>POKYNY PRO ÚDRŽBU A OPRAVY</w:t>
      </w:r>
      <w:bookmarkEnd w:id="7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Vady zboží, které se projeví během záruční doby, se řeší v souladu s Kupní smlouvou.</w:t>
      </w:r>
    </w:p>
    <w:p w:rsidR="003452FF" w:rsidRPr="00245298" w:rsidRDefault="003452FF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8" w:name="bookmark9"/>
      <w:r w:rsidRPr="00245298">
        <w:rPr>
          <w:b/>
          <w:bCs/>
          <w:lang w:bidi="cs-CZ"/>
        </w:rPr>
        <w:t>BALENÍ, SKLADOVÁNÍ, EKOLOGICKÁ LIKVIDACE</w:t>
      </w:r>
      <w:bookmarkEnd w:id="8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8320B8" w:rsidP="003452FF">
      <w:pPr>
        <w:spacing w:after="0" w:line="276" w:lineRule="auto"/>
        <w:jc w:val="both"/>
        <w:rPr>
          <w:lang w:bidi="cs-CZ"/>
        </w:rPr>
        <w:sectPr w:rsidR="00245298" w:rsidRPr="00245298" w:rsidSect="002125AB">
          <w:headerReference w:type="default" r:id="rId11"/>
          <w:pgSz w:w="11900" w:h="16840"/>
          <w:pgMar w:top="1701" w:right="1418" w:bottom="1418" w:left="1418" w:header="845" w:footer="6" w:gutter="0"/>
          <w:pgNumType w:start="1"/>
          <w:cols w:space="720"/>
          <w:noEndnote/>
          <w:docGrid w:linePitch="360"/>
        </w:sectPr>
      </w:pPr>
      <w:r>
        <w:rPr>
          <w:lang w:bidi="cs-CZ"/>
        </w:rPr>
        <w:t>Oděvy</w:t>
      </w:r>
      <w:r w:rsidR="00245298" w:rsidRPr="00245298">
        <w:rPr>
          <w:lang w:bidi="cs-CZ"/>
        </w:rPr>
        <w:t xml:space="preserve"> se dodávají na ramínkách v PE sáčku. </w:t>
      </w:r>
      <w:r>
        <w:rPr>
          <w:lang w:bidi="cs-CZ"/>
        </w:rPr>
        <w:t>Oděvy</w:t>
      </w:r>
      <w:r w:rsidR="00245298" w:rsidRPr="00245298">
        <w:rPr>
          <w:lang w:bidi="cs-CZ"/>
        </w:rPr>
        <w:t xml:space="preserve"> se skladují v suchých, větraných prostorách </w:t>
      </w:r>
      <w:r>
        <w:rPr>
          <w:lang w:bidi="cs-CZ"/>
        </w:rPr>
        <w:br/>
      </w:r>
      <w:r w:rsidR="00245298" w:rsidRPr="00245298">
        <w:rPr>
          <w:lang w:bidi="cs-CZ"/>
        </w:rPr>
        <w:t xml:space="preserve">a nesmějí být vystaveny přímým účinkům slunečního záření a sálavému teplu. Doprava se provádí </w:t>
      </w:r>
      <w:r>
        <w:rPr>
          <w:lang w:bidi="cs-CZ"/>
        </w:rPr>
        <w:br/>
      </w:r>
      <w:r w:rsidR="00245298" w:rsidRPr="00245298">
        <w:rPr>
          <w:lang w:bidi="cs-CZ"/>
        </w:rPr>
        <w:t>na ramínkách zavěšených na tyči. Likvidace výrobku se provádí v souladu se zákonem č. 185/2001 Sb., o odpadech a o změně některých dalších zákonů, ve znění pozdějších předpisů a v souladu s příslušnými prováděcími předpisy v platném znění.</w:t>
      </w:r>
    </w:p>
    <w:p w:rsidR="00245298" w:rsidRPr="00245298" w:rsidRDefault="00245298" w:rsidP="00245298">
      <w:pPr>
        <w:numPr>
          <w:ilvl w:val="0"/>
          <w:numId w:val="1"/>
        </w:numPr>
        <w:rPr>
          <w:b/>
          <w:bCs/>
          <w:lang w:bidi="cs-CZ"/>
        </w:rPr>
      </w:pPr>
      <w:bookmarkStart w:id="9" w:name="bookmark10"/>
      <w:r w:rsidRPr="00245298">
        <w:rPr>
          <w:b/>
          <w:bCs/>
          <w:lang w:bidi="cs-CZ"/>
        </w:rPr>
        <w:lastRenderedPageBreak/>
        <w:t>TECHNICKÝ NÁKRES</w:t>
      </w:r>
      <w:bookmarkEnd w:id="9"/>
    </w:p>
    <w:p w:rsidR="00245298" w:rsidRPr="00245298" w:rsidRDefault="00245298" w:rsidP="00245298">
      <w:pPr>
        <w:rPr>
          <w:lang w:bidi="cs-CZ"/>
        </w:rPr>
        <w:sectPr w:rsidR="00245298" w:rsidRPr="00245298" w:rsidSect="00245298">
          <w:pgSz w:w="11900" w:h="16840"/>
          <w:pgMar w:top="1417" w:right="1417" w:bottom="1417" w:left="1417" w:header="960" w:footer="3" w:gutter="0"/>
          <w:cols w:space="720"/>
          <w:noEndnote/>
          <w:docGrid w:linePitch="360"/>
        </w:sectPr>
      </w:pPr>
    </w:p>
    <w:p w:rsidR="00245298" w:rsidRPr="00245298" w:rsidRDefault="00245298" w:rsidP="00245298">
      <w:pPr>
        <w:rPr>
          <w:lang w:bidi="cs-CZ"/>
        </w:rPr>
      </w:pPr>
    </w:p>
    <w:p w:rsidR="00245298" w:rsidRPr="00245298" w:rsidRDefault="0050579E" w:rsidP="00245298">
      <w:pPr>
        <w:rPr>
          <w:lang w:bidi="cs-CZ"/>
        </w:rPr>
        <w:sectPr w:rsidR="00245298" w:rsidRPr="00245298" w:rsidSect="00245298">
          <w:type w:val="continuous"/>
          <w:pgSz w:w="11900" w:h="16840"/>
          <w:pgMar w:top="1417" w:right="1417" w:bottom="1417" w:left="1417" w:header="0" w:footer="3" w:gutter="0"/>
          <w:cols w:space="720"/>
          <w:noEndnote/>
          <w:docGrid w:linePitch="360"/>
        </w:sectPr>
      </w:pPr>
      <w:r>
        <w:rPr>
          <w:noProof/>
          <w:lang w:eastAsia="cs-CZ"/>
        </w:rPr>
        <w:drawing>
          <wp:inline distT="0" distB="0" distL="0" distR="0" wp14:anchorId="75938E7F">
            <wp:extent cx="6124755" cy="458316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1336" cy="45880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5298" w:rsidRPr="00245298" w:rsidRDefault="00245298" w:rsidP="00245298">
      <w:pPr>
        <w:rPr>
          <w:lang w:bidi="cs-CZ"/>
        </w:rPr>
      </w:pPr>
    </w:p>
    <w:p w:rsidR="00245298" w:rsidRPr="00245298" w:rsidRDefault="00245298" w:rsidP="00245298">
      <w:pPr>
        <w:rPr>
          <w:lang w:bidi="cs-CZ"/>
        </w:rPr>
        <w:sectPr w:rsidR="00245298" w:rsidRPr="00245298" w:rsidSect="00245298">
          <w:type w:val="continuous"/>
          <w:pgSz w:w="11900" w:h="16840"/>
          <w:pgMar w:top="1417" w:right="1417" w:bottom="1417" w:left="1417" w:header="935" w:footer="3" w:gutter="0"/>
          <w:cols w:space="720"/>
          <w:noEndnote/>
          <w:docGrid w:linePitch="360"/>
        </w:sectPr>
      </w:pPr>
    </w:p>
    <w:p w:rsidR="00245298" w:rsidRPr="00245298" w:rsidRDefault="00245298" w:rsidP="00245298">
      <w:pPr>
        <w:numPr>
          <w:ilvl w:val="0"/>
          <w:numId w:val="1"/>
        </w:numPr>
        <w:spacing w:after="0"/>
      </w:pPr>
      <w:r w:rsidRPr="00245298">
        <w:rPr>
          <w:b/>
          <w:bCs/>
          <w:lang w:bidi="cs-CZ"/>
        </w:rPr>
        <w:lastRenderedPageBreak/>
        <w:t>TABULKY KONTROLNÍCH MĚR</w:t>
      </w:r>
      <w:r w:rsidRPr="00245298">
        <w:rPr>
          <w:lang w:bidi="cs-CZ"/>
        </w:rPr>
        <w:fldChar w:fldCharType="begin"/>
      </w:r>
      <w:r w:rsidRPr="00245298">
        <w:rPr>
          <w:lang w:bidi="cs-CZ"/>
        </w:rPr>
        <w:instrText xml:space="preserve"> LINK Excel.Sheet.12 "\\\\bphs-dc2.blazek.local\\Blazek_Data\\VYROBA\\PROFESNÍ\\SŽDC\\NOVÝ NÁVRH 2018\\TECHNICKÁ DOKUMENTACE\\DÁMSKÁ\\TKM SŽDC 2018.xlsx" "D Sako 940402!R3C1:R24C18" \a \f 5 \h  \* MERGEFORMAT </w:instrText>
      </w:r>
      <w:r w:rsidRPr="00245298">
        <w:rPr>
          <w:lang w:bidi="cs-CZ"/>
        </w:rPr>
        <w:fldChar w:fldCharType="separate"/>
      </w:r>
    </w:p>
    <w:p w:rsidR="00245298" w:rsidRDefault="00245298" w:rsidP="00245298">
      <w:pPr>
        <w:spacing w:after="0"/>
      </w:pPr>
      <w:r w:rsidRPr="00245298">
        <w:fldChar w:fldCharType="end"/>
      </w:r>
    </w:p>
    <w:p w:rsidR="00607AB9" w:rsidRPr="007C3144" w:rsidRDefault="00607AB9" w:rsidP="00607AB9">
      <w:pPr>
        <w:spacing w:after="0"/>
        <w:rPr>
          <w:b/>
        </w:rPr>
      </w:pPr>
      <w:r w:rsidRPr="007C3144">
        <w:rPr>
          <w:b/>
        </w:rPr>
        <w:t>Kalkulační velikost: 170-000-104</w:t>
      </w:r>
    </w:p>
    <w:p w:rsidR="00607AB9" w:rsidRDefault="00607AB9" w:rsidP="00245298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2"/>
        <w:gridCol w:w="3104"/>
        <w:gridCol w:w="875"/>
        <w:gridCol w:w="585"/>
        <w:gridCol w:w="586"/>
        <w:gridCol w:w="586"/>
        <w:gridCol w:w="588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631"/>
      </w:tblGrid>
      <w:tr w:rsidR="004113FA" w:rsidRPr="00CB20BC" w:rsidTr="004113FA">
        <w:trPr>
          <w:trHeight w:val="315"/>
        </w:trPr>
        <w:tc>
          <w:tcPr>
            <w:tcW w:w="462" w:type="dxa"/>
            <w:tcBorders>
              <w:bottom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8320B8">
            <w:pPr>
              <w:rPr>
                <w:sz w:val="20"/>
                <w:szCs w:val="20"/>
              </w:rPr>
            </w:pPr>
          </w:p>
        </w:tc>
        <w:tc>
          <w:tcPr>
            <w:tcW w:w="3104" w:type="dxa"/>
            <w:tcBorders>
              <w:left w:val="nil"/>
              <w:bottom w:val="nil"/>
            </w:tcBorders>
            <w:noWrap/>
            <w:vAlign w:val="center"/>
            <w:hideMark/>
          </w:tcPr>
          <w:p w:rsidR="004113FA" w:rsidRPr="00CB20BC" w:rsidRDefault="004113FA" w:rsidP="008320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vMerge w:val="restart"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výška postavy</w:t>
            </w:r>
          </w:p>
        </w:tc>
        <w:tc>
          <w:tcPr>
            <w:tcW w:w="585" w:type="dxa"/>
            <w:tcBorders>
              <w:bottom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dxa"/>
            <w:vMerge w:val="restart"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Tol</w:t>
            </w:r>
            <w:r>
              <w:rPr>
                <w:sz w:val="20"/>
                <w:szCs w:val="20"/>
              </w:rPr>
              <w:t>.</w:t>
            </w:r>
            <w:r w:rsidRPr="00CB20BC">
              <w:rPr>
                <w:sz w:val="20"/>
                <w:szCs w:val="20"/>
              </w:rPr>
              <w:t xml:space="preserve"> +/-</w:t>
            </w:r>
          </w:p>
        </w:tc>
      </w:tr>
      <w:tr w:rsidR="004113FA" w:rsidRPr="00CB20BC" w:rsidTr="004113FA">
        <w:trPr>
          <w:trHeight w:val="315"/>
        </w:trPr>
        <w:tc>
          <w:tcPr>
            <w:tcW w:w="462" w:type="dxa"/>
            <w:tcBorders>
              <w:top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113FA" w:rsidRPr="00CB20BC" w:rsidRDefault="004113FA" w:rsidP="008320B8">
            <w:pPr>
              <w:rPr>
                <w:sz w:val="20"/>
                <w:szCs w:val="20"/>
              </w:rPr>
            </w:pPr>
          </w:p>
        </w:tc>
        <w:tc>
          <w:tcPr>
            <w:tcW w:w="3104" w:type="dxa"/>
            <w:tcBorders>
              <w:top w:val="nil"/>
              <w:left w:val="nil"/>
            </w:tcBorders>
            <w:noWrap/>
            <w:vAlign w:val="center"/>
            <w:hideMark/>
          </w:tcPr>
          <w:p w:rsidR="004113FA" w:rsidRPr="00CB20BC" w:rsidRDefault="004113FA" w:rsidP="008320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</w:tr>
      <w:tr w:rsidR="004113FA" w:rsidRPr="00CB20BC" w:rsidTr="004113FA">
        <w:trPr>
          <w:trHeight w:val="315"/>
        </w:trPr>
        <w:tc>
          <w:tcPr>
            <w:tcW w:w="462" w:type="dxa"/>
            <w:tcBorders>
              <w:right w:val="nil"/>
            </w:tcBorders>
            <w:noWrap/>
            <w:vAlign w:val="center"/>
            <w:hideMark/>
          </w:tcPr>
          <w:p w:rsidR="004113FA" w:rsidRPr="00CB20BC" w:rsidRDefault="004113FA" w:rsidP="008320B8">
            <w:pPr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Velikost / Obvod sedu /</w:t>
            </w:r>
            <w:r w:rsidRPr="00CB20BC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75" w:type="dxa"/>
            <w:tcBorders>
              <w:left w:val="nil"/>
              <w:bottom w:val="single" w:sz="4" w:space="0" w:color="auto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136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140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</w:tr>
      <w:tr w:rsidR="004113FA" w:rsidRPr="00CB20BC" w:rsidTr="004113FA">
        <w:trPr>
          <w:trHeight w:val="315"/>
        </w:trPr>
        <w:tc>
          <w:tcPr>
            <w:tcW w:w="462" w:type="dxa"/>
            <w:tcBorders>
              <w:right w:val="nil"/>
            </w:tcBorders>
            <w:noWrap/>
            <w:vAlign w:val="center"/>
            <w:hideMark/>
          </w:tcPr>
          <w:p w:rsidR="004113FA" w:rsidRPr="00CB20BC" w:rsidRDefault="004113FA" w:rsidP="008320B8">
            <w:pPr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8320B8">
            <w:pPr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Kontrolní rozměry: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</w:tr>
      <w:tr w:rsidR="004113FA" w:rsidRPr="00CB20BC" w:rsidTr="004113FA">
        <w:trPr>
          <w:trHeight w:val="315"/>
        </w:trPr>
        <w:tc>
          <w:tcPr>
            <w:tcW w:w="462" w:type="dxa"/>
            <w:vMerge w:val="restart"/>
            <w:noWrap/>
            <w:vAlign w:val="center"/>
            <w:hideMark/>
          </w:tcPr>
          <w:p w:rsidR="004113FA" w:rsidRPr="00CB20BC" w:rsidRDefault="004113FA" w:rsidP="008320B8">
            <w:pPr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104" w:type="dxa"/>
            <w:vMerge w:val="restart"/>
            <w:vAlign w:val="center"/>
            <w:hideMark/>
          </w:tcPr>
          <w:p w:rsidR="004113FA" w:rsidRPr="00CB20BC" w:rsidRDefault="004113FA" w:rsidP="008320B8">
            <w:pPr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Zadní délka sukně /</w:t>
            </w:r>
            <w:r w:rsidRPr="00CB20B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75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158</w:t>
            </w:r>
          </w:p>
        </w:tc>
        <w:tc>
          <w:tcPr>
            <w:tcW w:w="585" w:type="dxa"/>
            <w:tcBorders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48</w:t>
            </w: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dxa"/>
            <w:vMerge w:val="restart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1</w:t>
            </w:r>
          </w:p>
        </w:tc>
      </w:tr>
      <w:tr w:rsidR="004113FA" w:rsidRPr="00CB20BC" w:rsidTr="004113FA">
        <w:trPr>
          <w:trHeight w:val="315"/>
        </w:trPr>
        <w:tc>
          <w:tcPr>
            <w:tcW w:w="462" w:type="dxa"/>
            <w:vMerge/>
            <w:vAlign w:val="center"/>
            <w:hideMark/>
          </w:tcPr>
          <w:p w:rsidR="004113FA" w:rsidRPr="00CB20BC" w:rsidRDefault="004113FA" w:rsidP="008320B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04" w:type="dxa"/>
            <w:vMerge/>
            <w:vAlign w:val="center"/>
            <w:hideMark/>
          </w:tcPr>
          <w:p w:rsidR="004113FA" w:rsidRPr="00CB20BC" w:rsidRDefault="004113FA" w:rsidP="008320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164</w:t>
            </w:r>
          </w:p>
        </w:tc>
        <w:tc>
          <w:tcPr>
            <w:tcW w:w="585" w:type="dxa"/>
            <w:tcBorders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51</w:t>
            </w: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dxa"/>
            <w:vMerge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</w:tr>
      <w:tr w:rsidR="004113FA" w:rsidRPr="00CB20BC" w:rsidTr="004113FA">
        <w:trPr>
          <w:trHeight w:val="315"/>
        </w:trPr>
        <w:tc>
          <w:tcPr>
            <w:tcW w:w="462" w:type="dxa"/>
            <w:vMerge/>
            <w:vAlign w:val="center"/>
            <w:hideMark/>
          </w:tcPr>
          <w:p w:rsidR="004113FA" w:rsidRPr="00CB20BC" w:rsidRDefault="004113FA" w:rsidP="008320B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04" w:type="dxa"/>
            <w:vMerge/>
            <w:vAlign w:val="center"/>
            <w:hideMark/>
          </w:tcPr>
          <w:p w:rsidR="004113FA" w:rsidRPr="00CB20BC" w:rsidRDefault="004113FA" w:rsidP="008320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170</w:t>
            </w:r>
          </w:p>
        </w:tc>
        <w:tc>
          <w:tcPr>
            <w:tcW w:w="585" w:type="dxa"/>
            <w:tcBorders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dxa"/>
            <w:vMerge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</w:tr>
      <w:tr w:rsidR="004113FA" w:rsidRPr="00CB20BC" w:rsidTr="004113FA">
        <w:trPr>
          <w:trHeight w:val="315"/>
        </w:trPr>
        <w:tc>
          <w:tcPr>
            <w:tcW w:w="462" w:type="dxa"/>
            <w:vMerge/>
            <w:vAlign w:val="center"/>
            <w:hideMark/>
          </w:tcPr>
          <w:p w:rsidR="004113FA" w:rsidRPr="00CB20BC" w:rsidRDefault="004113FA" w:rsidP="008320B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04" w:type="dxa"/>
            <w:vMerge/>
            <w:vAlign w:val="center"/>
            <w:hideMark/>
          </w:tcPr>
          <w:p w:rsidR="004113FA" w:rsidRPr="00CB20BC" w:rsidRDefault="004113FA" w:rsidP="008320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176</w:t>
            </w:r>
          </w:p>
        </w:tc>
        <w:tc>
          <w:tcPr>
            <w:tcW w:w="585" w:type="dxa"/>
            <w:tcBorders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57</w:t>
            </w: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dxa"/>
            <w:vMerge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</w:tr>
      <w:tr w:rsidR="004113FA" w:rsidRPr="00CB20BC" w:rsidTr="004113FA">
        <w:trPr>
          <w:trHeight w:val="315"/>
        </w:trPr>
        <w:tc>
          <w:tcPr>
            <w:tcW w:w="462" w:type="dxa"/>
            <w:noWrap/>
            <w:vAlign w:val="center"/>
            <w:hideMark/>
          </w:tcPr>
          <w:p w:rsidR="004113FA" w:rsidRPr="00CB20BC" w:rsidRDefault="004113FA" w:rsidP="008320B8">
            <w:pPr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3104" w:type="dxa"/>
            <w:tcBorders>
              <w:right w:val="nil"/>
            </w:tcBorders>
            <w:noWrap/>
            <w:vAlign w:val="center"/>
            <w:hideMark/>
          </w:tcPr>
          <w:p w:rsidR="004113FA" w:rsidRPr="00206275" w:rsidRDefault="004113FA" w:rsidP="008320B8">
            <w:pPr>
              <w:rPr>
                <w:sz w:val="20"/>
                <w:szCs w:val="20"/>
              </w:rPr>
            </w:pPr>
            <w:r w:rsidRPr="00206275">
              <w:rPr>
                <w:sz w:val="20"/>
                <w:szCs w:val="20"/>
              </w:rPr>
              <w:t xml:space="preserve">Pasová šířka </w:t>
            </w:r>
          </w:p>
        </w:tc>
        <w:tc>
          <w:tcPr>
            <w:tcW w:w="875" w:type="dxa"/>
            <w:tcBorders>
              <w:lef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34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36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38</w:t>
            </w:r>
          </w:p>
        </w:tc>
        <w:tc>
          <w:tcPr>
            <w:tcW w:w="588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42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44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46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48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50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52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54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56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58</w:t>
            </w:r>
          </w:p>
        </w:tc>
        <w:tc>
          <w:tcPr>
            <w:tcW w:w="631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1</w:t>
            </w:r>
          </w:p>
        </w:tc>
      </w:tr>
      <w:tr w:rsidR="004113FA" w:rsidRPr="00CB20BC" w:rsidTr="004113FA">
        <w:trPr>
          <w:trHeight w:val="315"/>
        </w:trPr>
        <w:tc>
          <w:tcPr>
            <w:tcW w:w="462" w:type="dxa"/>
            <w:noWrap/>
            <w:vAlign w:val="center"/>
            <w:hideMark/>
          </w:tcPr>
          <w:p w:rsidR="004113FA" w:rsidRPr="00CB20BC" w:rsidRDefault="004113FA" w:rsidP="008320B8">
            <w:pPr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3104" w:type="dxa"/>
            <w:tcBorders>
              <w:right w:val="nil"/>
            </w:tcBorders>
            <w:noWrap/>
            <w:vAlign w:val="center"/>
            <w:hideMark/>
          </w:tcPr>
          <w:p w:rsidR="004113FA" w:rsidRPr="00206275" w:rsidRDefault="004113FA" w:rsidP="00206275">
            <w:pPr>
              <w:rPr>
                <w:sz w:val="20"/>
                <w:szCs w:val="20"/>
              </w:rPr>
            </w:pPr>
            <w:proofErr w:type="spellStart"/>
            <w:r w:rsidRPr="00206275">
              <w:rPr>
                <w:sz w:val="20"/>
                <w:szCs w:val="20"/>
              </w:rPr>
              <w:t>Sedová</w:t>
            </w:r>
            <w:proofErr w:type="spellEnd"/>
            <w:r w:rsidRPr="00206275">
              <w:rPr>
                <w:sz w:val="20"/>
                <w:szCs w:val="20"/>
              </w:rPr>
              <w:t xml:space="preserve"> šíř</w:t>
            </w:r>
            <w:r>
              <w:rPr>
                <w:sz w:val="20"/>
                <w:szCs w:val="20"/>
              </w:rPr>
              <w:t>ka</w:t>
            </w:r>
          </w:p>
        </w:tc>
        <w:tc>
          <w:tcPr>
            <w:tcW w:w="875" w:type="dxa"/>
            <w:tcBorders>
              <w:lef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46,5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48,5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50,5</w:t>
            </w:r>
          </w:p>
        </w:tc>
        <w:tc>
          <w:tcPr>
            <w:tcW w:w="588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52,5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54,5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56,5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58,5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60,5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62,5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64,5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66,5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68,5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70,5</w:t>
            </w:r>
          </w:p>
        </w:tc>
        <w:tc>
          <w:tcPr>
            <w:tcW w:w="631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,2</w:t>
            </w:r>
          </w:p>
        </w:tc>
      </w:tr>
      <w:tr w:rsidR="004113FA" w:rsidRPr="00CB20BC" w:rsidTr="004113FA">
        <w:trPr>
          <w:trHeight w:val="315"/>
        </w:trPr>
        <w:tc>
          <w:tcPr>
            <w:tcW w:w="462" w:type="dxa"/>
            <w:noWrap/>
            <w:vAlign w:val="center"/>
            <w:hideMark/>
          </w:tcPr>
          <w:p w:rsidR="004113FA" w:rsidRPr="00CB20BC" w:rsidRDefault="004113FA" w:rsidP="008320B8">
            <w:pPr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3104" w:type="dxa"/>
            <w:tcBorders>
              <w:right w:val="nil"/>
            </w:tcBorders>
            <w:noWrap/>
            <w:vAlign w:val="center"/>
            <w:hideMark/>
          </w:tcPr>
          <w:p w:rsidR="004113FA" w:rsidRPr="00206275" w:rsidRDefault="004113FA" w:rsidP="00206275">
            <w:pPr>
              <w:rPr>
                <w:sz w:val="20"/>
                <w:szCs w:val="20"/>
              </w:rPr>
            </w:pPr>
            <w:r w:rsidRPr="00206275">
              <w:rPr>
                <w:sz w:val="20"/>
                <w:szCs w:val="20"/>
              </w:rPr>
              <w:t xml:space="preserve">Šířka </w:t>
            </w:r>
            <w:r>
              <w:rPr>
                <w:sz w:val="20"/>
                <w:szCs w:val="20"/>
              </w:rPr>
              <w:t xml:space="preserve">v dolním </w:t>
            </w:r>
            <w:r w:rsidRPr="00206275">
              <w:rPr>
                <w:sz w:val="20"/>
                <w:szCs w:val="20"/>
              </w:rPr>
              <w:t>kraji</w:t>
            </w:r>
          </w:p>
        </w:tc>
        <w:tc>
          <w:tcPr>
            <w:tcW w:w="875" w:type="dxa"/>
            <w:tcBorders>
              <w:left w:val="nil"/>
            </w:tcBorders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46,5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48,5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50,5</w:t>
            </w:r>
          </w:p>
        </w:tc>
        <w:tc>
          <w:tcPr>
            <w:tcW w:w="588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52,5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54,5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56,5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58,5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60,5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62,5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64,5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66,5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68,5</w:t>
            </w:r>
          </w:p>
        </w:tc>
        <w:tc>
          <w:tcPr>
            <w:tcW w:w="586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70,5</w:t>
            </w:r>
          </w:p>
        </w:tc>
        <w:tc>
          <w:tcPr>
            <w:tcW w:w="631" w:type="dxa"/>
            <w:noWrap/>
            <w:vAlign w:val="center"/>
            <w:hideMark/>
          </w:tcPr>
          <w:p w:rsidR="004113FA" w:rsidRPr="00CB20BC" w:rsidRDefault="004113FA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,2</w:t>
            </w:r>
          </w:p>
        </w:tc>
      </w:tr>
    </w:tbl>
    <w:p w:rsidR="008320B8" w:rsidRDefault="008320B8" w:rsidP="00245298">
      <w:pPr>
        <w:spacing w:after="0"/>
      </w:pPr>
    </w:p>
    <w:p w:rsidR="008F31B3" w:rsidRPr="008F31B3" w:rsidRDefault="008F31B3" w:rsidP="008F31B3">
      <w:pPr>
        <w:spacing w:after="0"/>
        <w:rPr>
          <w:sz w:val="18"/>
          <w:szCs w:val="18"/>
        </w:rPr>
      </w:pPr>
      <w:r w:rsidRPr="008F31B3">
        <w:rPr>
          <w:sz w:val="18"/>
          <w:szCs w:val="18"/>
        </w:rPr>
        <w:t>Všechny rozměry jsou uvedené v cm; metodika měření dle ČSN 80 7040;</w:t>
      </w:r>
    </w:p>
    <w:p w:rsidR="008F31B3" w:rsidRPr="008F31B3" w:rsidRDefault="008F31B3" w:rsidP="008F31B3">
      <w:pPr>
        <w:spacing w:after="0"/>
        <w:rPr>
          <w:sz w:val="18"/>
          <w:szCs w:val="18"/>
        </w:rPr>
      </w:pPr>
      <w:r w:rsidRPr="008F31B3">
        <w:rPr>
          <w:sz w:val="18"/>
          <w:szCs w:val="18"/>
        </w:rPr>
        <w:t>/1 - tělesný rozměr</w:t>
      </w:r>
    </w:p>
    <w:p w:rsidR="008F31B3" w:rsidRPr="008F31B3" w:rsidRDefault="008F31B3" w:rsidP="008F31B3">
      <w:pPr>
        <w:spacing w:after="0"/>
        <w:rPr>
          <w:sz w:val="18"/>
          <w:szCs w:val="18"/>
        </w:rPr>
      </w:pPr>
      <w:r>
        <w:rPr>
          <w:sz w:val="18"/>
          <w:szCs w:val="18"/>
        </w:rPr>
        <w:t>/2 - měřeno bez pasového límce</w:t>
      </w:r>
    </w:p>
    <w:p w:rsidR="008F31B3" w:rsidRDefault="008F31B3" w:rsidP="00245298">
      <w:pPr>
        <w:spacing w:after="0"/>
        <w:rPr>
          <w:sz w:val="18"/>
          <w:szCs w:val="18"/>
        </w:rPr>
      </w:pPr>
    </w:p>
    <w:p w:rsidR="008F31B3" w:rsidRPr="00245298" w:rsidRDefault="008F31B3" w:rsidP="00245298">
      <w:pPr>
        <w:spacing w:after="0"/>
      </w:pPr>
    </w:p>
    <w:sectPr w:rsidR="008F31B3" w:rsidRPr="00245298" w:rsidSect="00245298">
      <w:footerReference w:type="default" r:id="rId13"/>
      <w:pgSz w:w="16840" w:h="11900" w:orient="landscape"/>
      <w:pgMar w:top="1418" w:right="1418" w:bottom="1418" w:left="1418" w:header="85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545" w:rsidRDefault="00875545" w:rsidP="00245298">
      <w:pPr>
        <w:spacing w:after="0" w:line="240" w:lineRule="auto"/>
      </w:pPr>
      <w:r>
        <w:separator/>
      </w:r>
    </w:p>
  </w:endnote>
  <w:endnote w:type="continuationSeparator" w:id="0">
    <w:p w:rsidR="00875545" w:rsidRDefault="00875545" w:rsidP="0024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D0" w:rsidRDefault="000973D0">
    <w:pPr>
      <w:spacing w:line="14" w:lineRule="exac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CE2241A" wp14:editId="7A8FC27F">
              <wp:simplePos x="0" y="0"/>
              <wp:positionH relativeFrom="page">
                <wp:posOffset>3011170</wp:posOffset>
              </wp:positionH>
              <wp:positionV relativeFrom="page">
                <wp:posOffset>9443720</wp:posOffset>
              </wp:positionV>
              <wp:extent cx="608330" cy="8255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8330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973D0" w:rsidRDefault="000973D0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Stranka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instrText xml:space="preserve"> PAGE \* MERGEFORMAT </w:instrTex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176AE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7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 xml:space="preserve">z 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8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237.1pt;margin-top:743.6pt;width:47.9pt;height:6.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" filled="f" stroked="f">
              <v:textbox style="mso-fit-shape-to-text:t" inset="0,0,0,0">
                <w:txbxContent>
                  <w:p w:rsidR="000973D0" w:rsidRDefault="000973D0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Stranka</w:t>
                    </w:r>
                    <w:proofErr w:type="spellEnd"/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instrText xml:space="preserve"> PAGE \* MERGEFORMAT </w:instrTex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5176AE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7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z 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545" w:rsidRDefault="00875545" w:rsidP="00245298">
      <w:pPr>
        <w:spacing w:after="0" w:line="240" w:lineRule="auto"/>
      </w:pPr>
      <w:r>
        <w:separator/>
      </w:r>
    </w:p>
  </w:footnote>
  <w:footnote w:type="continuationSeparator" w:id="0">
    <w:p w:rsidR="00875545" w:rsidRDefault="00875545" w:rsidP="0024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D0" w:rsidRDefault="000973D0" w:rsidP="000973D0">
    <w:pPr>
      <w:spacing w:after="0" w:line="240" w:lineRule="auto"/>
      <w:jc w:val="center"/>
    </w:pPr>
    <w:r w:rsidRPr="000A01D0">
      <w:rPr>
        <w:b/>
        <w:lang w:bidi="cs-CZ"/>
      </w:rPr>
      <w:t xml:space="preserve">TECHNICKÁ SPECIFIKACE – </w:t>
    </w:r>
    <w:r>
      <w:rPr>
        <w:b/>
        <w:lang w:bidi="cs-CZ"/>
      </w:rPr>
      <w:t>SUKNĚ</w:t>
    </w:r>
    <w:r w:rsidRPr="000A01D0">
      <w:rPr>
        <w:b/>
        <w:lang w:bidi="cs-CZ"/>
      </w:rPr>
      <w:t xml:space="preserve"> STEJNOKROJOV</w:t>
    </w:r>
    <w:r>
      <w:rPr>
        <w:b/>
        <w:lang w:bidi="cs-CZ"/>
      </w:rPr>
      <w:t>Á</w:t>
    </w:r>
    <w:r w:rsidR="00B71047">
      <w:rPr>
        <w:b/>
        <w:lang w:bidi="cs-CZ"/>
      </w:rPr>
      <w:t xml:space="preserve"> LETNÍ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0A66"/>
    <w:multiLevelType w:val="multilevel"/>
    <w:tmpl w:val="31D292DE"/>
    <w:lvl w:ilvl="0">
      <w:start w:val="1"/>
      <w:numFmt w:val="decimal"/>
      <w:lvlText w:val="%1."/>
      <w:lvlJc w:val="left"/>
      <w:rPr>
        <w:rFonts w:ascii="Calibri" w:hAnsi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7C53B9"/>
    <w:multiLevelType w:val="hybridMultilevel"/>
    <w:tmpl w:val="B09A8E98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C40F8"/>
    <w:multiLevelType w:val="multilevel"/>
    <w:tmpl w:val="4EDCD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C43F20"/>
    <w:multiLevelType w:val="hybridMultilevel"/>
    <w:tmpl w:val="C8EA694E"/>
    <w:lvl w:ilvl="0" w:tplc="4D22A8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68087D"/>
    <w:multiLevelType w:val="hybridMultilevel"/>
    <w:tmpl w:val="8D68398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7629EC"/>
    <w:multiLevelType w:val="hybridMultilevel"/>
    <w:tmpl w:val="16AE558E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06600"/>
    <w:multiLevelType w:val="hybridMultilevel"/>
    <w:tmpl w:val="932EF512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A8B27AE"/>
    <w:multiLevelType w:val="hybridMultilevel"/>
    <w:tmpl w:val="0158F6B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BB2C8E"/>
    <w:multiLevelType w:val="hybridMultilevel"/>
    <w:tmpl w:val="024C70E4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1F5C78"/>
    <w:multiLevelType w:val="hybridMultilevel"/>
    <w:tmpl w:val="6212C1F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20776C"/>
    <w:multiLevelType w:val="hybridMultilevel"/>
    <w:tmpl w:val="D00C0668"/>
    <w:lvl w:ilvl="0" w:tplc="4C500E9C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6AB3058"/>
    <w:multiLevelType w:val="hybridMultilevel"/>
    <w:tmpl w:val="DF8A532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AB4815"/>
    <w:multiLevelType w:val="hybridMultilevel"/>
    <w:tmpl w:val="024421F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72F746DB"/>
    <w:multiLevelType w:val="hybridMultilevel"/>
    <w:tmpl w:val="46D26FFA"/>
    <w:lvl w:ilvl="0" w:tplc="AE3A70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47A3F92"/>
    <w:multiLevelType w:val="hybridMultilevel"/>
    <w:tmpl w:val="EA44B3BC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063EDA"/>
    <w:multiLevelType w:val="hybridMultilevel"/>
    <w:tmpl w:val="C0BEB0A4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A9C0694"/>
    <w:multiLevelType w:val="hybridMultilevel"/>
    <w:tmpl w:val="01B85018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7DE32FC5"/>
    <w:multiLevelType w:val="hybridMultilevel"/>
    <w:tmpl w:val="A1E0B8DA"/>
    <w:lvl w:ilvl="0" w:tplc="ADD66C66">
      <w:start w:val="1"/>
      <w:numFmt w:val="bullet"/>
      <w:lvlText w:val="-"/>
      <w:lvlJc w:val="left"/>
      <w:pPr>
        <w:tabs>
          <w:tab w:val="num" w:pos="340"/>
        </w:tabs>
        <w:ind w:left="340" w:hanging="34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9"/>
  </w:num>
  <w:num w:numId="6">
    <w:abstractNumId w:val="7"/>
  </w:num>
  <w:num w:numId="7">
    <w:abstractNumId w:val="1"/>
  </w:num>
  <w:num w:numId="8">
    <w:abstractNumId w:val="14"/>
  </w:num>
  <w:num w:numId="9">
    <w:abstractNumId w:val="11"/>
  </w:num>
  <w:num w:numId="10">
    <w:abstractNumId w:val="17"/>
  </w:num>
  <w:num w:numId="11">
    <w:abstractNumId w:val="10"/>
  </w:num>
  <w:num w:numId="12">
    <w:abstractNumId w:val="2"/>
  </w:num>
  <w:num w:numId="13">
    <w:abstractNumId w:val="13"/>
  </w:num>
  <w:num w:numId="14">
    <w:abstractNumId w:val="15"/>
  </w:num>
  <w:num w:numId="15">
    <w:abstractNumId w:val="12"/>
  </w:num>
  <w:num w:numId="16">
    <w:abstractNumId w:val="3"/>
  </w:num>
  <w:num w:numId="17">
    <w:abstractNumId w:val="6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298"/>
    <w:rsid w:val="000035FF"/>
    <w:rsid w:val="00050942"/>
    <w:rsid w:val="00056C00"/>
    <w:rsid w:val="000973D0"/>
    <w:rsid w:val="001260C4"/>
    <w:rsid w:val="0016130D"/>
    <w:rsid w:val="00206275"/>
    <w:rsid w:val="002125AB"/>
    <w:rsid w:val="00245298"/>
    <w:rsid w:val="002633B6"/>
    <w:rsid w:val="003452FF"/>
    <w:rsid w:val="00364449"/>
    <w:rsid w:val="004113FA"/>
    <w:rsid w:val="00420A5D"/>
    <w:rsid w:val="00450D38"/>
    <w:rsid w:val="00463422"/>
    <w:rsid w:val="004B53C3"/>
    <w:rsid w:val="0050579E"/>
    <w:rsid w:val="005176AE"/>
    <w:rsid w:val="00607AB9"/>
    <w:rsid w:val="006E2E35"/>
    <w:rsid w:val="007C2B2C"/>
    <w:rsid w:val="007C3144"/>
    <w:rsid w:val="008320B8"/>
    <w:rsid w:val="00853ED2"/>
    <w:rsid w:val="00875545"/>
    <w:rsid w:val="008923B5"/>
    <w:rsid w:val="008B5CE8"/>
    <w:rsid w:val="008F31B3"/>
    <w:rsid w:val="00937ED8"/>
    <w:rsid w:val="00A27267"/>
    <w:rsid w:val="00AA2FB3"/>
    <w:rsid w:val="00AC6A5F"/>
    <w:rsid w:val="00B71047"/>
    <w:rsid w:val="00C12C41"/>
    <w:rsid w:val="00C25A3F"/>
    <w:rsid w:val="00C42385"/>
    <w:rsid w:val="00CB20BC"/>
    <w:rsid w:val="00D33387"/>
    <w:rsid w:val="00DC2DDD"/>
    <w:rsid w:val="00DE783E"/>
    <w:rsid w:val="00E21790"/>
    <w:rsid w:val="00E50D47"/>
    <w:rsid w:val="00E54134"/>
    <w:rsid w:val="00EF0261"/>
    <w:rsid w:val="00F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4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5298"/>
  </w:style>
  <w:style w:type="paragraph" w:styleId="Zpat">
    <w:name w:val="footer"/>
    <w:basedOn w:val="Normln"/>
    <w:link w:val="Zpat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5298"/>
  </w:style>
  <w:style w:type="paragraph" w:styleId="Odstavecseseznamem">
    <w:name w:val="List Paragraph"/>
    <w:basedOn w:val="Normln"/>
    <w:uiPriority w:val="34"/>
    <w:qFormat/>
    <w:rsid w:val="00DE783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17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76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4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5298"/>
  </w:style>
  <w:style w:type="paragraph" w:styleId="Zpat">
    <w:name w:val="footer"/>
    <w:basedOn w:val="Normln"/>
    <w:link w:val="Zpat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5298"/>
  </w:style>
  <w:style w:type="paragraph" w:styleId="Odstavecseseznamem">
    <w:name w:val="List Paragraph"/>
    <w:basedOn w:val="Normln"/>
    <w:uiPriority w:val="34"/>
    <w:qFormat/>
    <w:rsid w:val="00DE783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17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76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1C4DF-3663-4ABB-95CC-2AF3DB589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1549</Words>
  <Characters>9140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Jirková Eliška, Mgr.</cp:lastModifiedBy>
  <cp:revision>5</cp:revision>
  <dcterms:created xsi:type="dcterms:W3CDTF">2019-07-10T08:51:00Z</dcterms:created>
  <dcterms:modified xsi:type="dcterms:W3CDTF">2019-08-13T06:42:00Z</dcterms:modified>
</cp:coreProperties>
</file>