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8842" w:type="dxa"/>
        <w:tblBorders>
          <w:top w:val="single" w:sz="12" w:space="0" w:color="00A1E0" w:themeColor="accent3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1701"/>
        <w:gridCol w:w="2665"/>
        <w:gridCol w:w="1701"/>
        <w:gridCol w:w="2775"/>
      </w:tblGrid>
      <w:tr w:rsidR="00F0092E" w:rsidTr="00A467B7">
        <w:trPr>
          <w:trHeight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4"/>
            <w:tcBorders>
              <w:bottom w:val="single" w:sz="12" w:space="0" w:color="00A1E0" w:themeColor="accent3"/>
            </w:tcBorders>
          </w:tcPr>
          <w:p w:rsidR="00F0092E" w:rsidRDefault="00BC2638" w:rsidP="00F0092E">
            <w:pPr>
              <w:rPr>
                <w:rStyle w:val="Nadpisvtabulce"/>
              </w:rPr>
            </w:pPr>
            <w:bookmarkStart w:id="0" w:name="_Toc499564342"/>
            <w:bookmarkStart w:id="1" w:name="_Toc499564365"/>
            <w:bookmarkStart w:id="2" w:name="_Toc499564758"/>
            <w:bookmarkStart w:id="3" w:name="_Toc499653620"/>
            <w:r>
              <w:rPr>
                <w:rStyle w:val="Nadpisvtabulce"/>
              </w:rPr>
              <w:t>Zadávací podmínky</w:t>
            </w:r>
          </w:p>
          <w:p w:rsidR="00F0092E" w:rsidRPr="00357BC6" w:rsidRDefault="00552889" w:rsidP="00F0092E">
            <w:pPr>
              <w:rPr>
                <w:rStyle w:val="Nadpisvtabulce"/>
                <w:b w:val="0"/>
              </w:rPr>
            </w:pPr>
            <w:r w:rsidRPr="00552889">
              <w:rPr>
                <w:rStyle w:val="Nadpisvtabulce"/>
                <w:b w:val="0"/>
              </w:rPr>
              <w:t>Opravné práce na dopravně-technologických objektech SŽDC, Kraj Vysočina, rok 2019</w:t>
            </w:r>
          </w:p>
        </w:tc>
      </w:tr>
      <w:tr w:rsidR="00F0092E" w:rsidTr="00B46A08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12" w:space="0" w:color="00A1E0" w:themeColor="accent3"/>
              <w:bottom w:val="single" w:sz="2" w:space="0" w:color="auto"/>
              <w:right w:val="single" w:sz="2" w:space="0" w:color="auto"/>
            </w:tcBorders>
          </w:tcPr>
          <w:p w:rsidR="00F0092E" w:rsidRPr="00357BC6" w:rsidRDefault="00F0092E" w:rsidP="00F0092E">
            <w:pPr>
              <w:rPr>
                <w:rStyle w:val="Nadpisvtabulce"/>
              </w:rPr>
            </w:pPr>
            <w:r w:rsidRPr="00357BC6">
              <w:rPr>
                <w:rStyle w:val="Nadpisvtabulce"/>
              </w:rPr>
              <w:t>Komu</w:t>
            </w:r>
          </w:p>
        </w:tc>
        <w:tc>
          <w:tcPr>
            <w:tcW w:w="2665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Pr="00357BC6" w:rsidRDefault="00BC2638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adpisvtabulce"/>
                <w:b w:val="0"/>
              </w:rPr>
            </w:pPr>
            <w:r>
              <w:rPr>
                <w:rStyle w:val="Nadpisvtabulce"/>
                <w:b w:val="0"/>
              </w:rPr>
              <w:t>Ing. Roman Petříček</w:t>
            </w:r>
          </w:p>
        </w:tc>
        <w:tc>
          <w:tcPr>
            <w:tcW w:w="1701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Pr="00357BC6" w:rsidRDefault="00F0092E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adpisvtabulce"/>
              </w:rPr>
            </w:pPr>
            <w:r w:rsidRPr="00357BC6">
              <w:rPr>
                <w:rStyle w:val="Nadpisvtabulce"/>
              </w:rPr>
              <w:t>Od koho</w:t>
            </w:r>
          </w:p>
        </w:tc>
        <w:tc>
          <w:tcPr>
            <w:tcW w:w="2775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</w:tcBorders>
          </w:tcPr>
          <w:p w:rsidR="00F0092E" w:rsidRPr="00357BC6" w:rsidRDefault="00BC2638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adpisvtabulce"/>
                <w:b w:val="0"/>
              </w:rPr>
            </w:pPr>
            <w:r>
              <w:rPr>
                <w:rStyle w:val="Nadpisvtabulce"/>
                <w:b w:val="0"/>
              </w:rPr>
              <w:t>Miloslav Beneš</w:t>
            </w:r>
          </w:p>
        </w:tc>
      </w:tr>
      <w:tr w:rsidR="00F0092E" w:rsidTr="00B46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jc w:val="right"/>
            </w:pPr>
            <w:r>
              <w:t xml:space="preserve">úsek, </w:t>
            </w:r>
            <w:proofErr w:type="spellStart"/>
            <w:r>
              <w:t>org</w:t>
            </w:r>
            <w:proofErr w:type="spellEnd"/>
            <w:r>
              <w:t>. jednotka:</w:t>
            </w:r>
          </w:p>
        </w:tc>
        <w:tc>
          <w:tcPr>
            <w:tcW w:w="2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BC2638" w:rsidP="00BC26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C2638">
              <w:t xml:space="preserve">OŘ Brno, </w:t>
            </w:r>
            <w:r>
              <w:t>Ú</w:t>
            </w:r>
            <w:r w:rsidRPr="00BC2638">
              <w:t>sek provozu infrastruktury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úsek, </w:t>
            </w:r>
            <w:proofErr w:type="spellStart"/>
            <w:r>
              <w:t>org</w:t>
            </w:r>
            <w:proofErr w:type="spellEnd"/>
            <w:r>
              <w:t>. jednotka: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0092E" w:rsidRDefault="00BC2638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Správa pozemních staveb OŘ Brno</w:t>
            </w:r>
          </w:p>
        </w:tc>
      </w:tr>
      <w:tr w:rsidR="00F0092E" w:rsidTr="00B46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jc w:val="right"/>
            </w:pPr>
            <w:r>
              <w:t>odbor:</w:t>
            </w:r>
          </w:p>
        </w:tc>
        <w:tc>
          <w:tcPr>
            <w:tcW w:w="2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BC2638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Odbor veřejných zakázek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odbor: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0092E" w:rsidRDefault="00BC2638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Provozní oddělení Jihlava</w:t>
            </w:r>
          </w:p>
        </w:tc>
      </w:tr>
      <w:tr w:rsidR="00F0092E" w:rsidTr="00B46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jc w:val="right"/>
            </w:pPr>
          </w:p>
        </w:tc>
        <w:tc>
          <w:tcPr>
            <w:tcW w:w="2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telefon: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0092E" w:rsidRDefault="00BC2638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>
                <w:ffData>
                  <w:name w:val="Od_Telefon"/>
                  <w:enabled/>
                  <w:calcOnExit w:val="0"/>
                  <w:textInput>
                    <w:default w:val="+420 724232354"/>
                  </w:textInput>
                </w:ffData>
              </w:fldChar>
            </w:r>
            <w:bookmarkStart w:id="4" w:name="Od_Telefo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+420 724232354</w:t>
            </w:r>
            <w:r>
              <w:fldChar w:fldCharType="end"/>
            </w:r>
            <w:bookmarkEnd w:id="4"/>
          </w:p>
        </w:tc>
      </w:tr>
      <w:tr w:rsidR="00F0092E" w:rsidTr="00B46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12" w:space="0" w:color="00A1E0" w:themeColor="accent3"/>
              <w:right w:val="single" w:sz="2" w:space="0" w:color="auto"/>
            </w:tcBorders>
          </w:tcPr>
          <w:p w:rsidR="00F0092E" w:rsidRDefault="00F0092E" w:rsidP="00F0092E">
            <w:pPr>
              <w:jc w:val="right"/>
            </w:pPr>
          </w:p>
        </w:tc>
        <w:tc>
          <w:tcPr>
            <w:tcW w:w="2665" w:type="dxa"/>
            <w:tcBorders>
              <w:top w:val="single" w:sz="2" w:space="0" w:color="auto"/>
              <w:left w:val="single" w:sz="2" w:space="0" w:color="auto"/>
              <w:bottom w:val="single" w:sz="12" w:space="0" w:color="00A1E0" w:themeColor="accent3"/>
              <w:right w:val="single" w:sz="2" w:space="0" w:color="auto"/>
            </w:tcBorders>
          </w:tcPr>
          <w:p w:rsidR="00F0092E" w:rsidRDefault="00F0092E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00A1E0" w:themeColor="accent3"/>
              <w:right w:val="single" w:sz="2" w:space="0" w:color="auto"/>
            </w:tcBorders>
          </w:tcPr>
          <w:p w:rsidR="00F0092E" w:rsidRDefault="00F0092E" w:rsidP="00F009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e-mail: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12" w:space="0" w:color="00A1E0" w:themeColor="accent3"/>
            </w:tcBorders>
          </w:tcPr>
          <w:p w:rsidR="00F0092E" w:rsidRDefault="00BC2638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>
                <w:ffData>
                  <w:name w:val="Od_Mail"/>
                  <w:enabled/>
                  <w:calcOnExit w:val="0"/>
                  <w:textInput>
                    <w:default w:val="benesmil@szdc.cz"/>
                  </w:textInput>
                </w:ffData>
              </w:fldChar>
            </w:r>
            <w:bookmarkStart w:id="5" w:name="Od_Ma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benesmil@szdc.cz</w:t>
            </w:r>
            <w:r>
              <w:fldChar w:fldCharType="end"/>
            </w:r>
            <w:bookmarkEnd w:id="5"/>
          </w:p>
        </w:tc>
      </w:tr>
      <w:tr w:rsidR="00017877" w:rsidTr="00EC2815">
        <w:trPr>
          <w:trHeight w:val="1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Merge w:val="restart"/>
            <w:tcBorders>
              <w:top w:val="single" w:sz="12" w:space="0" w:color="00A1E0" w:themeColor="accent3"/>
              <w:right w:val="single" w:sz="2" w:space="0" w:color="auto"/>
            </w:tcBorders>
            <w:vAlign w:val="bottom"/>
          </w:tcPr>
          <w:p w:rsidR="00017877" w:rsidRPr="00357BC6" w:rsidRDefault="00017877" w:rsidP="00EC2815">
            <w:pPr>
              <w:rPr>
                <w:b/>
              </w:rPr>
            </w:pPr>
            <w:r w:rsidRPr="00357BC6">
              <w:rPr>
                <w:b/>
              </w:rPr>
              <w:t>Datum</w:t>
            </w:r>
          </w:p>
        </w:tc>
        <w:tc>
          <w:tcPr>
            <w:tcW w:w="2665" w:type="dxa"/>
            <w:vMerge w:val="restart"/>
            <w:tcBorders>
              <w:top w:val="single" w:sz="12" w:space="0" w:color="00A1E0" w:themeColor="accent3"/>
              <w:left w:val="single" w:sz="2" w:space="0" w:color="auto"/>
              <w:right w:val="single" w:sz="2" w:space="0" w:color="auto"/>
            </w:tcBorders>
            <w:vAlign w:val="bottom"/>
          </w:tcPr>
          <w:p w:rsidR="00017877" w:rsidRDefault="00844487" w:rsidP="00EC28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27</w:t>
            </w:r>
            <w:r w:rsidR="000F23FC">
              <w:t>.3.2019</w:t>
            </w:r>
            <w:proofErr w:type="gramEnd"/>
          </w:p>
        </w:tc>
        <w:tc>
          <w:tcPr>
            <w:tcW w:w="1701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7877" w:rsidRDefault="00017877" w:rsidP="00742F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Počet stran</w:t>
            </w:r>
          </w:p>
        </w:tc>
        <w:tc>
          <w:tcPr>
            <w:tcW w:w="2775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</w:tcBorders>
            <w:vAlign w:val="bottom"/>
          </w:tcPr>
          <w:p w:rsidR="00017877" w:rsidRDefault="00D261DE" w:rsidP="00742F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t>2</w:t>
            </w:r>
          </w:p>
        </w:tc>
      </w:tr>
      <w:tr w:rsidR="00017877" w:rsidTr="00FE2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Merge/>
            <w:tcBorders>
              <w:bottom w:val="single" w:sz="2" w:space="0" w:color="auto"/>
              <w:right w:val="single" w:sz="2" w:space="0" w:color="auto"/>
            </w:tcBorders>
          </w:tcPr>
          <w:p w:rsidR="00017877" w:rsidRPr="00357BC6" w:rsidRDefault="00017877" w:rsidP="00F0092E">
            <w:pPr>
              <w:rPr>
                <w:b/>
              </w:rPr>
            </w:pPr>
          </w:p>
        </w:tc>
        <w:tc>
          <w:tcPr>
            <w:tcW w:w="266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877" w:rsidRDefault="00017877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877" w:rsidRDefault="00017877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Počet příloh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17877" w:rsidRDefault="000F23FC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</w:tr>
      <w:tr w:rsidR="00E1013A" w:rsidTr="00B46A0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nil"/>
              <w:right w:val="nil"/>
            </w:tcBorders>
          </w:tcPr>
          <w:p w:rsidR="00E1013A" w:rsidRPr="00357BC6" w:rsidRDefault="00E1013A" w:rsidP="00F0092E">
            <w:pPr>
              <w:rPr>
                <w:b/>
              </w:rPr>
            </w:pPr>
          </w:p>
        </w:tc>
        <w:tc>
          <w:tcPr>
            <w:tcW w:w="266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E1013A" w:rsidRDefault="00E1013A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E1013A" w:rsidRDefault="00E1013A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5" w:type="dxa"/>
            <w:tcBorders>
              <w:top w:val="single" w:sz="2" w:space="0" w:color="auto"/>
              <w:left w:val="nil"/>
              <w:bottom w:val="nil"/>
            </w:tcBorders>
          </w:tcPr>
          <w:p w:rsidR="00E1013A" w:rsidRDefault="00E1013A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bookmarkEnd w:id="0"/>
    <w:bookmarkEnd w:id="1"/>
    <w:bookmarkEnd w:id="2"/>
    <w:bookmarkEnd w:id="3"/>
    <w:p w:rsidR="00BC2638" w:rsidRPr="00BC2638" w:rsidRDefault="00BC2638" w:rsidP="002B5D60">
      <w:pPr>
        <w:pStyle w:val="Doplujcdaje"/>
        <w:jc w:val="both"/>
        <w:rPr>
          <w:sz w:val="18"/>
          <w:szCs w:val="18"/>
        </w:rPr>
      </w:pPr>
      <w:r w:rsidRPr="00BC2638">
        <w:rPr>
          <w:sz w:val="18"/>
          <w:szCs w:val="18"/>
        </w:rPr>
        <w:t xml:space="preserve">Správa železniční dopravní cesty, státní organizace, OŘ Brno, Správa pozemních staveb </w:t>
      </w:r>
      <w:r w:rsidR="002B5D60">
        <w:rPr>
          <w:sz w:val="18"/>
          <w:szCs w:val="18"/>
        </w:rPr>
        <w:t xml:space="preserve">Vám </w:t>
      </w:r>
      <w:r w:rsidRPr="00BC2638">
        <w:rPr>
          <w:sz w:val="18"/>
          <w:szCs w:val="18"/>
        </w:rPr>
        <w:t xml:space="preserve">tímto </w:t>
      </w:r>
      <w:r w:rsidR="002B5D60">
        <w:rPr>
          <w:sz w:val="18"/>
          <w:szCs w:val="18"/>
        </w:rPr>
        <w:t>zasílá</w:t>
      </w:r>
      <w:r w:rsidRPr="00BC2638">
        <w:rPr>
          <w:sz w:val="18"/>
          <w:szCs w:val="18"/>
        </w:rPr>
        <w:t xml:space="preserve"> „Zadávací podmínky“ pro akci výše uvedenou, jako základní podklad zajištění provedení akce (výběr dodavatele).</w:t>
      </w:r>
    </w:p>
    <w:p w:rsidR="00BC2638" w:rsidRPr="00BC2638" w:rsidRDefault="00BC2638" w:rsidP="002B5D60">
      <w:pPr>
        <w:pStyle w:val="Doplujcdaje"/>
        <w:jc w:val="both"/>
        <w:rPr>
          <w:sz w:val="18"/>
          <w:szCs w:val="18"/>
        </w:rPr>
      </w:pPr>
    </w:p>
    <w:p w:rsidR="003D0061" w:rsidRPr="00844487" w:rsidRDefault="00C0175C" w:rsidP="003D0061">
      <w:pPr>
        <w:pStyle w:val="Doplujcdaje"/>
        <w:jc w:val="both"/>
        <w:rPr>
          <w:b/>
          <w:sz w:val="18"/>
          <w:szCs w:val="18"/>
        </w:rPr>
      </w:pPr>
      <w:r w:rsidRPr="00844487">
        <w:rPr>
          <w:b/>
          <w:sz w:val="18"/>
          <w:szCs w:val="18"/>
        </w:rPr>
        <w:t xml:space="preserve"> </w:t>
      </w:r>
      <w:r w:rsidR="003D0061" w:rsidRPr="00844487">
        <w:rPr>
          <w:b/>
          <w:sz w:val="18"/>
          <w:szCs w:val="18"/>
        </w:rPr>
        <w:t>„</w:t>
      </w:r>
      <w:r w:rsidR="00552889" w:rsidRPr="00552889">
        <w:rPr>
          <w:b/>
          <w:sz w:val="18"/>
          <w:szCs w:val="18"/>
        </w:rPr>
        <w:t>Opravné práce na dopravně-technologických objektech SŽDC, Kraj Vysočina, rok 2019</w:t>
      </w:r>
      <w:r w:rsidR="003D0061" w:rsidRPr="00844487">
        <w:rPr>
          <w:b/>
          <w:sz w:val="18"/>
          <w:szCs w:val="18"/>
        </w:rPr>
        <w:t>“</w:t>
      </w:r>
    </w:p>
    <w:p w:rsidR="00844487" w:rsidRPr="003D0061" w:rsidRDefault="00844487" w:rsidP="003D0061">
      <w:pPr>
        <w:pStyle w:val="Doplujcdaje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(jejímž předmětem je provedení akce: </w:t>
      </w:r>
      <w:r w:rsidR="00552889" w:rsidRPr="00552889">
        <w:rPr>
          <w:sz w:val="18"/>
          <w:szCs w:val="18"/>
        </w:rPr>
        <w:t>Horní Cerekev, budova OTV - celková oprava objektu</w:t>
      </w:r>
      <w:r>
        <w:rPr>
          <w:sz w:val="18"/>
          <w:szCs w:val="18"/>
        </w:rPr>
        <w:t>)</w:t>
      </w:r>
    </w:p>
    <w:p w:rsidR="003D0061" w:rsidRPr="003D0061" w:rsidRDefault="003D0061" w:rsidP="003D0061">
      <w:pPr>
        <w:pStyle w:val="Doplujcdaje"/>
        <w:jc w:val="both"/>
        <w:rPr>
          <w:sz w:val="18"/>
          <w:szCs w:val="18"/>
        </w:rPr>
      </w:pPr>
    </w:p>
    <w:p w:rsidR="003D0061" w:rsidRPr="003D0061" w:rsidRDefault="003D0061" w:rsidP="003D0061">
      <w:pPr>
        <w:pStyle w:val="Doplujcdaje"/>
        <w:jc w:val="both"/>
        <w:rPr>
          <w:sz w:val="18"/>
          <w:szCs w:val="18"/>
        </w:rPr>
      </w:pPr>
      <w:r w:rsidRPr="003D0061">
        <w:rPr>
          <w:sz w:val="18"/>
          <w:szCs w:val="18"/>
        </w:rPr>
        <w:t xml:space="preserve">Místní správce SBBH dotčeného objektu oprávněných provést případnou prohlídku stavby v rámci výběru zhotovitele: </w:t>
      </w:r>
    </w:p>
    <w:p w:rsidR="003D0061" w:rsidRPr="003D0061" w:rsidRDefault="003D0061" w:rsidP="003D0061">
      <w:pPr>
        <w:pStyle w:val="Doplujcdaje"/>
        <w:jc w:val="both"/>
        <w:rPr>
          <w:sz w:val="18"/>
          <w:szCs w:val="18"/>
        </w:rPr>
      </w:pPr>
      <w:r w:rsidRPr="003D0061">
        <w:rPr>
          <w:sz w:val="18"/>
          <w:szCs w:val="18"/>
        </w:rPr>
        <w:t xml:space="preserve">vedoucí provozu infrastruktury, </w:t>
      </w:r>
      <w:r w:rsidR="00C0175C">
        <w:rPr>
          <w:sz w:val="18"/>
          <w:szCs w:val="18"/>
        </w:rPr>
        <w:t>Josef Pomajzl</w:t>
      </w:r>
      <w:r w:rsidRPr="003D0061">
        <w:rPr>
          <w:sz w:val="18"/>
          <w:szCs w:val="18"/>
        </w:rPr>
        <w:t xml:space="preserve"> / </w:t>
      </w:r>
      <w:r w:rsidR="00D261DE" w:rsidRPr="00D261DE">
        <w:rPr>
          <w:rFonts w:ascii="Wingdings" w:hAnsi="Wingdings"/>
          <w:sz w:val="18"/>
          <w:szCs w:val="18"/>
        </w:rPr>
        <w:t></w:t>
      </w:r>
      <w:r w:rsidR="00D261DE">
        <w:rPr>
          <w:sz w:val="18"/>
          <w:szCs w:val="18"/>
        </w:rPr>
        <w:t xml:space="preserve"> </w:t>
      </w:r>
      <w:r w:rsidR="00C0175C">
        <w:rPr>
          <w:sz w:val="18"/>
          <w:szCs w:val="18"/>
        </w:rPr>
        <w:t>724 819 568</w:t>
      </w:r>
    </w:p>
    <w:p w:rsidR="003D0061" w:rsidRPr="003D0061" w:rsidRDefault="003D0061" w:rsidP="003D0061">
      <w:pPr>
        <w:pStyle w:val="Doplujcdaje"/>
        <w:jc w:val="both"/>
        <w:rPr>
          <w:sz w:val="18"/>
          <w:szCs w:val="18"/>
        </w:rPr>
      </w:pPr>
    </w:p>
    <w:p w:rsidR="003D0061" w:rsidRDefault="003D0061" w:rsidP="003D0061">
      <w:pPr>
        <w:pStyle w:val="Doplujcdaje"/>
        <w:numPr>
          <w:ilvl w:val="0"/>
          <w:numId w:val="6"/>
        </w:numPr>
        <w:jc w:val="both"/>
        <w:rPr>
          <w:b/>
          <w:sz w:val="18"/>
          <w:szCs w:val="18"/>
        </w:rPr>
      </w:pPr>
      <w:r w:rsidRPr="003D0061">
        <w:rPr>
          <w:b/>
          <w:sz w:val="18"/>
          <w:szCs w:val="18"/>
        </w:rPr>
        <w:t>ZDŮVODNĚNÍ STAVBY</w:t>
      </w:r>
    </w:p>
    <w:p w:rsidR="003D0061" w:rsidRDefault="003D0061" w:rsidP="003D0061">
      <w:pPr>
        <w:pStyle w:val="Doplujcdaje"/>
        <w:numPr>
          <w:ilvl w:val="0"/>
          <w:numId w:val="6"/>
        </w:numPr>
        <w:jc w:val="both"/>
        <w:rPr>
          <w:b/>
          <w:sz w:val="18"/>
          <w:szCs w:val="18"/>
        </w:rPr>
      </w:pPr>
      <w:r w:rsidRPr="003D0061">
        <w:rPr>
          <w:b/>
          <w:sz w:val="18"/>
          <w:szCs w:val="18"/>
        </w:rPr>
        <w:t>TECHNICKÝ POPIS ROZSAHU</w:t>
      </w:r>
    </w:p>
    <w:p w:rsidR="003D0061" w:rsidRDefault="003D0061" w:rsidP="003D0061">
      <w:pPr>
        <w:pStyle w:val="Doplujcdaje"/>
        <w:jc w:val="both"/>
        <w:rPr>
          <w:rFonts w:ascii="Arial" w:hAnsi="Arial" w:cs="Segoe UI"/>
          <w:b/>
        </w:rPr>
      </w:pPr>
    </w:p>
    <w:p w:rsidR="00552889" w:rsidRPr="00552889" w:rsidRDefault="00552889" w:rsidP="00552889">
      <w:pPr>
        <w:pStyle w:val="Doplujcdaje"/>
        <w:jc w:val="both"/>
        <w:rPr>
          <w:sz w:val="18"/>
          <w:szCs w:val="18"/>
        </w:rPr>
      </w:pPr>
      <w:r w:rsidRPr="00552889">
        <w:rPr>
          <w:sz w:val="18"/>
          <w:szCs w:val="18"/>
        </w:rPr>
        <w:t xml:space="preserve">Stávající objekt budovy opravny trakčního vedení v lokalitě železniční stanice Horní Cerekev byl dokončen v šedesátých letech minulého století. Jedná se o objekt tvořený zděnými, prefabrikovanými a montovanými konstrukcemi. Objekt nebyl v průběhu své existence nijak zásadně opravován, byla na něm prováděna pouze nezbytná drobná údržba. </w:t>
      </w:r>
    </w:p>
    <w:p w:rsidR="00552889" w:rsidRPr="00552889" w:rsidRDefault="00552889" w:rsidP="00552889">
      <w:pPr>
        <w:pStyle w:val="Doplujcdaje"/>
        <w:jc w:val="both"/>
        <w:rPr>
          <w:sz w:val="18"/>
          <w:szCs w:val="18"/>
        </w:rPr>
      </w:pPr>
      <w:r w:rsidRPr="00552889">
        <w:rPr>
          <w:sz w:val="18"/>
          <w:szCs w:val="18"/>
        </w:rPr>
        <w:t>Stav budovy je vlivem provozování a kvalitou použitých konstrukčních prvků nevyhovující. Ve špatném stavu jsou zejména konstrukce, jejichž opravy tvoří předmět (hlavní náplň) výše uvedené akce.</w:t>
      </w:r>
    </w:p>
    <w:p w:rsidR="003D0061" w:rsidRDefault="00552889" w:rsidP="00552889">
      <w:pPr>
        <w:pStyle w:val="Doplujcdaje"/>
        <w:jc w:val="both"/>
        <w:rPr>
          <w:sz w:val="18"/>
          <w:szCs w:val="18"/>
        </w:rPr>
      </w:pPr>
      <w:r w:rsidRPr="00552889">
        <w:rPr>
          <w:sz w:val="18"/>
          <w:szCs w:val="18"/>
        </w:rPr>
        <w:t>Rozsah, způsob provedení a technické řešení vyplývá z dokumentací a podkladů, které tvoří nedílnou součást všech podkladů souvisejících s touto stavbou (kompletní PD opravy).</w:t>
      </w:r>
    </w:p>
    <w:p w:rsidR="00552889" w:rsidRDefault="00552889" w:rsidP="00552889">
      <w:pPr>
        <w:pStyle w:val="Doplujcdaje"/>
        <w:jc w:val="both"/>
        <w:rPr>
          <w:sz w:val="18"/>
          <w:szCs w:val="18"/>
        </w:rPr>
      </w:pPr>
    </w:p>
    <w:p w:rsidR="00BC2638" w:rsidRPr="00D05668" w:rsidRDefault="00BC2638" w:rsidP="003D0061">
      <w:pPr>
        <w:pStyle w:val="Doplujcdaje"/>
        <w:jc w:val="both"/>
        <w:rPr>
          <w:b/>
          <w:sz w:val="18"/>
          <w:szCs w:val="18"/>
        </w:rPr>
      </w:pPr>
      <w:r w:rsidRPr="00D05668">
        <w:rPr>
          <w:b/>
          <w:sz w:val="18"/>
          <w:szCs w:val="18"/>
        </w:rPr>
        <w:t xml:space="preserve">C) </w:t>
      </w:r>
      <w:r w:rsidRPr="00D05668">
        <w:rPr>
          <w:b/>
          <w:sz w:val="18"/>
          <w:szCs w:val="18"/>
        </w:rPr>
        <w:tab/>
        <w:t>PŘEDPOKLÁDANÉ ČLENĚNÍ NA PROVOZNÍ SOUBORY</w:t>
      </w:r>
    </w:p>
    <w:p w:rsidR="00BC2638" w:rsidRPr="00BC2638" w:rsidRDefault="00BC2638" w:rsidP="002B5D60">
      <w:pPr>
        <w:pStyle w:val="Doplujcdaje"/>
        <w:jc w:val="both"/>
        <w:rPr>
          <w:sz w:val="18"/>
          <w:szCs w:val="18"/>
        </w:rPr>
      </w:pPr>
    </w:p>
    <w:p w:rsidR="00BC2638" w:rsidRPr="00BC2638" w:rsidRDefault="00844487" w:rsidP="002B5D60">
      <w:pPr>
        <w:pStyle w:val="Doplujcdaje"/>
        <w:jc w:val="both"/>
        <w:rPr>
          <w:sz w:val="18"/>
          <w:szCs w:val="18"/>
        </w:rPr>
      </w:pPr>
      <w:r>
        <w:rPr>
          <w:sz w:val="18"/>
          <w:szCs w:val="18"/>
        </w:rPr>
        <w:t>Dle PD a rozpočtu vypracovaných autorizovanou osobou</w:t>
      </w:r>
      <w:r w:rsidR="00D05668">
        <w:rPr>
          <w:sz w:val="18"/>
          <w:szCs w:val="18"/>
        </w:rPr>
        <w:t>.</w:t>
      </w:r>
    </w:p>
    <w:p w:rsidR="00BC2638" w:rsidRPr="00BC2638" w:rsidRDefault="00BC2638" w:rsidP="002B5D60">
      <w:pPr>
        <w:pStyle w:val="Doplujcdaje"/>
        <w:jc w:val="both"/>
        <w:rPr>
          <w:sz w:val="18"/>
          <w:szCs w:val="18"/>
        </w:rPr>
      </w:pPr>
    </w:p>
    <w:p w:rsidR="00BC2638" w:rsidRPr="00BC2638" w:rsidRDefault="00BC2638" w:rsidP="002B5D60">
      <w:pPr>
        <w:pStyle w:val="Doplujcdaje"/>
        <w:jc w:val="both"/>
        <w:rPr>
          <w:sz w:val="18"/>
          <w:szCs w:val="18"/>
        </w:rPr>
      </w:pPr>
      <w:r w:rsidRPr="00BC2638">
        <w:rPr>
          <w:sz w:val="18"/>
          <w:szCs w:val="18"/>
        </w:rPr>
        <w:t xml:space="preserve">Zhotovitel musí zajistit, že veškeré jeho činnosti na dotčených budovách budou prováděny pod přímým vedením odborně a zdravotně způsobilých zaměstnanců. Zhotovitel se musí zavázat zajistit, že všichni jeho zaměstnanci, kteří budou vykonávat práce, budou mít platné doklady způsobilosti, které budou tyto zaměstnance opravňovat provádět činnosti na dopravně / technologických objektech SŽDC. Budoucí zhotovitel musí zajistit, aby všechny osoby, které se budou při provádění díla pohybovat v dopravně / technologických prostorech, měly v souladu s </w:t>
      </w:r>
      <w:r w:rsidRPr="00BC2638">
        <w:rPr>
          <w:sz w:val="18"/>
          <w:szCs w:val="18"/>
        </w:rPr>
        <w:lastRenderedPageBreak/>
        <w:t>obecně závaznými právními předpisy a interními předpisy SŽDC povolení pro vstup do těchto prostor.</w:t>
      </w:r>
    </w:p>
    <w:p w:rsidR="00BC2638" w:rsidRPr="00BC2638" w:rsidRDefault="00BC2638" w:rsidP="002B5D60">
      <w:pPr>
        <w:pStyle w:val="Doplujcdaje"/>
        <w:jc w:val="both"/>
        <w:rPr>
          <w:sz w:val="18"/>
          <w:szCs w:val="18"/>
        </w:rPr>
      </w:pPr>
      <w:r w:rsidRPr="00BC2638">
        <w:rPr>
          <w:sz w:val="18"/>
          <w:szCs w:val="18"/>
        </w:rPr>
        <w:t>V souladu s platnou legislativou a s vnitřním opatření SŽDC (na základě pokynu Ř OŘ Brno č. 2/2014 a v souladu s § 101 odst. 3-5 ZP bude ze strany SŽDC dodavateli stavebních prací prokazatelně předán dokument „Vyhodnocení rizik ovlivňujících bezpečnost a ochranu zdraví při práci“ pro ostatní subjekty, které jsou smluvně vázány k SŽDC s. o. a pohybují se v obvodu působnosti OŘ“.</w:t>
      </w:r>
    </w:p>
    <w:p w:rsidR="00BC2638" w:rsidRPr="00BC2638" w:rsidRDefault="00BC2638" w:rsidP="002B5D60">
      <w:pPr>
        <w:pStyle w:val="Doplujcdaje"/>
        <w:jc w:val="both"/>
        <w:rPr>
          <w:sz w:val="18"/>
          <w:szCs w:val="18"/>
        </w:rPr>
      </w:pPr>
    </w:p>
    <w:p w:rsidR="00BC2638" w:rsidRPr="00D05668" w:rsidRDefault="00BC2638" w:rsidP="002B5D60">
      <w:pPr>
        <w:pStyle w:val="Doplujcdaje"/>
        <w:jc w:val="both"/>
        <w:rPr>
          <w:b/>
          <w:sz w:val="18"/>
          <w:szCs w:val="18"/>
        </w:rPr>
      </w:pPr>
      <w:r w:rsidRPr="00D05668">
        <w:rPr>
          <w:b/>
          <w:sz w:val="18"/>
          <w:szCs w:val="18"/>
        </w:rPr>
        <w:t xml:space="preserve">D) </w:t>
      </w:r>
      <w:r w:rsidRPr="00D05668">
        <w:rPr>
          <w:b/>
          <w:sz w:val="18"/>
          <w:szCs w:val="18"/>
        </w:rPr>
        <w:tab/>
        <w:t>LHŮTY VÝSTAVBY</w:t>
      </w:r>
    </w:p>
    <w:p w:rsidR="00D05668" w:rsidRDefault="00D05668" w:rsidP="002B5D60">
      <w:pPr>
        <w:pStyle w:val="Doplujcdaje"/>
        <w:jc w:val="both"/>
        <w:rPr>
          <w:sz w:val="18"/>
          <w:szCs w:val="18"/>
        </w:rPr>
      </w:pPr>
    </w:p>
    <w:p w:rsidR="00BC2638" w:rsidRPr="00BC2638" w:rsidRDefault="00BC2638" w:rsidP="002B5D60">
      <w:pPr>
        <w:pStyle w:val="Doplujcdaje"/>
        <w:jc w:val="both"/>
        <w:rPr>
          <w:sz w:val="18"/>
          <w:szCs w:val="18"/>
        </w:rPr>
      </w:pPr>
      <w:r w:rsidRPr="00BC2638">
        <w:rPr>
          <w:sz w:val="18"/>
          <w:szCs w:val="18"/>
        </w:rPr>
        <w:t>Akci je možné provést prakticky okamžitě.</w:t>
      </w:r>
      <w:bookmarkStart w:id="6" w:name="_GoBack"/>
      <w:bookmarkEnd w:id="6"/>
    </w:p>
    <w:p w:rsidR="00BC2638" w:rsidRPr="00BC2638" w:rsidRDefault="00BC2638" w:rsidP="002B5D60">
      <w:pPr>
        <w:pStyle w:val="Doplujcdaje"/>
        <w:jc w:val="both"/>
        <w:rPr>
          <w:sz w:val="18"/>
          <w:szCs w:val="18"/>
        </w:rPr>
      </w:pPr>
    </w:p>
    <w:p w:rsidR="00BC2638" w:rsidRPr="00D05668" w:rsidRDefault="00BC2638" w:rsidP="002B5D60">
      <w:pPr>
        <w:pStyle w:val="Doplujcdaje"/>
        <w:jc w:val="both"/>
        <w:rPr>
          <w:b/>
          <w:sz w:val="18"/>
          <w:szCs w:val="18"/>
        </w:rPr>
      </w:pPr>
      <w:r w:rsidRPr="00D05668">
        <w:rPr>
          <w:b/>
          <w:sz w:val="18"/>
          <w:szCs w:val="18"/>
        </w:rPr>
        <w:t xml:space="preserve">E) </w:t>
      </w:r>
      <w:r w:rsidRPr="00D05668">
        <w:rPr>
          <w:b/>
          <w:sz w:val="18"/>
          <w:szCs w:val="18"/>
        </w:rPr>
        <w:tab/>
        <w:t>SOUPIS PRACÍ A DODÁVEK A VÝŠE FINANČNÍCH NÁKLADŮ</w:t>
      </w:r>
    </w:p>
    <w:p w:rsidR="00BC2638" w:rsidRPr="00BC2638" w:rsidRDefault="00BC2638" w:rsidP="002B5D60">
      <w:pPr>
        <w:pStyle w:val="Doplujcdaje"/>
        <w:jc w:val="both"/>
        <w:rPr>
          <w:sz w:val="18"/>
          <w:szCs w:val="18"/>
        </w:rPr>
      </w:pPr>
    </w:p>
    <w:p w:rsidR="00BC2638" w:rsidRPr="00BC2638" w:rsidRDefault="003D0061" w:rsidP="002B5D60">
      <w:pPr>
        <w:pStyle w:val="Doplujcdaje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Předpokládané roční náklady </w:t>
      </w:r>
      <w:r w:rsidR="00BC2638" w:rsidRPr="00BC2638">
        <w:rPr>
          <w:sz w:val="18"/>
          <w:szCs w:val="18"/>
        </w:rPr>
        <w:t xml:space="preserve">(viz. </w:t>
      </w:r>
      <w:r w:rsidR="007030BC" w:rsidRPr="00BC2638">
        <w:rPr>
          <w:sz w:val="18"/>
          <w:szCs w:val="18"/>
        </w:rPr>
        <w:t>Kontrolní</w:t>
      </w:r>
      <w:r w:rsidR="00BC2638" w:rsidRPr="00BC2638">
        <w:rPr>
          <w:sz w:val="18"/>
          <w:szCs w:val="18"/>
        </w:rPr>
        <w:t xml:space="preserve"> rozpočet SŽDC) celkem: </w:t>
      </w:r>
      <w:r w:rsidR="00552889">
        <w:rPr>
          <w:sz w:val="18"/>
          <w:szCs w:val="18"/>
        </w:rPr>
        <w:t>3,087.</w:t>
      </w:r>
      <w:r w:rsidR="00552889" w:rsidRPr="00552889">
        <w:rPr>
          <w:sz w:val="18"/>
          <w:szCs w:val="18"/>
        </w:rPr>
        <w:t>247,00</w:t>
      </w:r>
      <w:r w:rsidR="00844487" w:rsidRPr="00844487">
        <w:rPr>
          <w:sz w:val="18"/>
          <w:szCs w:val="18"/>
        </w:rPr>
        <w:t>,- Kč bez DPH</w:t>
      </w:r>
      <w:r w:rsidR="00EB77A7">
        <w:rPr>
          <w:sz w:val="18"/>
          <w:szCs w:val="18"/>
        </w:rPr>
        <w:t>.</w:t>
      </w:r>
    </w:p>
    <w:p w:rsidR="00BC2638" w:rsidRPr="00BC2638" w:rsidRDefault="00BC2638" w:rsidP="002B5D60">
      <w:pPr>
        <w:pStyle w:val="Doplujcdaje"/>
        <w:jc w:val="both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D261DE" w:rsidRDefault="00D261DE" w:rsidP="00EA176A">
      <w:pPr>
        <w:pStyle w:val="Doplujcdaje"/>
        <w:rPr>
          <w:sz w:val="18"/>
          <w:szCs w:val="18"/>
        </w:rPr>
      </w:pPr>
    </w:p>
    <w:p w:rsidR="00BC2638" w:rsidRPr="00EA176A" w:rsidRDefault="00BC2638" w:rsidP="00EA176A">
      <w:pPr>
        <w:pStyle w:val="Doplujcdaje"/>
        <w:rPr>
          <w:sz w:val="18"/>
          <w:szCs w:val="18"/>
        </w:rPr>
      </w:pPr>
      <w:r w:rsidRPr="00EA176A">
        <w:rPr>
          <w:sz w:val="18"/>
          <w:szCs w:val="18"/>
        </w:rPr>
        <w:t>vypracoval:</w:t>
      </w:r>
    </w:p>
    <w:p w:rsidR="00BC2638" w:rsidRPr="00EA176A" w:rsidRDefault="00BC2638" w:rsidP="00EA176A">
      <w:pPr>
        <w:pStyle w:val="Doplujcdaje"/>
        <w:rPr>
          <w:sz w:val="18"/>
          <w:szCs w:val="18"/>
        </w:rPr>
      </w:pPr>
      <w:r w:rsidRPr="00EA176A">
        <w:rPr>
          <w:sz w:val="18"/>
          <w:szCs w:val="18"/>
        </w:rPr>
        <w:t>M. Beneš, VPO Správy pozemních staveb</w:t>
      </w:r>
    </w:p>
    <w:p w:rsidR="00EB77A7" w:rsidRPr="00EA176A" w:rsidRDefault="00BC2638" w:rsidP="00EA176A">
      <w:pPr>
        <w:pStyle w:val="Doplujcdaje"/>
        <w:rPr>
          <w:sz w:val="18"/>
          <w:szCs w:val="18"/>
        </w:rPr>
      </w:pPr>
      <w:r w:rsidRPr="00EA176A">
        <w:rPr>
          <w:sz w:val="18"/>
          <w:szCs w:val="18"/>
        </w:rPr>
        <w:t xml:space="preserve">v Brně, dne </w:t>
      </w:r>
      <w:r w:rsidR="00844487">
        <w:rPr>
          <w:sz w:val="18"/>
          <w:szCs w:val="18"/>
        </w:rPr>
        <w:t>27</w:t>
      </w:r>
      <w:r w:rsidRPr="00EA176A">
        <w:rPr>
          <w:sz w:val="18"/>
          <w:szCs w:val="18"/>
        </w:rPr>
        <w:t>/</w:t>
      </w:r>
      <w:r w:rsidR="000F23FC">
        <w:rPr>
          <w:sz w:val="18"/>
          <w:szCs w:val="18"/>
        </w:rPr>
        <w:t>3</w:t>
      </w:r>
      <w:r w:rsidRPr="00EA176A">
        <w:rPr>
          <w:sz w:val="18"/>
          <w:szCs w:val="18"/>
        </w:rPr>
        <w:t>/2019</w:t>
      </w:r>
    </w:p>
    <w:p w:rsidR="00EB77A7" w:rsidRDefault="00EB77A7" w:rsidP="002B5D60">
      <w:pPr>
        <w:pStyle w:val="Doplujcdaje"/>
        <w:jc w:val="both"/>
        <w:rPr>
          <w:sz w:val="18"/>
          <w:szCs w:val="18"/>
        </w:rPr>
      </w:pPr>
    </w:p>
    <w:p w:rsidR="00D261DE" w:rsidRDefault="00D261DE" w:rsidP="002B5D60">
      <w:pPr>
        <w:pStyle w:val="Doplujcdaje"/>
        <w:jc w:val="both"/>
        <w:rPr>
          <w:b/>
        </w:rPr>
      </w:pPr>
    </w:p>
    <w:p w:rsidR="00D261DE" w:rsidRDefault="00D261DE" w:rsidP="002B5D60">
      <w:pPr>
        <w:pStyle w:val="Doplujcdaje"/>
        <w:jc w:val="both"/>
        <w:rPr>
          <w:b/>
        </w:rPr>
      </w:pPr>
    </w:p>
    <w:p w:rsidR="00D261DE" w:rsidRDefault="00D261DE" w:rsidP="002B5D60">
      <w:pPr>
        <w:pStyle w:val="Doplujcdaje"/>
        <w:jc w:val="both"/>
        <w:rPr>
          <w:b/>
        </w:rPr>
      </w:pPr>
    </w:p>
    <w:p w:rsidR="00E1013A" w:rsidRPr="00B45E9E" w:rsidRDefault="00E1013A" w:rsidP="002B5D60">
      <w:pPr>
        <w:pStyle w:val="Doplujcdaje"/>
        <w:jc w:val="both"/>
        <w:rPr>
          <w:b/>
        </w:rPr>
      </w:pPr>
      <w:r w:rsidRPr="00B45E9E">
        <w:rPr>
          <w:b/>
        </w:rPr>
        <w:t>Přílohy</w:t>
      </w:r>
    </w:p>
    <w:p w:rsidR="007030BC" w:rsidRDefault="007030BC" w:rsidP="007030BC">
      <w:pPr>
        <w:pStyle w:val="Doplujcdaje"/>
        <w:jc w:val="both"/>
      </w:pPr>
      <w:r>
        <w:t>- rozpočet bez uvedení cen (Výkaz výměr)</w:t>
      </w:r>
    </w:p>
    <w:p w:rsidR="007030BC" w:rsidRDefault="007030BC" w:rsidP="007030BC">
      <w:pPr>
        <w:pStyle w:val="Doplujcdaje"/>
        <w:jc w:val="both"/>
      </w:pPr>
      <w:r>
        <w:t xml:space="preserve">- kontrolní rozpočet zadavatele (objednatele) tj. SŽDC, </w:t>
      </w:r>
      <w:proofErr w:type="spellStart"/>
      <w:proofErr w:type="gramStart"/>
      <w:r>
        <w:t>s.o</w:t>
      </w:r>
      <w:proofErr w:type="spellEnd"/>
      <w:r>
        <w:t>.</w:t>
      </w:r>
      <w:proofErr w:type="gramEnd"/>
    </w:p>
    <w:p w:rsidR="00E1013A" w:rsidRDefault="007030BC" w:rsidP="007030BC">
      <w:pPr>
        <w:pStyle w:val="Doplujcdaje"/>
        <w:jc w:val="both"/>
      </w:pPr>
      <w:r>
        <w:t>- žádost na založení veřejné zakázky do Registru VZ (</w:t>
      </w:r>
      <w:proofErr w:type="spellStart"/>
      <w:r>
        <w:t>Fama</w:t>
      </w:r>
      <w:proofErr w:type="spellEnd"/>
      <w:r>
        <w:t>+)</w:t>
      </w:r>
    </w:p>
    <w:p w:rsidR="000F23FC" w:rsidRDefault="000F23FC" w:rsidP="007030BC">
      <w:pPr>
        <w:pStyle w:val="Doplujcdaje"/>
        <w:jc w:val="both"/>
      </w:pPr>
      <w:r>
        <w:t>- kompletní PD stavby</w:t>
      </w:r>
    </w:p>
    <w:sectPr w:rsidR="000F23FC" w:rsidSect="00FC638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8E0" w:rsidRDefault="006008E0" w:rsidP="00962258">
      <w:pPr>
        <w:spacing w:after="0" w:line="240" w:lineRule="auto"/>
      </w:pPr>
      <w:r>
        <w:separator/>
      </w:r>
    </w:p>
  </w:endnote>
  <w:endnote w:type="continuationSeparator" w:id="0">
    <w:p w:rsidR="006008E0" w:rsidRDefault="006008E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91A0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91A0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0560" behindDoc="1" locked="1" layoutInCell="1" allowOverlap="1" wp14:anchorId="55C22F24" wp14:editId="15976D0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659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6D3F0739" wp14:editId="260519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91A0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91A0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0092E" w:rsidP="00460660">
          <w:pPr>
            <w:pStyle w:val="Zpat"/>
          </w:pPr>
          <w:r>
            <w:t>Dlážděná 1003/7, 110 00 Praha 1</w:t>
          </w:r>
        </w:p>
        <w:p w:rsidR="00F0092E" w:rsidRDefault="00F0092E" w:rsidP="00460660">
          <w:pPr>
            <w:pStyle w:val="Zpat"/>
          </w:pPr>
          <w:r>
            <w:t>www.szdc.cz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E66158" w:rsidP="00460660">
          <w:pPr>
            <w:pStyle w:val="Zpat"/>
          </w:pPr>
          <w:r>
            <w:t>Oblastní ředitelství Brno</w:t>
          </w:r>
        </w:p>
        <w:p w:rsidR="00E66158" w:rsidRDefault="00E66158" w:rsidP="00460660">
          <w:pPr>
            <w:pStyle w:val="Zpat"/>
          </w:pPr>
          <w:r>
            <w:t>Kounicova 26</w:t>
          </w:r>
        </w:p>
        <w:p w:rsidR="00E66158" w:rsidRDefault="00E66158" w:rsidP="00460660">
          <w:pPr>
            <w:pStyle w:val="Zpat"/>
          </w:pPr>
          <w:r>
            <w:t>611 43 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7482C332" wp14:editId="5787482E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6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7BE8DFA7" wp14:editId="2FD90C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34CC9CA4" wp14:editId="28A211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8E0" w:rsidRDefault="006008E0" w:rsidP="00962258">
      <w:pPr>
        <w:spacing w:after="0" w:line="240" w:lineRule="auto"/>
      </w:pPr>
      <w:r>
        <w:separator/>
      </w:r>
    </w:p>
  </w:footnote>
  <w:footnote w:type="continuationSeparator" w:id="0">
    <w:p w:rsidR="006008E0" w:rsidRDefault="006008E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0092E" w:rsidP="00523EA7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Interní </w:t>
          </w:r>
          <w:r>
            <w:rPr>
              <w:rStyle w:val="slostrnky"/>
            </w:rPr>
            <w:br/>
            <w:t>sdělení</w: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0092E" w:rsidP="00FC6389">
          <w:pPr>
            <w:pStyle w:val="Druhdokumentu"/>
          </w:pPr>
          <w:r>
            <w:t>Interní sdělení</w:t>
          </w:r>
        </w:p>
      </w:tc>
    </w:tr>
    <w:tr w:rsidR="009F392E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752" behindDoc="0" locked="1" layoutInCell="1" allowOverlap="1" wp14:anchorId="5BE36D8B" wp14:editId="3EEE659B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>
    <w:nsid w:val="2BF76403"/>
    <w:multiLevelType w:val="multilevel"/>
    <w:tmpl w:val="0D34D660"/>
    <w:numStyleLink w:val="ListBulletmultilevel"/>
  </w:abstractNum>
  <w:abstractNum w:abstractNumId="3">
    <w:nsid w:val="386D7171"/>
    <w:multiLevelType w:val="hybridMultilevel"/>
    <w:tmpl w:val="51327CE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C2104AE"/>
    <w:multiLevelType w:val="hybridMultilevel"/>
    <w:tmpl w:val="382091DA"/>
    <w:lvl w:ilvl="0" w:tplc="F3F83798">
      <w:start w:val="1"/>
      <w:numFmt w:val="upperLetter"/>
      <w:lvlText w:val="%1)"/>
      <w:lvlJc w:val="left"/>
      <w:pPr>
        <w:ind w:left="70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6734FF"/>
    <w:multiLevelType w:val="hybridMultilevel"/>
    <w:tmpl w:val="382091DA"/>
    <w:lvl w:ilvl="0" w:tplc="F3F83798">
      <w:start w:val="1"/>
      <w:numFmt w:val="upperLetter"/>
      <w:lvlText w:val="%1)"/>
      <w:lvlJc w:val="left"/>
      <w:pPr>
        <w:ind w:left="70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638"/>
    <w:rsid w:val="00012203"/>
    <w:rsid w:val="00017877"/>
    <w:rsid w:val="00072C1E"/>
    <w:rsid w:val="00085E39"/>
    <w:rsid w:val="000B4EB8"/>
    <w:rsid w:val="000C41F2"/>
    <w:rsid w:val="000D22C4"/>
    <w:rsid w:val="000D27D1"/>
    <w:rsid w:val="000F23FC"/>
    <w:rsid w:val="00114472"/>
    <w:rsid w:val="001150F2"/>
    <w:rsid w:val="00120F09"/>
    <w:rsid w:val="00133858"/>
    <w:rsid w:val="00170EC5"/>
    <w:rsid w:val="001747C1"/>
    <w:rsid w:val="001B4E74"/>
    <w:rsid w:val="001D1592"/>
    <w:rsid w:val="001F2045"/>
    <w:rsid w:val="00202C72"/>
    <w:rsid w:val="00207DF5"/>
    <w:rsid w:val="00240A70"/>
    <w:rsid w:val="00261A5B"/>
    <w:rsid w:val="002B5D60"/>
    <w:rsid w:val="002C31BF"/>
    <w:rsid w:val="002E0CD7"/>
    <w:rsid w:val="003054D4"/>
    <w:rsid w:val="00327EEF"/>
    <w:rsid w:val="0034719F"/>
    <w:rsid w:val="003571D8"/>
    <w:rsid w:val="00357BC6"/>
    <w:rsid w:val="00361422"/>
    <w:rsid w:val="003956C6"/>
    <w:rsid w:val="003D0061"/>
    <w:rsid w:val="00411423"/>
    <w:rsid w:val="00450F07"/>
    <w:rsid w:val="00453CD3"/>
    <w:rsid w:val="00460660"/>
    <w:rsid w:val="00486107"/>
    <w:rsid w:val="00491827"/>
    <w:rsid w:val="004C4399"/>
    <w:rsid w:val="004C787C"/>
    <w:rsid w:val="004E7A1F"/>
    <w:rsid w:val="004F130D"/>
    <w:rsid w:val="004F4B9B"/>
    <w:rsid w:val="00511AB9"/>
    <w:rsid w:val="00523BB5"/>
    <w:rsid w:val="00523EA7"/>
    <w:rsid w:val="005406EB"/>
    <w:rsid w:val="00543783"/>
    <w:rsid w:val="00552889"/>
    <w:rsid w:val="00553375"/>
    <w:rsid w:val="00570868"/>
    <w:rsid w:val="005736B7"/>
    <w:rsid w:val="00575E5A"/>
    <w:rsid w:val="005E24FC"/>
    <w:rsid w:val="006008E0"/>
    <w:rsid w:val="0061068E"/>
    <w:rsid w:val="0063541B"/>
    <w:rsid w:val="00655EE9"/>
    <w:rsid w:val="00660AD3"/>
    <w:rsid w:val="006A5570"/>
    <w:rsid w:val="006A689C"/>
    <w:rsid w:val="006B3D79"/>
    <w:rsid w:val="006E0578"/>
    <w:rsid w:val="006E314D"/>
    <w:rsid w:val="007030BC"/>
    <w:rsid w:val="00710723"/>
    <w:rsid w:val="00723ED1"/>
    <w:rsid w:val="00742F51"/>
    <w:rsid w:val="00743525"/>
    <w:rsid w:val="0076286B"/>
    <w:rsid w:val="00766846"/>
    <w:rsid w:val="00771B11"/>
    <w:rsid w:val="0077673A"/>
    <w:rsid w:val="007846E1"/>
    <w:rsid w:val="0078797E"/>
    <w:rsid w:val="007B570C"/>
    <w:rsid w:val="007E4A6E"/>
    <w:rsid w:val="007F56A7"/>
    <w:rsid w:val="00807DD0"/>
    <w:rsid w:val="00844487"/>
    <w:rsid w:val="008A3568"/>
    <w:rsid w:val="008C06E3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92D9C"/>
    <w:rsid w:val="00996CB8"/>
    <w:rsid w:val="009B29E6"/>
    <w:rsid w:val="009B2E97"/>
    <w:rsid w:val="009C442C"/>
    <w:rsid w:val="009E07F4"/>
    <w:rsid w:val="009E164B"/>
    <w:rsid w:val="009F309B"/>
    <w:rsid w:val="009F392E"/>
    <w:rsid w:val="00A467B7"/>
    <w:rsid w:val="00A50641"/>
    <w:rsid w:val="00A530BF"/>
    <w:rsid w:val="00A6177B"/>
    <w:rsid w:val="00A66136"/>
    <w:rsid w:val="00A71189"/>
    <w:rsid w:val="00A753ED"/>
    <w:rsid w:val="00A94C2F"/>
    <w:rsid w:val="00AA4CBB"/>
    <w:rsid w:val="00AA65FA"/>
    <w:rsid w:val="00AA7351"/>
    <w:rsid w:val="00AD056F"/>
    <w:rsid w:val="00AD6731"/>
    <w:rsid w:val="00AE08FD"/>
    <w:rsid w:val="00B008D5"/>
    <w:rsid w:val="00B15D0D"/>
    <w:rsid w:val="00B46A08"/>
    <w:rsid w:val="00B51425"/>
    <w:rsid w:val="00B75EE1"/>
    <w:rsid w:val="00B77481"/>
    <w:rsid w:val="00B8518B"/>
    <w:rsid w:val="00BC2638"/>
    <w:rsid w:val="00BD7E91"/>
    <w:rsid w:val="00BD7F0D"/>
    <w:rsid w:val="00C0175C"/>
    <w:rsid w:val="00C02D0A"/>
    <w:rsid w:val="00C03A6E"/>
    <w:rsid w:val="00C44F6A"/>
    <w:rsid w:val="00C6198E"/>
    <w:rsid w:val="00C778A5"/>
    <w:rsid w:val="00C91A06"/>
    <w:rsid w:val="00C95162"/>
    <w:rsid w:val="00CD1FC4"/>
    <w:rsid w:val="00D034A0"/>
    <w:rsid w:val="00D05668"/>
    <w:rsid w:val="00D21061"/>
    <w:rsid w:val="00D21D5E"/>
    <w:rsid w:val="00D261DE"/>
    <w:rsid w:val="00D4108E"/>
    <w:rsid w:val="00D6163D"/>
    <w:rsid w:val="00D831A3"/>
    <w:rsid w:val="00D95248"/>
    <w:rsid w:val="00DA3711"/>
    <w:rsid w:val="00DD46F3"/>
    <w:rsid w:val="00DE56F2"/>
    <w:rsid w:val="00DF116D"/>
    <w:rsid w:val="00DF283C"/>
    <w:rsid w:val="00E1013A"/>
    <w:rsid w:val="00E218B5"/>
    <w:rsid w:val="00E66158"/>
    <w:rsid w:val="00EA176A"/>
    <w:rsid w:val="00EB104F"/>
    <w:rsid w:val="00EB77A7"/>
    <w:rsid w:val="00EC2815"/>
    <w:rsid w:val="00ED14BD"/>
    <w:rsid w:val="00ED651B"/>
    <w:rsid w:val="00F0092E"/>
    <w:rsid w:val="00F016C7"/>
    <w:rsid w:val="00F12DEC"/>
    <w:rsid w:val="00F1715C"/>
    <w:rsid w:val="00F265A6"/>
    <w:rsid w:val="00F310F8"/>
    <w:rsid w:val="00F32112"/>
    <w:rsid w:val="00F35939"/>
    <w:rsid w:val="00F45607"/>
    <w:rsid w:val="00F65284"/>
    <w:rsid w:val="00F659EB"/>
    <w:rsid w:val="00F8233B"/>
    <w:rsid w:val="00F86BA6"/>
    <w:rsid w:val="00F92868"/>
    <w:rsid w:val="00F94F14"/>
    <w:rsid w:val="00FB6342"/>
    <w:rsid w:val="00FC6389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3ED1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133858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3ED1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133858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INFO-SDC\MUSTRY\Nov&#233;%20logo\intern&#237;%20sd&#283;len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2BD82-5BF2-4AB5-BC05-97F0C0F1C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sdělení.dotx</Template>
  <TotalTime>0</TotalTime>
  <Pages>2</Pages>
  <Words>495</Words>
  <Characters>2926</Characters>
  <Application>Microsoft Office Word</Application>
  <DocSecurity>4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2019-03-28T07:09:00Z</dcterms:created>
  <dcterms:modified xsi:type="dcterms:W3CDTF">2019-03-28T07:09:00Z</dcterms:modified>
</cp:coreProperties>
</file>