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832463472" w:edGrp="everyone"/>
      <w:permEnd w:id="832463472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8250E2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8250E2">
        <w:rPr>
          <w:rFonts w:asciiTheme="minorHAnsi" w:hAnsiTheme="minorHAnsi" w:cstheme="minorHAnsi"/>
          <w:b/>
          <w:color w:val="000000"/>
        </w:rPr>
        <w:t xml:space="preserve">Oprava staničních kolejí v </w:t>
      </w:r>
      <w:proofErr w:type="spellStart"/>
      <w:r w:rsidRPr="008250E2">
        <w:rPr>
          <w:rFonts w:asciiTheme="minorHAnsi" w:hAnsiTheme="minorHAnsi" w:cstheme="minorHAnsi"/>
          <w:b/>
          <w:color w:val="000000"/>
        </w:rPr>
        <w:t>žst</w:t>
      </w:r>
      <w:proofErr w:type="spellEnd"/>
      <w:r w:rsidRPr="008250E2">
        <w:rPr>
          <w:rFonts w:asciiTheme="minorHAnsi" w:hAnsiTheme="minorHAnsi" w:cstheme="minorHAnsi"/>
          <w:b/>
          <w:color w:val="000000"/>
        </w:rPr>
        <w:t>. Česká Třebová - odjezdová skupina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8250E2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B626A6">
        <w:rPr>
          <w:rFonts w:asciiTheme="minorHAnsi" w:hAnsiTheme="minorHAnsi" w:cstheme="minorHAnsi"/>
          <w:color w:val="000000"/>
          <w:sz w:val="20"/>
          <w:szCs w:val="20"/>
        </w:rPr>
        <w:t>020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102853391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34676327" w:edGrp="everyone" w:colFirst="1" w:colLast="1"/>
            <w:permEnd w:id="1102853391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649174794" w:edGrp="everyone" w:colFirst="1" w:colLast="1"/>
            <w:permEnd w:id="3467632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424637110" w:edGrp="everyone" w:colFirst="1" w:colLast="1"/>
            <w:permEnd w:id="164917479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0815153" w:edGrp="everyone" w:colFirst="1" w:colLast="1"/>
            <w:permEnd w:id="142463711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00815153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9C200B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697D5C" w:rsidRPr="00697D5C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697D5C" w:rsidRPr="00697D5C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697D5C" w:rsidRPr="00697D5C">
        <w:rPr>
          <w:rFonts w:asciiTheme="minorHAnsi" w:hAnsiTheme="minorHAnsi" w:cstheme="minorHAnsi"/>
          <w:sz w:val="20"/>
          <w:szCs w:val="20"/>
        </w:rPr>
      </w:r>
      <w:r w:rsidR="00697D5C" w:rsidRPr="00697D5C">
        <w:rPr>
          <w:rFonts w:asciiTheme="minorHAnsi" w:hAnsiTheme="minorHAnsi" w:cstheme="minorHAnsi"/>
          <w:sz w:val="20"/>
          <w:szCs w:val="20"/>
        </w:rPr>
        <w:fldChar w:fldCharType="separate"/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t> </w:t>
      </w:r>
      <w:r w:rsidR="00697D5C" w:rsidRPr="00697D5C">
        <w:rPr>
          <w:rFonts w:asciiTheme="minorHAnsi" w:hAnsiTheme="minorHAnsi" w:cstheme="minorHAnsi"/>
          <w:sz w:val="20"/>
          <w:szCs w:val="20"/>
        </w:rPr>
        <w:fldChar w:fldCharType="end"/>
      </w:r>
      <w:bookmarkEnd w:id="2"/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B626A6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30D56" w:rsidRPr="00D30D56">
            <w:rPr>
              <w:rFonts w:asciiTheme="minorHAnsi" w:hAnsiTheme="minorHAnsi"/>
              <w:sz w:val="20"/>
              <w:szCs w:val="20"/>
              <w:highlight w:val="yellow"/>
            </w:rPr>
            <w:t>Vyberte odpovídající text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458256968" w:edGrp="everyone" w:colFirst="1" w:colLast="1"/>
            <w:permStart w:id="36695529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458256968"/>
      <w:permEnd w:id="36695529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90397640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90397640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8FC" w:rsidRDefault="00A218FC" w:rsidP="00B13D64">
      <w:r>
        <w:separator/>
      </w:r>
    </w:p>
  </w:endnote>
  <w:endnote w:type="continuationSeparator" w:id="0">
    <w:p w:rsidR="00A218FC" w:rsidRDefault="00A218FC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8FC" w:rsidRDefault="00A218FC" w:rsidP="00B13D64">
      <w:r>
        <w:separator/>
      </w:r>
    </w:p>
  </w:footnote>
  <w:footnote w:type="continuationSeparator" w:id="0">
    <w:p w:rsidR="00A218FC" w:rsidRDefault="00A218FC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056A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250E2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218FC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626A6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309B6"/>
    <w:rsid w:val="007D2554"/>
    <w:rsid w:val="008515CE"/>
    <w:rsid w:val="00861B94"/>
    <w:rsid w:val="00896B9D"/>
    <w:rsid w:val="00935144"/>
    <w:rsid w:val="00972ECD"/>
    <w:rsid w:val="00AD29EF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D34A9-A0D2-4A48-BCC2-25D9A1C3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Frnka Jan</cp:lastModifiedBy>
  <cp:revision>34</cp:revision>
  <cp:lastPrinted>2014-06-23T06:12:00Z</cp:lastPrinted>
  <dcterms:created xsi:type="dcterms:W3CDTF">2018-02-06T07:12:00Z</dcterms:created>
  <dcterms:modified xsi:type="dcterms:W3CDTF">2019-02-19T05:42:00Z</dcterms:modified>
</cp:coreProperties>
</file>