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6999FA3E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D71D1" w:rsidRPr="00ED71D1">
        <w:rPr>
          <w:b/>
          <w:sz w:val="28"/>
          <w:szCs w:val="18"/>
        </w:rPr>
        <w:t>Zvýšení bezpečnosti a komfortu cestujících na zastávce Ústí nad Orlicí město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244C122" w14:textId="1FA6F0BC" w:rsidR="00314E62" w:rsidRPr="00ED71D1" w:rsidRDefault="00ED7E7A" w:rsidP="00ED71D1">
      <w:pPr>
        <w:tabs>
          <w:tab w:val="left" w:pos="3402"/>
        </w:tabs>
        <w:spacing w:after="240"/>
        <w:ind w:left="425" w:hanging="425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0744F6B7" w14:textId="0A0BFB42" w:rsidR="00314E62" w:rsidRPr="00ED71D1" w:rsidRDefault="00314E62" w:rsidP="00ED71D1">
      <w:pPr>
        <w:pStyle w:val="Odstavecseseznamem"/>
        <w:numPr>
          <w:ilvl w:val="0"/>
          <w:numId w:val="1"/>
        </w:numPr>
        <w:tabs>
          <w:tab w:val="left" w:pos="3119"/>
        </w:tabs>
        <w:spacing w:after="240"/>
        <w:ind w:left="425" w:hanging="425"/>
        <w:contextualSpacing w:val="0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7BB96F6B" w14:textId="7FAF70CA" w:rsidR="00314E62" w:rsidRPr="00601687" w:rsidRDefault="00314E62" w:rsidP="00ED71D1">
      <w:pPr>
        <w:pStyle w:val="Odstavecseseznamem"/>
        <w:numPr>
          <w:ilvl w:val="0"/>
          <w:numId w:val="1"/>
        </w:numPr>
        <w:tabs>
          <w:tab w:val="left" w:pos="3119"/>
        </w:tabs>
        <w:spacing w:after="240"/>
        <w:ind w:left="425" w:hanging="425"/>
        <w:contextualSpacing w:val="0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</w:t>
      </w:r>
      <w:r w:rsidR="00ED71D1">
        <w:rPr>
          <w:rFonts w:cs="Arial"/>
          <w:sz w:val="18"/>
        </w:rPr>
        <w:t>v</w:t>
      </w:r>
      <w:r w:rsidRPr="00314E62">
        <w:rPr>
          <w:rFonts w:cs="Arial"/>
          <w:sz w:val="18"/>
        </w:rPr>
        <w:t>ýzvě</w:t>
      </w:r>
      <w:r w:rsidR="00ED71D1">
        <w:rPr>
          <w:rFonts w:cs="Arial"/>
          <w:sz w:val="18"/>
        </w:rPr>
        <w:t xml:space="preserve"> k podání nabídky (dále jen „výzva“)</w:t>
      </w:r>
      <w:r w:rsidRPr="00314E62">
        <w:rPr>
          <w:rFonts w:cs="Arial"/>
          <w:sz w:val="18"/>
        </w:rPr>
        <w:t xml:space="preserve">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4206C71A" w:rsidR="00901E84" w:rsidRPr="00ED71D1" w:rsidRDefault="00601687" w:rsidP="00ED71D1">
      <w:pPr>
        <w:pStyle w:val="Odstavecseseznamem"/>
        <w:numPr>
          <w:ilvl w:val="0"/>
          <w:numId w:val="1"/>
        </w:numPr>
        <w:tabs>
          <w:tab w:val="left" w:pos="3119"/>
        </w:tabs>
        <w:spacing w:after="240"/>
        <w:ind w:left="425" w:hanging="425"/>
        <w:contextualSpacing w:val="0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7EF333C" w14:textId="48E22DC4" w:rsidR="00901E84" w:rsidRPr="00ED71D1" w:rsidRDefault="00901E84" w:rsidP="00ED71D1">
      <w:pPr>
        <w:pStyle w:val="Odstavecseseznamem"/>
        <w:numPr>
          <w:ilvl w:val="0"/>
          <w:numId w:val="1"/>
        </w:numPr>
        <w:tabs>
          <w:tab w:val="left" w:pos="3119"/>
        </w:tabs>
        <w:spacing w:after="240"/>
        <w:ind w:left="425" w:hanging="425"/>
        <w:contextualSpacing w:val="0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429F4919" w14:textId="7E51BD99" w:rsidR="00045EE1" w:rsidRPr="00ED71D1" w:rsidRDefault="00901E84" w:rsidP="00ED71D1">
      <w:pPr>
        <w:pStyle w:val="Odstavecseseznamem"/>
        <w:numPr>
          <w:ilvl w:val="0"/>
          <w:numId w:val="1"/>
        </w:numPr>
        <w:tabs>
          <w:tab w:val="left" w:pos="3119"/>
        </w:tabs>
        <w:spacing w:after="240"/>
        <w:ind w:left="425" w:hanging="425"/>
        <w:contextualSpacing w:val="0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70F89EEF" w14:textId="34D42D58" w:rsidR="00901E84" w:rsidRPr="00ED71D1" w:rsidRDefault="00045EE1" w:rsidP="00ED71D1">
      <w:pPr>
        <w:pStyle w:val="Odstavecseseznamem"/>
        <w:numPr>
          <w:ilvl w:val="0"/>
          <w:numId w:val="1"/>
        </w:numPr>
        <w:tabs>
          <w:tab w:val="left" w:pos="3119"/>
        </w:tabs>
        <w:spacing w:after="240"/>
        <w:ind w:left="425" w:hanging="425"/>
        <w:contextualSpacing w:val="0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5CEED62F" w14:textId="721E1E34" w:rsidR="00377242" w:rsidRPr="00ED71D1" w:rsidRDefault="00901E84" w:rsidP="00ED71D1">
      <w:pPr>
        <w:pStyle w:val="Odstavecseseznamem"/>
        <w:numPr>
          <w:ilvl w:val="0"/>
          <w:numId w:val="1"/>
        </w:numPr>
        <w:tabs>
          <w:tab w:val="left" w:pos="3119"/>
        </w:tabs>
        <w:spacing w:after="240"/>
        <w:ind w:left="425" w:hanging="425"/>
        <w:contextualSpacing w:val="0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Touto nabídkou se cítíme vázáni po celou zadávací lhůtu, jak je uvedena ve </w:t>
      </w:r>
      <w:r w:rsidR="00ED71D1">
        <w:rPr>
          <w:rFonts w:cs="Arial"/>
          <w:sz w:val="18"/>
        </w:rPr>
        <w:t>v</w:t>
      </w:r>
      <w:r w:rsidRPr="00901E84">
        <w:rPr>
          <w:rFonts w:cs="Arial"/>
          <w:sz w:val="18"/>
        </w:rPr>
        <w:t>ýzvě.</w:t>
      </w: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5553A162" w:rsidR="00377242" w:rsidRPr="00ED71D1" w:rsidRDefault="00377242" w:rsidP="00ED71D1">
      <w:pPr>
        <w:pStyle w:val="Odstavecseseznamem"/>
        <w:tabs>
          <w:tab w:val="left" w:pos="3119"/>
        </w:tabs>
        <w:spacing w:after="240"/>
        <w:ind w:left="425" w:hanging="425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7D17A" w14:textId="7425B5B9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D71D1" w:rsidRPr="00ED71D1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20903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D771D4"/>
    <w:rsid w:val="00E00FB7"/>
    <w:rsid w:val="00E16D86"/>
    <w:rsid w:val="00EB7A8D"/>
    <w:rsid w:val="00ED4904"/>
    <w:rsid w:val="00ED71D1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496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Podhradská Markéta</cp:lastModifiedBy>
  <cp:revision>11</cp:revision>
  <dcterms:created xsi:type="dcterms:W3CDTF">2020-09-29T09:32:00Z</dcterms:created>
  <dcterms:modified xsi:type="dcterms:W3CDTF">2025-02-10T10:50:00Z</dcterms:modified>
</cp:coreProperties>
</file>