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A9500B" w14:textId="77777777" w:rsidR="00C656E2" w:rsidRPr="00F43FB2" w:rsidRDefault="00C656E2" w:rsidP="00C656E2">
      <w:pPr>
        <w:pStyle w:val="RLProhlensmluvnchstran"/>
        <w:rPr>
          <w:rFonts w:ascii="Verdana" w:hAnsi="Verdana" w:cstheme="minorHAnsi"/>
        </w:rPr>
      </w:pPr>
      <w:r w:rsidRPr="00F43FB2">
        <w:rPr>
          <w:rFonts w:ascii="Verdana" w:hAnsi="Verdana" w:cstheme="minorHAnsi"/>
        </w:rPr>
        <w:t>Příloha č. 2</w:t>
      </w:r>
    </w:p>
    <w:p w14:paraId="567069B2" w14:textId="77777777" w:rsidR="00C656E2" w:rsidRPr="00093CB4" w:rsidRDefault="00C656E2" w:rsidP="00C656E2">
      <w:pPr>
        <w:jc w:val="center"/>
        <w:rPr>
          <w:rFonts w:ascii="Verdana" w:hAnsi="Verdana"/>
          <w:b/>
        </w:rPr>
      </w:pPr>
      <w:r w:rsidRPr="00B466E4">
        <w:rPr>
          <w:rFonts w:ascii="Verdana" w:hAnsi="Verdana"/>
          <w:b/>
        </w:rPr>
        <w:t>Bližší specifikace díla</w:t>
      </w:r>
    </w:p>
    <w:p w14:paraId="1AF38E5D" w14:textId="77777777" w:rsidR="00C656E2" w:rsidRDefault="00C656E2" w:rsidP="00892A67">
      <w:pPr>
        <w:jc w:val="left"/>
        <w:rPr>
          <w:rFonts w:cs="Times New Roman"/>
          <w:b/>
          <w:bCs/>
        </w:rPr>
      </w:pPr>
    </w:p>
    <w:p w14:paraId="49AA8BDC" w14:textId="143045D4" w:rsidR="00FD1F7B" w:rsidRPr="00817962" w:rsidRDefault="005478F0" w:rsidP="00892A67">
      <w:pPr>
        <w:jc w:val="left"/>
        <w:rPr>
          <w:rFonts w:cs="Times New Roman"/>
          <w:b/>
          <w:bCs/>
        </w:rPr>
      </w:pPr>
      <w:r w:rsidRPr="00817962">
        <w:rPr>
          <w:rFonts w:cs="Times New Roman"/>
          <w:b/>
          <w:bCs/>
        </w:rPr>
        <w:t>Pokyny pro zpracovatele znaleckého posudku</w:t>
      </w:r>
    </w:p>
    <w:p w14:paraId="2EC443E0" w14:textId="77777777" w:rsidR="00651FFE" w:rsidRDefault="00651FFE" w:rsidP="00892A67">
      <w:pPr>
        <w:jc w:val="left"/>
        <w:rPr>
          <w:rFonts w:cs="Times New Roman"/>
          <w:b/>
          <w:bCs/>
        </w:rPr>
      </w:pPr>
    </w:p>
    <w:p w14:paraId="3A6CB0C2" w14:textId="77777777" w:rsidR="00881CC1" w:rsidRDefault="00881CC1" w:rsidP="00892A67">
      <w:pPr>
        <w:jc w:val="left"/>
        <w:rPr>
          <w:rFonts w:cs="Times New Roman"/>
          <w:b/>
          <w:bCs/>
        </w:rPr>
      </w:pPr>
      <w:r>
        <w:rPr>
          <w:rFonts w:cs="Times New Roman"/>
          <w:b/>
          <w:bCs/>
        </w:rPr>
        <w:t>Cena obvyklá nebo cena zjištěná:</w:t>
      </w:r>
    </w:p>
    <w:p w14:paraId="76C5C7C8" w14:textId="77777777" w:rsidR="00881CC1" w:rsidRDefault="00881CC1" w:rsidP="00892A67">
      <w:pPr>
        <w:jc w:val="left"/>
        <w:rPr>
          <w:rFonts w:cs="Times New Roman"/>
          <w:b/>
          <w:bCs/>
        </w:rPr>
      </w:pPr>
    </w:p>
    <w:p w14:paraId="1C8E4489" w14:textId="77777777" w:rsidR="009D2D68" w:rsidRPr="00817962" w:rsidRDefault="009D2D68" w:rsidP="00892A67">
      <w:pPr>
        <w:jc w:val="left"/>
        <w:rPr>
          <w:rFonts w:cs="Times New Roman"/>
          <w:b/>
          <w:bCs/>
        </w:rPr>
      </w:pPr>
      <w:r w:rsidRPr="00654EAE">
        <w:rPr>
          <w:rFonts w:cs="Times New Roman"/>
        </w:rPr>
        <w:t>Vzorový znalecký posudek je primárně připraven pro stanovení ceny obvyklé nemovitých věcí, pokud nelze cenu obvyklou stanovit, pak musí tuto skutečnost znale</w:t>
      </w:r>
      <w:r w:rsidR="00881CC1" w:rsidRPr="00654EAE">
        <w:rPr>
          <w:rFonts w:cs="Times New Roman"/>
        </w:rPr>
        <w:t>c</w:t>
      </w:r>
      <w:r w:rsidRPr="00654EAE">
        <w:rPr>
          <w:rFonts w:cs="Times New Roman"/>
        </w:rPr>
        <w:t xml:space="preserve"> uvést v posudku a stanovit cenu zjištěnou. Z tohoto důvodu je na několika místech posudku uvedeno slovo NEBO.</w:t>
      </w:r>
      <w:r w:rsidR="00881CC1" w:rsidRPr="00654EAE">
        <w:rPr>
          <w:rFonts w:cs="Times New Roman"/>
        </w:rPr>
        <w:t xml:space="preserve"> Znalec nestanovuje zároveň cenu obvyklou a cenu zjištěnou nemovité věci. </w:t>
      </w:r>
      <w:r w:rsidRPr="00654EAE">
        <w:rPr>
          <w:rFonts w:cs="Times New Roman"/>
        </w:rPr>
        <w:t xml:space="preserve"> </w:t>
      </w:r>
    </w:p>
    <w:p w14:paraId="18E7FF6F" w14:textId="77777777" w:rsidR="00651FFE" w:rsidRPr="00817962" w:rsidRDefault="00651FFE" w:rsidP="00892A67">
      <w:pPr>
        <w:jc w:val="left"/>
        <w:rPr>
          <w:rFonts w:cs="Times New Roman"/>
          <w:b/>
          <w:bCs/>
        </w:rPr>
      </w:pPr>
    </w:p>
    <w:p w14:paraId="173EF9A1" w14:textId="77777777" w:rsidR="00651FFE" w:rsidRPr="00817962" w:rsidRDefault="00651FFE" w:rsidP="00892A67">
      <w:pPr>
        <w:jc w:val="left"/>
        <w:rPr>
          <w:rFonts w:cs="Times New Roman"/>
          <w:b/>
          <w:bCs/>
        </w:rPr>
      </w:pPr>
      <w:r w:rsidRPr="00817962">
        <w:rPr>
          <w:rFonts w:cs="Times New Roman"/>
          <w:b/>
          <w:bCs/>
        </w:rPr>
        <w:t xml:space="preserve">Grafická úprava posudku: </w:t>
      </w:r>
    </w:p>
    <w:p w14:paraId="65FB40B8" w14:textId="77777777" w:rsidR="00651FFE" w:rsidRPr="00817962" w:rsidRDefault="00651FFE" w:rsidP="00892A67">
      <w:pPr>
        <w:jc w:val="left"/>
        <w:rPr>
          <w:rFonts w:cs="Times New Roman"/>
        </w:rPr>
      </w:pPr>
    </w:p>
    <w:p w14:paraId="72EECBA0" w14:textId="77777777" w:rsidR="007A2A32" w:rsidRPr="00817962" w:rsidRDefault="007A2A32" w:rsidP="00892A67">
      <w:pPr>
        <w:jc w:val="left"/>
        <w:rPr>
          <w:rFonts w:cs="Times New Roman"/>
        </w:rPr>
      </w:pPr>
      <w:r w:rsidRPr="00817962">
        <w:rPr>
          <w:rFonts w:cs="Times New Roman"/>
        </w:rPr>
        <w:t xml:space="preserve">Písmo: Times New Roman </w:t>
      </w:r>
    </w:p>
    <w:p w14:paraId="4E06B1D5" w14:textId="77777777" w:rsidR="00651FFE" w:rsidRPr="00817962" w:rsidRDefault="007A2A32" w:rsidP="00892A67">
      <w:pPr>
        <w:jc w:val="left"/>
        <w:rPr>
          <w:rFonts w:cs="Times New Roman"/>
        </w:rPr>
      </w:pPr>
      <w:r w:rsidRPr="00817962">
        <w:rPr>
          <w:rFonts w:cs="Times New Roman"/>
        </w:rPr>
        <w:t>Velikost písma: 10</w:t>
      </w:r>
    </w:p>
    <w:p w14:paraId="71E12A31" w14:textId="77777777" w:rsidR="007A2A32" w:rsidRDefault="007A2A32" w:rsidP="00892A67">
      <w:pPr>
        <w:jc w:val="left"/>
        <w:rPr>
          <w:rFonts w:cs="Times New Roman"/>
        </w:rPr>
      </w:pPr>
      <w:r w:rsidRPr="00817962">
        <w:rPr>
          <w:rFonts w:cs="Times New Roman"/>
        </w:rPr>
        <w:t>Řádkování: 1</w:t>
      </w:r>
    </w:p>
    <w:p w14:paraId="661C96A1" w14:textId="77777777" w:rsidR="00817962" w:rsidRDefault="00817962" w:rsidP="00892A67">
      <w:pPr>
        <w:jc w:val="left"/>
        <w:rPr>
          <w:rFonts w:cs="Times New Roman"/>
        </w:rPr>
      </w:pPr>
      <w:r w:rsidRPr="00817962">
        <w:rPr>
          <w:rFonts w:cs="Times New Roman"/>
        </w:rPr>
        <w:t>Fotodokumentace</w:t>
      </w:r>
      <w:r>
        <w:rPr>
          <w:rFonts w:cs="Times New Roman"/>
        </w:rPr>
        <w:t>:</w:t>
      </w:r>
      <w:r w:rsidRPr="00817962">
        <w:rPr>
          <w:rFonts w:cs="Times New Roman"/>
        </w:rPr>
        <w:t xml:space="preserve"> </w:t>
      </w:r>
      <w:r>
        <w:rPr>
          <w:rFonts w:cs="Times New Roman"/>
        </w:rPr>
        <w:tab/>
      </w:r>
      <w:r w:rsidRPr="00817962">
        <w:rPr>
          <w:rFonts w:cs="Times New Roman"/>
        </w:rPr>
        <w:t>rozlišení minimálně 150</w:t>
      </w:r>
      <w:r>
        <w:rPr>
          <w:rFonts w:cs="Times New Roman"/>
        </w:rPr>
        <w:t xml:space="preserve"> </w:t>
      </w:r>
      <w:r w:rsidRPr="00817962">
        <w:rPr>
          <w:rFonts w:cs="Times New Roman"/>
        </w:rPr>
        <w:t xml:space="preserve">dpi nebo 1 500 </w:t>
      </w:r>
      <w:proofErr w:type="spellStart"/>
      <w:r w:rsidRPr="00817962">
        <w:rPr>
          <w:rFonts w:cs="Times New Roman"/>
        </w:rPr>
        <w:t>px</w:t>
      </w:r>
      <w:proofErr w:type="spellEnd"/>
      <w:r w:rsidRPr="00817962">
        <w:rPr>
          <w:rFonts w:cs="Times New Roman"/>
        </w:rPr>
        <w:t xml:space="preserve"> na kratší straně</w:t>
      </w:r>
    </w:p>
    <w:p w14:paraId="71CB9000" w14:textId="77777777" w:rsidR="00817962" w:rsidRDefault="00817962" w:rsidP="00892A67">
      <w:pPr>
        <w:jc w:val="left"/>
        <w:rPr>
          <w:rFonts w:cs="Times New Roman"/>
        </w:rPr>
      </w:pPr>
      <w:r>
        <w:rPr>
          <w:rFonts w:cs="Times New Roman"/>
        </w:rPr>
        <w:tab/>
      </w:r>
      <w:r>
        <w:rPr>
          <w:rFonts w:cs="Times New Roman"/>
        </w:rPr>
        <w:tab/>
      </w:r>
      <w:r>
        <w:rPr>
          <w:rFonts w:cs="Times New Roman"/>
        </w:rPr>
        <w:tab/>
        <w:t>barevné fotografie</w:t>
      </w:r>
    </w:p>
    <w:p w14:paraId="29605752" w14:textId="77777777" w:rsidR="00651FFE" w:rsidRPr="00817962" w:rsidRDefault="007A2A32" w:rsidP="00892A67">
      <w:pPr>
        <w:jc w:val="left"/>
        <w:rPr>
          <w:rFonts w:cs="Times New Roman"/>
        </w:rPr>
      </w:pPr>
      <w:r w:rsidRPr="00817962">
        <w:rPr>
          <w:rFonts w:cs="Times New Roman"/>
        </w:rPr>
        <w:t xml:space="preserve">Shrnutí: </w:t>
      </w:r>
      <w:r w:rsidR="00654EAE">
        <w:rPr>
          <w:rFonts w:cs="Times New Roman"/>
        </w:rPr>
        <w:tab/>
      </w:r>
      <w:r w:rsidR="00654EAE">
        <w:rPr>
          <w:rFonts w:cs="Times New Roman"/>
        </w:rPr>
        <w:tab/>
      </w:r>
      <w:r w:rsidRPr="00817962">
        <w:rPr>
          <w:rFonts w:cs="Times New Roman"/>
        </w:rPr>
        <w:t>2. stránka posudku</w:t>
      </w:r>
    </w:p>
    <w:p w14:paraId="7002C06C" w14:textId="77777777" w:rsidR="005449ED" w:rsidRDefault="005449ED" w:rsidP="00892A67">
      <w:pPr>
        <w:jc w:val="left"/>
        <w:rPr>
          <w:rFonts w:cs="Times New Roman"/>
        </w:rPr>
      </w:pPr>
      <w:r w:rsidRPr="00817962">
        <w:rPr>
          <w:rFonts w:cs="Times New Roman"/>
        </w:rPr>
        <w:t>Automatický obsah posudku na třetí straně</w:t>
      </w:r>
    </w:p>
    <w:p w14:paraId="349CF50F" w14:textId="77777777" w:rsidR="00FF4918" w:rsidRPr="00817962" w:rsidRDefault="00FF4918" w:rsidP="00892A67">
      <w:pPr>
        <w:jc w:val="left"/>
        <w:rPr>
          <w:rFonts w:cs="Times New Roman"/>
        </w:rPr>
      </w:pPr>
    </w:p>
    <w:p w14:paraId="047203D0" w14:textId="77777777" w:rsidR="005449ED" w:rsidRPr="00817962" w:rsidRDefault="005449ED" w:rsidP="00892A67">
      <w:pPr>
        <w:jc w:val="left"/>
        <w:rPr>
          <w:rFonts w:cs="Times New Roman"/>
        </w:rPr>
      </w:pPr>
      <w:r w:rsidRPr="00817962">
        <w:rPr>
          <w:rFonts w:cs="Times New Roman"/>
        </w:rPr>
        <w:t xml:space="preserve">Členění posudku: </w:t>
      </w:r>
    </w:p>
    <w:p w14:paraId="2509015B"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 xml:space="preserve">Zadání znaleckého posudku </w:t>
      </w:r>
    </w:p>
    <w:p w14:paraId="6585BBC6"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Výčet podkladů</w:t>
      </w:r>
    </w:p>
    <w:p w14:paraId="56819237"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Nález</w:t>
      </w:r>
    </w:p>
    <w:p w14:paraId="43D3286A"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Posudek</w:t>
      </w:r>
    </w:p>
    <w:p w14:paraId="16C23B95"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Odůvodnění</w:t>
      </w:r>
    </w:p>
    <w:p w14:paraId="34748B23"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Závěr</w:t>
      </w:r>
    </w:p>
    <w:p w14:paraId="760A868B"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Přílohy</w:t>
      </w:r>
    </w:p>
    <w:p w14:paraId="0CD8719E"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Náležitosti poslední strany posudku</w:t>
      </w:r>
    </w:p>
    <w:p w14:paraId="668B7C42" w14:textId="77777777" w:rsidR="005449ED" w:rsidRPr="00817962" w:rsidRDefault="005449ED" w:rsidP="005449ED">
      <w:pPr>
        <w:pStyle w:val="Odstavecseseznamem"/>
        <w:numPr>
          <w:ilvl w:val="0"/>
          <w:numId w:val="26"/>
        </w:numPr>
        <w:jc w:val="left"/>
        <w:rPr>
          <w:rFonts w:cs="Times New Roman"/>
          <w:szCs w:val="20"/>
        </w:rPr>
      </w:pPr>
      <w:r w:rsidRPr="00817962">
        <w:rPr>
          <w:rFonts w:cs="Times New Roman"/>
          <w:szCs w:val="20"/>
        </w:rPr>
        <w:t xml:space="preserve">Znalecká doložka </w:t>
      </w:r>
    </w:p>
    <w:p w14:paraId="102AE338" w14:textId="77777777" w:rsidR="007A2A32" w:rsidRPr="00817962" w:rsidRDefault="007A2A32" w:rsidP="00892A67">
      <w:pPr>
        <w:jc w:val="left"/>
        <w:rPr>
          <w:rFonts w:cs="Times New Roman"/>
        </w:rPr>
      </w:pPr>
    </w:p>
    <w:p w14:paraId="585B9CC1" w14:textId="77777777" w:rsidR="007A2A32" w:rsidRPr="00817962" w:rsidRDefault="007A2A32" w:rsidP="00892A67">
      <w:pPr>
        <w:jc w:val="left"/>
        <w:rPr>
          <w:rFonts w:cs="Times New Roman"/>
        </w:rPr>
      </w:pPr>
      <w:r w:rsidRPr="00817962">
        <w:rPr>
          <w:rFonts w:cs="Times New Roman"/>
        </w:rPr>
        <w:t>Shrnutí posudku na 2. straně obsahuje zejména:</w:t>
      </w:r>
    </w:p>
    <w:p w14:paraId="4D9987E8" w14:textId="77777777" w:rsidR="007A2A32" w:rsidRPr="00817962" w:rsidRDefault="007A2A32" w:rsidP="00892A67">
      <w:pPr>
        <w:jc w:val="left"/>
        <w:rPr>
          <w:rFonts w:cs="Times New Roman"/>
        </w:rPr>
      </w:pPr>
    </w:p>
    <w:p w14:paraId="15FFA96C" w14:textId="77777777" w:rsidR="007A2A32" w:rsidRPr="00817962" w:rsidRDefault="007A2A32" w:rsidP="007A2A32">
      <w:pPr>
        <w:pStyle w:val="Odstavecseseznamem"/>
        <w:numPr>
          <w:ilvl w:val="0"/>
          <w:numId w:val="25"/>
        </w:numPr>
        <w:jc w:val="left"/>
        <w:rPr>
          <w:rFonts w:cs="Times New Roman"/>
          <w:szCs w:val="20"/>
        </w:rPr>
      </w:pPr>
      <w:r w:rsidRPr="00817962">
        <w:rPr>
          <w:rFonts w:cs="Times New Roman"/>
          <w:szCs w:val="20"/>
        </w:rPr>
        <w:t>Odborná otázka</w:t>
      </w:r>
    </w:p>
    <w:p w14:paraId="0C135B6B" w14:textId="77777777" w:rsidR="007A2A32" w:rsidRPr="00817962" w:rsidRDefault="007A2A32" w:rsidP="007A2A32">
      <w:pPr>
        <w:pStyle w:val="Odstavecseseznamem"/>
        <w:numPr>
          <w:ilvl w:val="0"/>
          <w:numId w:val="25"/>
        </w:numPr>
        <w:jc w:val="left"/>
        <w:rPr>
          <w:rFonts w:cs="Times New Roman"/>
          <w:szCs w:val="20"/>
        </w:rPr>
      </w:pPr>
      <w:r w:rsidRPr="00817962">
        <w:rPr>
          <w:rFonts w:cs="Times New Roman"/>
          <w:szCs w:val="20"/>
        </w:rPr>
        <w:t>Datum ocenění</w:t>
      </w:r>
    </w:p>
    <w:p w14:paraId="5DA6E0C6" w14:textId="77777777" w:rsidR="007A2A32" w:rsidRPr="00817962" w:rsidRDefault="007A2A32" w:rsidP="007A2A32">
      <w:pPr>
        <w:pStyle w:val="Odstavecseseznamem"/>
        <w:numPr>
          <w:ilvl w:val="0"/>
          <w:numId w:val="25"/>
        </w:numPr>
        <w:jc w:val="left"/>
        <w:rPr>
          <w:rFonts w:cs="Times New Roman"/>
          <w:szCs w:val="20"/>
        </w:rPr>
      </w:pPr>
      <w:r w:rsidRPr="00817962">
        <w:rPr>
          <w:rFonts w:cs="Times New Roman"/>
          <w:szCs w:val="20"/>
        </w:rPr>
        <w:t>Účel zhotovení posudku</w:t>
      </w:r>
    </w:p>
    <w:p w14:paraId="660A0204" w14:textId="77777777" w:rsidR="007A2A32" w:rsidRPr="00817962" w:rsidRDefault="007A2A32" w:rsidP="007A2A32">
      <w:pPr>
        <w:pStyle w:val="Odstavecseseznamem"/>
        <w:numPr>
          <w:ilvl w:val="0"/>
          <w:numId w:val="25"/>
        </w:numPr>
        <w:jc w:val="left"/>
        <w:rPr>
          <w:rFonts w:cs="Times New Roman"/>
          <w:szCs w:val="20"/>
        </w:rPr>
      </w:pPr>
      <w:r w:rsidRPr="00817962">
        <w:rPr>
          <w:rFonts w:cs="Times New Roman"/>
          <w:szCs w:val="20"/>
        </w:rPr>
        <w:t>Závěrečný výrok (informaci o tom, zda stanovená cena obsahuje DPH či nikoliv)</w:t>
      </w:r>
    </w:p>
    <w:p w14:paraId="28FC377C" w14:textId="77777777" w:rsidR="00817962" w:rsidRPr="00817962" w:rsidRDefault="00817962" w:rsidP="00DB797F">
      <w:pPr>
        <w:jc w:val="left"/>
        <w:rPr>
          <w:rFonts w:cs="Times New Roman"/>
        </w:rPr>
      </w:pPr>
    </w:p>
    <w:p w14:paraId="6EE95654" w14:textId="77777777" w:rsidR="005449ED" w:rsidRPr="00817962" w:rsidRDefault="00DB797F" w:rsidP="00DB797F">
      <w:pPr>
        <w:jc w:val="left"/>
        <w:rPr>
          <w:rFonts w:cs="Times New Roman"/>
        </w:rPr>
      </w:pPr>
      <w:r w:rsidRPr="00817962">
        <w:rPr>
          <w:rFonts w:cs="Times New Roman"/>
        </w:rPr>
        <w:t xml:space="preserve">Znalecká doložka na poslední straně posudku musí obsahovat prohlášení ve smyslu ustanovení § 127a) zákona č. 99/1963 Sb., občanského soudního řádu v platném znění. </w:t>
      </w:r>
    </w:p>
    <w:p w14:paraId="08A1BCE5" w14:textId="77777777" w:rsidR="00651FFE" w:rsidRPr="00817962" w:rsidRDefault="00651FFE" w:rsidP="00892A67">
      <w:pPr>
        <w:jc w:val="left"/>
        <w:rPr>
          <w:rFonts w:cs="Times New Roman"/>
        </w:rPr>
      </w:pPr>
    </w:p>
    <w:p w14:paraId="3FD851B7" w14:textId="77777777" w:rsidR="00FD1F7B" w:rsidRPr="00817962" w:rsidRDefault="00FD1F7B" w:rsidP="005449ED">
      <w:pPr>
        <w:jc w:val="left"/>
        <w:rPr>
          <w:rFonts w:cs="Times New Roman"/>
          <w:b/>
          <w:bCs/>
        </w:rPr>
      </w:pPr>
      <w:r w:rsidRPr="00817962">
        <w:rPr>
          <w:rFonts w:cs="Times New Roman"/>
          <w:b/>
          <w:bCs/>
        </w:rPr>
        <w:t xml:space="preserve">Vydání posudku: </w:t>
      </w:r>
    </w:p>
    <w:p w14:paraId="68C3BFFB" w14:textId="77777777" w:rsidR="00FD1F7B" w:rsidRPr="00817962" w:rsidRDefault="00FD1F7B" w:rsidP="00892A67">
      <w:pPr>
        <w:jc w:val="left"/>
        <w:rPr>
          <w:rFonts w:cs="Times New Roman"/>
        </w:rPr>
      </w:pPr>
    </w:p>
    <w:p w14:paraId="38A8EC9B" w14:textId="77777777" w:rsidR="00892A67" w:rsidRPr="00817962" w:rsidRDefault="00892A67" w:rsidP="00892A67">
      <w:pPr>
        <w:jc w:val="left"/>
        <w:rPr>
          <w:rFonts w:cs="Times New Roman"/>
        </w:rPr>
      </w:pPr>
      <w:r w:rsidRPr="00817962">
        <w:rPr>
          <w:rFonts w:cs="Times New Roman"/>
        </w:rPr>
        <w:t>ZNALECKÝ POSUDEK V LISTINNÉ PODOBĚ</w:t>
      </w:r>
      <w:r w:rsidR="00E612C0">
        <w:rPr>
          <w:rFonts w:cs="Times New Roman"/>
        </w:rPr>
        <w:t xml:space="preserve"> – 3 ks </w:t>
      </w:r>
    </w:p>
    <w:p w14:paraId="4389C9C7" w14:textId="77777777" w:rsidR="00FD1F7B" w:rsidRPr="00817962" w:rsidRDefault="00FD1F7B" w:rsidP="00892A67">
      <w:pPr>
        <w:jc w:val="left"/>
        <w:rPr>
          <w:rFonts w:cs="Times New Roman"/>
        </w:rPr>
      </w:pPr>
    </w:p>
    <w:p w14:paraId="180EBE79" w14:textId="77777777" w:rsidR="00892A67" w:rsidRPr="00817962" w:rsidRDefault="005478F0" w:rsidP="00FD1F7B">
      <w:pPr>
        <w:pStyle w:val="Odstavecseseznamem"/>
        <w:numPr>
          <w:ilvl w:val="0"/>
          <w:numId w:val="17"/>
        </w:numPr>
        <w:jc w:val="left"/>
        <w:rPr>
          <w:rFonts w:cs="Times New Roman"/>
          <w:szCs w:val="20"/>
        </w:rPr>
      </w:pPr>
      <w:r w:rsidRPr="00817962">
        <w:rPr>
          <w:rFonts w:cs="Times New Roman"/>
          <w:szCs w:val="20"/>
        </w:rPr>
        <w:t>Sešití posudku</w:t>
      </w:r>
      <w:r w:rsidR="00892A67" w:rsidRPr="00817962">
        <w:rPr>
          <w:rFonts w:cs="Times New Roman"/>
          <w:szCs w:val="20"/>
        </w:rPr>
        <w:t xml:space="preserve">, </w:t>
      </w:r>
    </w:p>
    <w:p w14:paraId="08ADE002" w14:textId="77777777" w:rsidR="00892A67" w:rsidRPr="00817962" w:rsidRDefault="005478F0" w:rsidP="00FD1F7B">
      <w:pPr>
        <w:pStyle w:val="Odstavecseseznamem"/>
        <w:numPr>
          <w:ilvl w:val="0"/>
          <w:numId w:val="17"/>
        </w:numPr>
        <w:jc w:val="left"/>
        <w:rPr>
          <w:rFonts w:cs="Times New Roman"/>
          <w:szCs w:val="20"/>
        </w:rPr>
      </w:pPr>
      <w:r w:rsidRPr="00817962">
        <w:rPr>
          <w:rFonts w:cs="Times New Roman"/>
          <w:szCs w:val="20"/>
        </w:rPr>
        <w:t xml:space="preserve">Připevnění sešívací šňůry k poslední straně posudku, </w:t>
      </w:r>
    </w:p>
    <w:p w14:paraId="11775B1C" w14:textId="77777777" w:rsidR="00892A67" w:rsidRPr="00817962" w:rsidRDefault="005478F0" w:rsidP="00FD1F7B">
      <w:pPr>
        <w:pStyle w:val="Odstavecseseznamem"/>
        <w:numPr>
          <w:ilvl w:val="0"/>
          <w:numId w:val="17"/>
        </w:numPr>
        <w:jc w:val="left"/>
        <w:rPr>
          <w:rFonts w:cs="Times New Roman"/>
          <w:szCs w:val="20"/>
        </w:rPr>
      </w:pPr>
      <w:r w:rsidRPr="00817962">
        <w:rPr>
          <w:rFonts w:cs="Times New Roman"/>
          <w:szCs w:val="20"/>
        </w:rPr>
        <w:t xml:space="preserve">Přetištění sešívací šnůry znaleckou pečetí, </w:t>
      </w:r>
      <w:r w:rsidR="00892A67" w:rsidRPr="00817962">
        <w:rPr>
          <w:rFonts w:cs="Times New Roman"/>
          <w:szCs w:val="20"/>
        </w:rPr>
        <w:t xml:space="preserve"> </w:t>
      </w:r>
    </w:p>
    <w:p w14:paraId="2AEF055C" w14:textId="77777777" w:rsidR="00892A67" w:rsidRPr="00817962" w:rsidRDefault="005478F0" w:rsidP="00FD1F7B">
      <w:pPr>
        <w:pStyle w:val="Odstavecseseznamem"/>
        <w:numPr>
          <w:ilvl w:val="0"/>
          <w:numId w:val="17"/>
        </w:numPr>
        <w:jc w:val="left"/>
        <w:rPr>
          <w:rFonts w:cs="Times New Roman"/>
          <w:szCs w:val="20"/>
        </w:rPr>
      </w:pPr>
      <w:r w:rsidRPr="00817962">
        <w:rPr>
          <w:rFonts w:cs="Times New Roman"/>
          <w:szCs w:val="20"/>
        </w:rPr>
        <w:t xml:space="preserve">Sešití písemné přílohy, včetně titulní strany </w:t>
      </w:r>
    </w:p>
    <w:p w14:paraId="2EAD5923" w14:textId="77777777" w:rsidR="00892A67" w:rsidRPr="00817962" w:rsidRDefault="00892A67" w:rsidP="00892A67">
      <w:pPr>
        <w:jc w:val="left"/>
        <w:rPr>
          <w:rFonts w:cs="Times New Roman"/>
        </w:rPr>
      </w:pPr>
    </w:p>
    <w:p w14:paraId="4B416ED4" w14:textId="77777777" w:rsidR="00892A67" w:rsidRPr="00817962" w:rsidRDefault="00892A67" w:rsidP="00892A67">
      <w:pPr>
        <w:jc w:val="left"/>
        <w:rPr>
          <w:rFonts w:cs="Times New Roman"/>
        </w:rPr>
      </w:pPr>
      <w:r w:rsidRPr="00817962">
        <w:rPr>
          <w:rFonts w:cs="Times New Roman"/>
        </w:rPr>
        <w:t>ZNALECKÝ POSUDEK V ELEKTRONICKÉ PODOBĚ:</w:t>
      </w:r>
    </w:p>
    <w:p w14:paraId="28459010" w14:textId="77777777" w:rsidR="00892A67" w:rsidRPr="00817962" w:rsidRDefault="005478F0" w:rsidP="00FD1F7B">
      <w:pPr>
        <w:pStyle w:val="Odstavecseseznamem"/>
        <w:numPr>
          <w:ilvl w:val="0"/>
          <w:numId w:val="19"/>
        </w:numPr>
        <w:jc w:val="left"/>
        <w:rPr>
          <w:rFonts w:cs="Times New Roman"/>
          <w:szCs w:val="20"/>
        </w:rPr>
      </w:pPr>
      <w:r w:rsidRPr="00817962">
        <w:rPr>
          <w:rFonts w:cs="Times New Roman"/>
          <w:szCs w:val="20"/>
        </w:rPr>
        <w:t xml:space="preserve">Formát posudku </w:t>
      </w:r>
      <w:proofErr w:type="spellStart"/>
      <w:r w:rsidRPr="00817962">
        <w:rPr>
          <w:rFonts w:cs="Times New Roman"/>
          <w:szCs w:val="20"/>
        </w:rPr>
        <w:t>pdf</w:t>
      </w:r>
      <w:proofErr w:type="spellEnd"/>
      <w:r w:rsidRPr="00817962">
        <w:rPr>
          <w:rFonts w:cs="Times New Roman"/>
          <w:szCs w:val="20"/>
        </w:rPr>
        <w:t>/A56</w:t>
      </w:r>
      <w:r w:rsidR="00892A67" w:rsidRPr="00817962">
        <w:rPr>
          <w:rFonts w:cs="Times New Roman"/>
          <w:szCs w:val="20"/>
        </w:rPr>
        <w:t xml:space="preserve">, </w:t>
      </w:r>
    </w:p>
    <w:p w14:paraId="0FB46F83" w14:textId="77777777" w:rsidR="00892A67" w:rsidRPr="00817962" w:rsidRDefault="005478F0" w:rsidP="00FD1F7B">
      <w:pPr>
        <w:pStyle w:val="Odstavecseseznamem"/>
        <w:numPr>
          <w:ilvl w:val="0"/>
          <w:numId w:val="19"/>
        </w:numPr>
        <w:jc w:val="left"/>
        <w:rPr>
          <w:rFonts w:cs="Times New Roman"/>
          <w:szCs w:val="20"/>
        </w:rPr>
      </w:pPr>
      <w:r w:rsidRPr="00817962">
        <w:rPr>
          <w:rFonts w:cs="Times New Roman"/>
          <w:szCs w:val="20"/>
        </w:rPr>
        <w:t>Opakované opatření kvalifikovaným elektronickým časovým razítkem</w:t>
      </w:r>
      <w:r w:rsidR="00892A67" w:rsidRPr="00817962">
        <w:rPr>
          <w:rFonts w:cs="Times New Roman"/>
          <w:szCs w:val="20"/>
        </w:rPr>
        <w:t xml:space="preserve">, </w:t>
      </w:r>
    </w:p>
    <w:p w14:paraId="1826A2D3" w14:textId="77777777" w:rsidR="00892A67" w:rsidRPr="00817962" w:rsidRDefault="005478F0" w:rsidP="00FD1F7B">
      <w:pPr>
        <w:pStyle w:val="Odstavecseseznamem"/>
        <w:numPr>
          <w:ilvl w:val="0"/>
          <w:numId w:val="19"/>
        </w:numPr>
        <w:jc w:val="left"/>
        <w:rPr>
          <w:rFonts w:cs="Times New Roman"/>
          <w:szCs w:val="20"/>
        </w:rPr>
      </w:pPr>
      <w:r w:rsidRPr="00817962">
        <w:rPr>
          <w:rFonts w:cs="Times New Roman"/>
          <w:szCs w:val="20"/>
        </w:rPr>
        <w:t xml:space="preserve">Písemné přílohy, včetně titulní strany: </w:t>
      </w:r>
      <w:r w:rsidR="00892A67" w:rsidRPr="00817962">
        <w:rPr>
          <w:rFonts w:cs="Times New Roman"/>
          <w:szCs w:val="20"/>
        </w:rPr>
        <w:t xml:space="preserve"> </w:t>
      </w:r>
    </w:p>
    <w:p w14:paraId="1D412EE7" w14:textId="77777777" w:rsidR="005478F0" w:rsidRPr="00817962" w:rsidRDefault="00892A67" w:rsidP="00892A67">
      <w:pPr>
        <w:ind w:firstLine="708"/>
        <w:jc w:val="left"/>
        <w:rPr>
          <w:rFonts w:cs="Times New Roman"/>
        </w:rPr>
      </w:pPr>
      <w:r w:rsidRPr="00817962">
        <w:rPr>
          <w:rFonts w:cs="Times New Roman"/>
        </w:rPr>
        <w:t xml:space="preserve">- FORMÁT PŘÍLOH PDF/A, </w:t>
      </w:r>
    </w:p>
    <w:p w14:paraId="68B11ADF" w14:textId="77777777" w:rsidR="00892A67" w:rsidRPr="00817962" w:rsidRDefault="00892A67" w:rsidP="00892A67">
      <w:pPr>
        <w:ind w:firstLine="708"/>
        <w:jc w:val="left"/>
        <w:rPr>
          <w:rFonts w:cs="Times New Roman"/>
        </w:rPr>
      </w:pPr>
      <w:r w:rsidRPr="00817962">
        <w:rPr>
          <w:rFonts w:cs="Times New Roman"/>
        </w:rPr>
        <w:lastRenderedPageBreak/>
        <w:t>- PODPIS</w:t>
      </w:r>
      <w:r w:rsidR="005478F0" w:rsidRPr="00817962">
        <w:rPr>
          <w:rFonts w:cs="Times New Roman"/>
        </w:rPr>
        <w:t>:</w:t>
      </w:r>
    </w:p>
    <w:p w14:paraId="6D60DDBC" w14:textId="77777777" w:rsidR="00892A67" w:rsidRPr="00817962" w:rsidRDefault="00892A67" w:rsidP="005478F0">
      <w:pPr>
        <w:ind w:left="708" w:firstLine="708"/>
        <w:jc w:val="left"/>
        <w:rPr>
          <w:rFonts w:cs="Times New Roman"/>
        </w:rPr>
      </w:pPr>
      <w:r w:rsidRPr="00817962">
        <w:rPr>
          <w:rFonts w:cs="Times New Roman"/>
        </w:rPr>
        <w:t xml:space="preserve">CERTIFIKÁT PRO ELEKTRONICKÝ PODPIS, </w:t>
      </w:r>
    </w:p>
    <w:p w14:paraId="382777BF" w14:textId="77777777" w:rsidR="00892A67" w:rsidRPr="00817962" w:rsidRDefault="00892A67" w:rsidP="005478F0">
      <w:pPr>
        <w:ind w:left="708" w:firstLine="708"/>
        <w:jc w:val="left"/>
        <w:rPr>
          <w:rFonts w:cs="Times New Roman"/>
        </w:rPr>
      </w:pPr>
      <w:r w:rsidRPr="00817962">
        <w:rPr>
          <w:rFonts w:cs="Times New Roman"/>
        </w:rPr>
        <w:t xml:space="preserve">KVALIFIKOVANÉ ČASOVÉ RAZÍTKO </w:t>
      </w:r>
    </w:p>
    <w:p w14:paraId="5D29BD5E" w14:textId="77777777" w:rsidR="00654EAE" w:rsidRDefault="00654EAE" w:rsidP="00FD1F7B">
      <w:pPr>
        <w:rPr>
          <w:rFonts w:cs="Times New Roman"/>
          <w:b/>
          <w:bCs/>
        </w:rPr>
      </w:pPr>
    </w:p>
    <w:p w14:paraId="255296F7" w14:textId="77777777" w:rsidR="00E612C0" w:rsidRPr="00E612C0" w:rsidRDefault="00E612C0" w:rsidP="00FD1F7B">
      <w:pPr>
        <w:rPr>
          <w:rFonts w:cs="Times New Roman"/>
          <w:b/>
          <w:bCs/>
        </w:rPr>
      </w:pPr>
      <w:r w:rsidRPr="00E612C0">
        <w:rPr>
          <w:rFonts w:cs="Times New Roman"/>
          <w:b/>
          <w:bCs/>
        </w:rPr>
        <w:t>Vysvětlení některých bodů:</w:t>
      </w:r>
    </w:p>
    <w:p w14:paraId="6C765712" w14:textId="77777777" w:rsidR="00E612C0" w:rsidRDefault="00E612C0" w:rsidP="00FD1F7B">
      <w:pPr>
        <w:rPr>
          <w:rFonts w:cs="Times New Roman"/>
        </w:rPr>
      </w:pPr>
    </w:p>
    <w:p w14:paraId="12F74979" w14:textId="77777777" w:rsidR="00E612C0" w:rsidRPr="00E612C0" w:rsidRDefault="00E612C0" w:rsidP="00E612C0">
      <w:pPr>
        <w:pStyle w:val="Odstavecseseznamem"/>
        <w:numPr>
          <w:ilvl w:val="0"/>
          <w:numId w:val="27"/>
        </w:numPr>
        <w:rPr>
          <w:rFonts w:cs="Times New Roman"/>
        </w:rPr>
      </w:pPr>
    </w:p>
    <w:p w14:paraId="33CA6B38" w14:textId="77777777" w:rsidR="002B4DCA" w:rsidRPr="00817962" w:rsidRDefault="00651FFE" w:rsidP="00651FFE">
      <w:pPr>
        <w:rPr>
          <w:rFonts w:cs="Times New Roman"/>
        </w:rPr>
      </w:pPr>
      <w:r w:rsidRPr="00817962">
        <w:rPr>
          <w:rFonts w:cs="Times New Roman"/>
        </w:rPr>
        <w:t xml:space="preserve">V souladu s §3b odst. 2 zákona č. 416/2009 Sb. je mimo jiné: </w:t>
      </w:r>
    </w:p>
    <w:p w14:paraId="77800906" w14:textId="77777777" w:rsidR="00AD68CD" w:rsidRPr="00817962" w:rsidRDefault="00AD68CD" w:rsidP="00FD1F7B">
      <w:pPr>
        <w:rPr>
          <w:rFonts w:cs="Times New Roman"/>
        </w:rPr>
      </w:pPr>
    </w:p>
    <w:p w14:paraId="05E7288A" w14:textId="77777777" w:rsidR="00651FFE" w:rsidRPr="00817962" w:rsidRDefault="00651FFE" w:rsidP="00FD1F7B">
      <w:pPr>
        <w:rPr>
          <w:rFonts w:cs="Times New Roman"/>
        </w:rPr>
      </w:pPr>
      <w:r w:rsidRPr="00817962">
        <w:rPr>
          <w:rFonts w:cs="Times New Roman"/>
        </w:rPr>
        <w:t>„…Oprávněný investor oprávněn nechat vyhotovit jediný znalecký posudek pro více pozemků či staveb určených pro stavbu dopravní infrastruktury, tak aby znalecký posudek pokryl celé území dotčené stavbou nebo některou jeho část.“</w:t>
      </w:r>
    </w:p>
    <w:p w14:paraId="100AE544" w14:textId="77777777" w:rsidR="00651FFE" w:rsidRPr="00817962" w:rsidRDefault="00651FFE" w:rsidP="00FD1F7B">
      <w:pPr>
        <w:rPr>
          <w:rFonts w:cs="Times New Roman"/>
        </w:rPr>
      </w:pPr>
    </w:p>
    <w:p w14:paraId="0D0A1ED9" w14:textId="77777777" w:rsidR="00651FFE" w:rsidRPr="00817962" w:rsidRDefault="00651FFE" w:rsidP="00FD1F7B">
      <w:pPr>
        <w:rPr>
          <w:rFonts w:cs="Times New Roman"/>
        </w:rPr>
      </w:pPr>
      <w:r w:rsidRPr="00817962">
        <w:rPr>
          <w:rFonts w:cs="Times New Roman"/>
        </w:rPr>
        <w:t xml:space="preserve">Komentář: </w:t>
      </w:r>
      <w:r w:rsidR="00817962">
        <w:rPr>
          <w:rFonts w:cs="Times New Roman"/>
        </w:rPr>
        <w:t>P</w:t>
      </w:r>
      <w:r w:rsidRPr="00817962">
        <w:rPr>
          <w:rFonts w:cs="Times New Roman"/>
        </w:rPr>
        <w:t xml:space="preserve">okud jde o více drobných pozemků v jenom území, které mají stejnou jednotkovou cenu, lze takové pozemky ocenit jedním znaleckým posudkem. </w:t>
      </w:r>
    </w:p>
    <w:p w14:paraId="584E26B3" w14:textId="77777777" w:rsidR="00651FFE" w:rsidRDefault="00651FFE" w:rsidP="00FD1F7B">
      <w:pPr>
        <w:rPr>
          <w:rFonts w:cs="Times New Roman"/>
        </w:rPr>
      </w:pPr>
    </w:p>
    <w:p w14:paraId="492F7FE3" w14:textId="77777777" w:rsidR="00E612C0" w:rsidRPr="00E612C0" w:rsidRDefault="00E612C0" w:rsidP="00E612C0">
      <w:pPr>
        <w:pStyle w:val="Odstavecseseznamem"/>
        <w:numPr>
          <w:ilvl w:val="0"/>
          <w:numId w:val="27"/>
        </w:numPr>
        <w:rPr>
          <w:rFonts w:cs="Times New Roman"/>
        </w:rPr>
      </w:pPr>
    </w:p>
    <w:p w14:paraId="3E49FFA8" w14:textId="77777777" w:rsidR="007A2A32" w:rsidRPr="00817962" w:rsidRDefault="00817962" w:rsidP="00FD1F7B">
      <w:pPr>
        <w:rPr>
          <w:rFonts w:cs="Times New Roman"/>
          <w:color w:val="000000"/>
          <w:shd w:val="clear" w:color="auto" w:fill="FFFFFF"/>
        </w:rPr>
      </w:pPr>
      <w:r w:rsidRPr="00E612C0">
        <w:rPr>
          <w:rFonts w:cs="Times New Roman"/>
          <w:color w:val="000000"/>
          <w:shd w:val="clear" w:color="auto" w:fill="FFFFFF"/>
        </w:rPr>
        <w:t>„</w:t>
      </w:r>
      <w:r w:rsidR="007A2A32" w:rsidRPr="00E612C0">
        <w:rPr>
          <w:rFonts w:cs="Times New Roman"/>
          <w:color w:val="000000"/>
          <w:shd w:val="clear" w:color="auto" w:fill="FFFFFF"/>
        </w:rPr>
        <w:t>(2) Znalecký posudek, který je podkladem pro navržení výše kupní ceny v návrhu kupní smlouvy, stanoví cenu</w:t>
      </w:r>
      <w:r w:rsidR="007A2A32" w:rsidRPr="00817962">
        <w:rPr>
          <w:rFonts w:cs="Times New Roman"/>
          <w:color w:val="000000"/>
          <w:shd w:val="clear" w:color="auto" w:fill="FFFFFF"/>
        </w:rPr>
        <w:t xml:space="preserve"> ve výši obvyklé ceny pozemku nebo stavby, včetně všech jejich součástí a příslušenství. Nelze-li stanovit cenu ve výši obvyklé ceny pozemku nebo stavby, stanoví znalecký posudek cenu ve výši zjištěné ceny pozemku nebo stavby. V takovém případě obsahuje znalecký posudek zdůvodnění nemožnosti stanovení ceny ve výši obvyklé ceny pozemku nebo stavby</w:t>
      </w:r>
      <w:r w:rsidRPr="00817962">
        <w:rPr>
          <w:rFonts w:cs="Times New Roman"/>
          <w:color w:val="000000"/>
          <w:shd w:val="clear" w:color="auto" w:fill="FFFFFF"/>
        </w:rPr>
        <w:t>…</w:t>
      </w:r>
      <w:r w:rsidR="0083420F" w:rsidRPr="0083420F">
        <w:rPr>
          <w:rFonts w:cs="Times New Roman"/>
          <w:color w:val="000000"/>
          <w:shd w:val="clear" w:color="auto" w:fill="FFFFFF"/>
        </w:rPr>
        <w:t>Podléhá-li získání potřebných práv podle § 3a koupí dani z přidané hodnoty, je cena stanovená znaleckým posudkem cenou včetně daně z přidané hodnoty</w:t>
      </w:r>
      <w:r w:rsidR="0021749A">
        <w:rPr>
          <w:rFonts w:cs="Times New Roman"/>
          <w:color w:val="000000"/>
          <w:shd w:val="clear" w:color="auto" w:fill="FFFFFF"/>
        </w:rPr>
        <w:t>.</w:t>
      </w:r>
      <w:r w:rsidRPr="00817962">
        <w:rPr>
          <w:rFonts w:cs="Times New Roman"/>
          <w:color w:val="000000"/>
          <w:shd w:val="clear" w:color="auto" w:fill="FFFFFF"/>
        </w:rPr>
        <w:t>“</w:t>
      </w:r>
    </w:p>
    <w:p w14:paraId="37E1A1DB" w14:textId="77777777" w:rsidR="00817962" w:rsidRPr="00817962" w:rsidRDefault="00817962" w:rsidP="00FD1F7B">
      <w:pPr>
        <w:rPr>
          <w:rFonts w:cs="Times New Roman"/>
          <w:color w:val="000000"/>
          <w:shd w:val="clear" w:color="auto" w:fill="FFFFFF"/>
        </w:rPr>
      </w:pPr>
    </w:p>
    <w:p w14:paraId="660B0F85" w14:textId="77777777" w:rsidR="00817962" w:rsidRDefault="00817962" w:rsidP="00FD1F7B">
      <w:pPr>
        <w:rPr>
          <w:rFonts w:cs="Times New Roman"/>
          <w:color w:val="000000"/>
          <w:shd w:val="clear" w:color="auto" w:fill="FFFFFF"/>
        </w:rPr>
      </w:pPr>
      <w:r w:rsidRPr="00817962">
        <w:rPr>
          <w:rFonts w:cs="Times New Roman"/>
          <w:color w:val="000000"/>
          <w:shd w:val="clear" w:color="auto" w:fill="FFFFFF"/>
        </w:rPr>
        <w:t xml:space="preserve">Komentář: </w:t>
      </w:r>
      <w:r>
        <w:rPr>
          <w:rFonts w:cs="Times New Roman"/>
          <w:color w:val="000000"/>
          <w:shd w:val="clear" w:color="auto" w:fill="FFFFFF"/>
        </w:rPr>
        <w:t>Standardně je v posudku stanovena cena obvyklá, pouze za předpokladu, že jde o specifický majetek</w:t>
      </w:r>
      <w:r w:rsidR="00E612C0">
        <w:rPr>
          <w:rFonts w:cs="Times New Roman"/>
          <w:color w:val="000000"/>
          <w:shd w:val="clear" w:color="auto" w:fill="FFFFFF"/>
        </w:rPr>
        <w:t>,</w:t>
      </w:r>
      <w:r>
        <w:rPr>
          <w:rFonts w:cs="Times New Roman"/>
          <w:color w:val="000000"/>
          <w:shd w:val="clear" w:color="auto" w:fill="FFFFFF"/>
        </w:rPr>
        <w:t xml:space="preserve"> pro nějž není možné najít </w:t>
      </w:r>
      <w:r w:rsidR="00825427">
        <w:rPr>
          <w:rFonts w:cs="Times New Roman"/>
          <w:color w:val="000000"/>
          <w:shd w:val="clear" w:color="auto" w:fill="FFFFFF"/>
        </w:rPr>
        <w:t>srovnatelné nemovitosti k porovnání</w:t>
      </w:r>
      <w:r>
        <w:rPr>
          <w:rFonts w:cs="Times New Roman"/>
          <w:color w:val="000000"/>
          <w:shd w:val="clear" w:color="auto" w:fill="FFFFFF"/>
        </w:rPr>
        <w:t xml:space="preserve">, může být stanovena cena zjištěná. </w:t>
      </w:r>
      <w:r w:rsidR="0083420F">
        <w:rPr>
          <w:rFonts w:cs="Times New Roman"/>
          <w:color w:val="000000"/>
          <w:shd w:val="clear" w:color="auto" w:fill="FFFFFF"/>
        </w:rPr>
        <w:t>Cena stanovená znaleckým posudkem je konečná. V případě, že podléhá získání potřebných práv koupí DPH</w:t>
      </w:r>
      <w:r w:rsidR="00784F66">
        <w:rPr>
          <w:rFonts w:cs="Times New Roman"/>
          <w:color w:val="000000"/>
          <w:shd w:val="clear" w:color="auto" w:fill="FFFFFF"/>
        </w:rPr>
        <w:t xml:space="preserve"> (prodávající je plátcem DPH)</w:t>
      </w:r>
      <w:r w:rsidR="0083420F">
        <w:rPr>
          <w:rFonts w:cs="Times New Roman"/>
          <w:color w:val="000000"/>
          <w:shd w:val="clear" w:color="auto" w:fill="FFFFFF"/>
        </w:rPr>
        <w:t>, pak je cena stanovená znaleckým posudkem cenou včetně DPH.</w:t>
      </w:r>
    </w:p>
    <w:p w14:paraId="515F4DA9" w14:textId="77777777" w:rsidR="00E612C0" w:rsidRDefault="00E612C0" w:rsidP="00FD1F7B">
      <w:pPr>
        <w:rPr>
          <w:rFonts w:cs="Times New Roman"/>
          <w:color w:val="000000"/>
          <w:shd w:val="clear" w:color="auto" w:fill="FFFFFF"/>
        </w:rPr>
      </w:pPr>
    </w:p>
    <w:p w14:paraId="50333F42" w14:textId="77777777" w:rsidR="00E612C0" w:rsidRDefault="00E612C0" w:rsidP="00E612C0">
      <w:pPr>
        <w:pStyle w:val="Odstavecseseznamem"/>
        <w:numPr>
          <w:ilvl w:val="0"/>
          <w:numId w:val="27"/>
        </w:numPr>
        <w:rPr>
          <w:rFonts w:cs="Times New Roman"/>
          <w:color w:val="000000"/>
          <w:shd w:val="clear" w:color="auto" w:fill="FFFFFF"/>
        </w:rPr>
      </w:pPr>
    </w:p>
    <w:p w14:paraId="590EB246" w14:textId="77777777" w:rsidR="00E612C0" w:rsidRDefault="00E612C0" w:rsidP="00E612C0">
      <w:pPr>
        <w:rPr>
          <w:rFonts w:cs="Times New Roman"/>
          <w:color w:val="000000"/>
          <w:shd w:val="clear" w:color="auto" w:fill="FFFFFF"/>
        </w:rPr>
      </w:pPr>
      <w:r>
        <w:rPr>
          <w:rFonts w:cs="Times New Roman"/>
          <w:color w:val="000000"/>
          <w:shd w:val="clear" w:color="auto" w:fill="FFFFFF"/>
        </w:rPr>
        <w:t>„</w:t>
      </w:r>
      <w:r w:rsidRPr="00E612C0">
        <w:rPr>
          <w:rFonts w:cs="Times New Roman"/>
          <w:color w:val="000000"/>
          <w:shd w:val="clear" w:color="auto" w:fill="FFFFFF"/>
        </w:rPr>
        <w:t>Obvyklá cena je určena jako … upravených sjednaných cen srovnatelných nemovitých věcí, který byl vynásoben započitatelnou výměrou pozemku.</w:t>
      </w:r>
      <w:r>
        <w:rPr>
          <w:rFonts w:cs="Times New Roman"/>
          <w:color w:val="000000"/>
          <w:shd w:val="clear" w:color="auto" w:fill="FFFFFF"/>
        </w:rPr>
        <w:t>“</w:t>
      </w:r>
    </w:p>
    <w:p w14:paraId="23DA0577" w14:textId="77777777" w:rsidR="00E612C0" w:rsidRDefault="00E612C0" w:rsidP="00E612C0">
      <w:pPr>
        <w:rPr>
          <w:rFonts w:cs="Times New Roman"/>
          <w:color w:val="000000"/>
          <w:shd w:val="clear" w:color="auto" w:fill="FFFFFF"/>
        </w:rPr>
      </w:pPr>
    </w:p>
    <w:p w14:paraId="7E107E7E" w14:textId="77777777" w:rsidR="00E612C0" w:rsidRPr="00E612C0" w:rsidRDefault="00E612C0" w:rsidP="00E612C0">
      <w:pPr>
        <w:rPr>
          <w:rFonts w:cs="Times New Roman"/>
          <w:color w:val="000000"/>
          <w:shd w:val="clear" w:color="auto" w:fill="FFFFFF"/>
        </w:rPr>
      </w:pPr>
      <w:r w:rsidRPr="00E612C0">
        <w:rPr>
          <w:rFonts w:cs="Times New Roman"/>
          <w:color w:val="000000"/>
          <w:shd w:val="clear" w:color="auto" w:fill="FFFFFF"/>
        </w:rPr>
        <w:t xml:space="preserve">Komentář: </w:t>
      </w:r>
      <w:r>
        <w:rPr>
          <w:rFonts w:cs="Times New Roman"/>
          <w:color w:val="000000"/>
          <w:shd w:val="clear" w:color="auto" w:fill="FFFFFF"/>
        </w:rPr>
        <w:t xml:space="preserve">např. aritmetický průměr, aritmetický průměr s vyloučením minimální a maximální hodnoty nebo medián nebo další způsoby. </w:t>
      </w:r>
      <w:r w:rsidRPr="00E612C0">
        <w:rPr>
          <w:rFonts w:cs="Times New Roman"/>
          <w:color w:val="000000"/>
          <w:shd w:val="clear" w:color="auto" w:fill="FFFFFF"/>
        </w:rPr>
        <w:t>Volba metody výpočtu závisí na volbě znalce, který toto rozhodnutí zdůvodní</w:t>
      </w:r>
      <w:r>
        <w:rPr>
          <w:rFonts w:cs="Times New Roman"/>
          <w:color w:val="000000"/>
          <w:shd w:val="clear" w:color="auto" w:fill="FFFFFF"/>
        </w:rPr>
        <w:t>.</w:t>
      </w:r>
    </w:p>
    <w:p w14:paraId="59D1A6ED" w14:textId="77777777" w:rsidR="00E612C0" w:rsidRPr="00E612C0" w:rsidRDefault="00E612C0" w:rsidP="00E612C0">
      <w:pPr>
        <w:rPr>
          <w:rFonts w:cs="Times New Roman"/>
          <w:color w:val="000000"/>
          <w:shd w:val="clear" w:color="auto" w:fill="FFFFFF"/>
        </w:rPr>
      </w:pPr>
    </w:p>
    <w:p w14:paraId="5AFDB560" w14:textId="77777777" w:rsidR="00E612C0" w:rsidRPr="00817962" w:rsidRDefault="00E612C0" w:rsidP="00FD1F7B">
      <w:pPr>
        <w:rPr>
          <w:rFonts w:cs="Times New Roman"/>
        </w:rPr>
      </w:pPr>
    </w:p>
    <w:sectPr w:rsidR="00E612C0" w:rsidRPr="00817962">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326625" w14:textId="77777777" w:rsidR="006F1C4E" w:rsidRDefault="006F1C4E">
      <w:r>
        <w:separator/>
      </w:r>
    </w:p>
  </w:endnote>
  <w:endnote w:type="continuationSeparator" w:id="0">
    <w:p w14:paraId="04CF80E4" w14:textId="77777777" w:rsidR="006F1C4E" w:rsidRDefault="006F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9889970"/>
      <w:docPartObj>
        <w:docPartGallery w:val="Page Numbers (Bottom of Page)"/>
        <w:docPartUnique/>
      </w:docPartObj>
    </w:sdtPr>
    <w:sdtEndPr/>
    <w:sdtContent>
      <w:p w14:paraId="6AAC4EEB" w14:textId="77777777" w:rsidR="00FD1F7B" w:rsidRDefault="00FD1F7B">
        <w:pPr>
          <w:pStyle w:val="Zpat"/>
          <w:jc w:val="right"/>
        </w:pPr>
        <w:r>
          <w:fldChar w:fldCharType="begin"/>
        </w:r>
        <w:r>
          <w:instrText>PAGE   \* MERGEFORMAT</w:instrText>
        </w:r>
        <w:r>
          <w:fldChar w:fldCharType="separate"/>
        </w:r>
        <w:r>
          <w:t>2</w:t>
        </w:r>
        <w:r>
          <w:fldChar w:fldCharType="end"/>
        </w:r>
      </w:p>
    </w:sdtContent>
  </w:sdt>
  <w:p w14:paraId="6F5C6CE7" w14:textId="77777777" w:rsidR="00FD1F7B" w:rsidRDefault="00FD1F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A8DA89" w14:textId="77777777" w:rsidR="006F1C4E" w:rsidRDefault="006F1C4E">
      <w:r>
        <w:separator/>
      </w:r>
    </w:p>
  </w:footnote>
  <w:footnote w:type="continuationSeparator" w:id="0">
    <w:p w14:paraId="32C53E21" w14:textId="77777777" w:rsidR="006F1C4E" w:rsidRDefault="006F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28D4C03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16302055" o:spid="_x0000_i1025" type="#_x0000_t75" style="width:11.25pt;height:12.75pt;visibility:visible;mso-wrap-style:square">
            <v:imagedata r:id="rId1" o:title=""/>
          </v:shape>
        </w:pict>
      </mc:Choice>
      <mc:Fallback>
        <w:drawing>
          <wp:inline distT="0" distB="0" distL="0" distR="0" wp14:anchorId="0FCF3958">
            <wp:extent cx="142875" cy="161925"/>
            <wp:effectExtent l="0" t="0" r="0" b="0"/>
            <wp:docPr id="316302055" name="Obrázek 3163020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2875" cy="161925"/>
                    </a:xfrm>
                    <a:prstGeom prst="rect">
                      <a:avLst/>
                    </a:prstGeom>
                    <a:noFill/>
                    <a:ln>
                      <a:noFill/>
                    </a:ln>
                  </pic:spPr>
                </pic:pic>
              </a:graphicData>
            </a:graphic>
          </wp:inline>
        </w:drawing>
      </mc:Fallback>
    </mc:AlternateContent>
  </w:numPicBullet>
  <w:abstractNum w:abstractNumId="0" w15:restartNumberingAfterBreak="0">
    <w:nsid w:val="FFFFFF7C"/>
    <w:multiLevelType w:val="singleLevel"/>
    <w:tmpl w:val="CE72A8C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5A09F9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B1E3F2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23EE47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2EE7DA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C32D59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38E9B0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2464C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4A8088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F8EAE7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BA668C3"/>
    <w:multiLevelType w:val="hybridMultilevel"/>
    <w:tmpl w:val="E8301668"/>
    <w:lvl w:ilvl="0" w:tplc="BA247898">
      <w:numFmt w:val="bullet"/>
      <w:lvlText w:val="-"/>
      <w:lvlJc w:val="left"/>
      <w:pPr>
        <w:ind w:left="720" w:hanging="360"/>
      </w:pPr>
      <w:rPr>
        <w:rFonts w:ascii="Trebuchet MS" w:eastAsia="Times New Roman" w:hAnsi="Trebuchet M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5D04BE8"/>
    <w:multiLevelType w:val="hybridMultilevel"/>
    <w:tmpl w:val="A8E009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222A3D"/>
    <w:multiLevelType w:val="hybridMultilevel"/>
    <w:tmpl w:val="0514188A"/>
    <w:lvl w:ilvl="0" w:tplc="769827AA">
      <w:numFmt w:val="bullet"/>
      <w:lvlText w:val="-"/>
      <w:lvlJc w:val="left"/>
      <w:pPr>
        <w:ind w:left="720" w:hanging="360"/>
      </w:pPr>
      <w:rPr>
        <w:rFonts w:ascii="Trebuchet MS" w:eastAsia="Times New Roman" w:hAnsi="Trebuchet M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474C69"/>
    <w:multiLevelType w:val="multilevel"/>
    <w:tmpl w:val="51B63C38"/>
    <w:lvl w:ilvl="0">
      <w:start w:val="1"/>
      <w:numFmt w:val="upperRoman"/>
      <w:pStyle w:val="NADPISBDO1"/>
      <w:lvlText w:val="%1."/>
      <w:lvlJc w:val="left"/>
      <w:pPr>
        <w:ind w:left="397" w:hanging="397"/>
      </w:pPr>
      <w:rPr>
        <w:rFonts w:hint="default"/>
      </w:rPr>
    </w:lvl>
    <w:lvl w:ilvl="1">
      <w:start w:val="1"/>
      <w:numFmt w:val="decimal"/>
      <w:pStyle w:val="PODNADPIS1"/>
      <w:isLgl/>
      <w:lvlText w:val="%1.%2"/>
      <w:lvlJc w:val="left"/>
      <w:pPr>
        <w:ind w:left="397" w:hanging="397"/>
      </w:pPr>
      <w:rPr>
        <w:rFonts w:hint="default"/>
      </w:rPr>
    </w:lvl>
    <w:lvl w:ilvl="2">
      <w:start w:val="1"/>
      <w:numFmt w:val="decimal"/>
      <w:pStyle w:val="PODNADPIS2"/>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15:restartNumberingAfterBreak="0">
    <w:nsid w:val="3707357A"/>
    <w:multiLevelType w:val="hybridMultilevel"/>
    <w:tmpl w:val="79A6330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C154369"/>
    <w:multiLevelType w:val="hybridMultilevel"/>
    <w:tmpl w:val="BD782C2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1A33A3E"/>
    <w:multiLevelType w:val="multilevel"/>
    <w:tmpl w:val="64D6BFF8"/>
    <w:lvl w:ilvl="0">
      <w:start w:val="1"/>
      <w:numFmt w:val="decimal"/>
      <w:pStyle w:val="SeznamVet"/>
      <w:lvlText w:val="%1."/>
      <w:lvlJc w:val="left"/>
      <w:pPr>
        <w:ind w:left="0" w:firstLine="0"/>
      </w:pPr>
      <w:rPr>
        <w:rFonts w:hint="default"/>
      </w:rPr>
    </w:lvl>
    <w:lvl w:ilvl="1">
      <w:start w:val="1"/>
      <w:numFmt w:val="decimal"/>
      <w:lvlText w:val="%1.%2."/>
      <w:lvlJc w:val="left"/>
      <w:pPr>
        <w:ind w:left="113" w:hanging="113"/>
      </w:pPr>
      <w:rPr>
        <w:rFonts w:hint="default"/>
      </w:rPr>
    </w:lvl>
    <w:lvl w:ilvl="2">
      <w:start w:val="1"/>
      <w:numFmt w:val="decimal"/>
      <w:lvlText w:val="%1.%2.%3."/>
      <w:lvlJc w:val="left"/>
      <w:pPr>
        <w:ind w:left="284" w:hanging="284"/>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47F7075C"/>
    <w:multiLevelType w:val="hybridMultilevel"/>
    <w:tmpl w:val="33CA405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9B86F31"/>
    <w:multiLevelType w:val="hybridMultilevel"/>
    <w:tmpl w:val="D9AE7F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F175CB6"/>
    <w:multiLevelType w:val="hybridMultilevel"/>
    <w:tmpl w:val="88C8D57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7B01B45"/>
    <w:multiLevelType w:val="hybridMultilevel"/>
    <w:tmpl w:val="84D6AA52"/>
    <w:lvl w:ilvl="0" w:tplc="09A44B76">
      <w:numFmt w:val="bullet"/>
      <w:lvlText w:val="-"/>
      <w:lvlJc w:val="left"/>
      <w:pPr>
        <w:ind w:left="720" w:hanging="360"/>
      </w:pPr>
      <w:rPr>
        <w:rFonts w:ascii="Trebuchet MS" w:eastAsia="Times New Roman" w:hAnsi="Trebuchet M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CF82958"/>
    <w:multiLevelType w:val="hybridMultilevel"/>
    <w:tmpl w:val="8ECCB8F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FD6885"/>
    <w:multiLevelType w:val="hybridMultilevel"/>
    <w:tmpl w:val="C720B1F2"/>
    <w:lvl w:ilvl="0" w:tplc="0426A806">
      <w:start w:val="1"/>
      <w:numFmt w:val="bullet"/>
      <w:pStyle w:val="Bezmezer"/>
      <w:lvlText w:val=""/>
      <w:lvlPicBulletId w:val="0"/>
      <w:lvlJc w:val="center"/>
      <w:pPr>
        <w:ind w:left="720" w:hanging="360"/>
      </w:pPr>
      <w:rPr>
        <w:rFonts w:ascii="Symbol" w:hAnsi="Symbol" w:hint="default"/>
        <w:color w:val="auto"/>
        <w:sz w:val="28"/>
        <w:szCs w:val="28"/>
      </w:rPr>
    </w:lvl>
    <w:lvl w:ilvl="1" w:tplc="4498FED0">
      <w:start w:val="1"/>
      <w:numFmt w:val="bullet"/>
      <w:lvlText w:val=""/>
      <w:lvlJc w:val="left"/>
      <w:pPr>
        <w:ind w:left="964" w:hanging="397"/>
      </w:pPr>
      <w:rPr>
        <w:rFonts w:ascii="Wingdings" w:hAnsi="Wingdings" w:hint="default"/>
        <w:caps w:val="0"/>
        <w:strike w:val="0"/>
        <w:dstrike w:val="0"/>
        <w:vanish w:val="0"/>
        <w:color w:val="D67900" w:themeColor="accent4"/>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D936892"/>
    <w:multiLevelType w:val="multilevel"/>
    <w:tmpl w:val="106A1300"/>
    <w:lvl w:ilvl="0">
      <w:start w:val="1"/>
      <w:numFmt w:val="decimal"/>
      <w:pStyle w:val="Odrkysmezer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76265EA3"/>
    <w:multiLevelType w:val="hybridMultilevel"/>
    <w:tmpl w:val="2B56DA2E"/>
    <w:lvl w:ilvl="0" w:tplc="463A85EC">
      <w:numFmt w:val="bullet"/>
      <w:lvlText w:val="-"/>
      <w:lvlJc w:val="left"/>
      <w:pPr>
        <w:ind w:left="720" w:hanging="360"/>
      </w:pPr>
      <w:rPr>
        <w:rFonts w:ascii="Trebuchet MS" w:eastAsia="Times New Roman" w:hAnsi="Trebuchet M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61225282">
    <w:abstractNumId w:val="22"/>
  </w:num>
  <w:num w:numId="2" w16cid:durableId="1925912904">
    <w:abstractNumId w:val="13"/>
  </w:num>
  <w:num w:numId="3" w16cid:durableId="1804083231">
    <w:abstractNumId w:val="13"/>
  </w:num>
  <w:num w:numId="4" w16cid:durableId="10448652">
    <w:abstractNumId w:val="16"/>
  </w:num>
  <w:num w:numId="5" w16cid:durableId="932593303">
    <w:abstractNumId w:val="13"/>
  </w:num>
  <w:num w:numId="6" w16cid:durableId="154683222">
    <w:abstractNumId w:val="23"/>
  </w:num>
  <w:num w:numId="7" w16cid:durableId="290088915">
    <w:abstractNumId w:val="8"/>
  </w:num>
  <w:num w:numId="8" w16cid:durableId="1083989670">
    <w:abstractNumId w:val="3"/>
  </w:num>
  <w:num w:numId="9" w16cid:durableId="1373918535">
    <w:abstractNumId w:val="2"/>
  </w:num>
  <w:num w:numId="10" w16cid:durableId="521357347">
    <w:abstractNumId w:val="1"/>
  </w:num>
  <w:num w:numId="11" w16cid:durableId="1239637768">
    <w:abstractNumId w:val="0"/>
  </w:num>
  <w:num w:numId="12" w16cid:durableId="856236660">
    <w:abstractNumId w:val="9"/>
  </w:num>
  <w:num w:numId="13" w16cid:durableId="1813479381">
    <w:abstractNumId w:val="7"/>
  </w:num>
  <w:num w:numId="14" w16cid:durableId="232476655">
    <w:abstractNumId w:val="6"/>
  </w:num>
  <w:num w:numId="15" w16cid:durableId="658269382">
    <w:abstractNumId w:val="5"/>
  </w:num>
  <w:num w:numId="16" w16cid:durableId="2064255163">
    <w:abstractNumId w:val="4"/>
  </w:num>
  <w:num w:numId="17" w16cid:durableId="1245184010">
    <w:abstractNumId w:val="15"/>
  </w:num>
  <w:num w:numId="18" w16cid:durableId="145440869">
    <w:abstractNumId w:val="24"/>
  </w:num>
  <w:num w:numId="19" w16cid:durableId="722484276">
    <w:abstractNumId w:val="18"/>
  </w:num>
  <w:num w:numId="20" w16cid:durableId="1811049663">
    <w:abstractNumId w:val="12"/>
  </w:num>
  <w:num w:numId="21" w16cid:durableId="894972041">
    <w:abstractNumId w:val="11"/>
  </w:num>
  <w:num w:numId="22" w16cid:durableId="578714031">
    <w:abstractNumId w:val="20"/>
  </w:num>
  <w:num w:numId="23" w16cid:durableId="1862356915">
    <w:abstractNumId w:val="10"/>
  </w:num>
  <w:num w:numId="24" w16cid:durableId="1671176441">
    <w:abstractNumId w:val="17"/>
  </w:num>
  <w:num w:numId="25" w16cid:durableId="197591862">
    <w:abstractNumId w:val="21"/>
  </w:num>
  <w:num w:numId="26" w16cid:durableId="1247689900">
    <w:abstractNumId w:val="19"/>
  </w:num>
  <w:num w:numId="27" w16cid:durableId="54611238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A67"/>
    <w:rsid w:val="000F42AB"/>
    <w:rsid w:val="0021749A"/>
    <w:rsid w:val="0024535C"/>
    <w:rsid w:val="002A3E8C"/>
    <w:rsid w:val="002B4DCA"/>
    <w:rsid w:val="00312701"/>
    <w:rsid w:val="0046057B"/>
    <w:rsid w:val="004F7B76"/>
    <w:rsid w:val="005449ED"/>
    <w:rsid w:val="005478F0"/>
    <w:rsid w:val="005A6B66"/>
    <w:rsid w:val="00630B91"/>
    <w:rsid w:val="00640FDC"/>
    <w:rsid w:val="00651FFE"/>
    <w:rsid w:val="00654EAE"/>
    <w:rsid w:val="00666BC9"/>
    <w:rsid w:val="006F1C4E"/>
    <w:rsid w:val="0075717C"/>
    <w:rsid w:val="00784F66"/>
    <w:rsid w:val="007A2A32"/>
    <w:rsid w:val="00802C5C"/>
    <w:rsid w:val="00817962"/>
    <w:rsid w:val="00825427"/>
    <w:rsid w:val="0083420F"/>
    <w:rsid w:val="00881CC1"/>
    <w:rsid w:val="00892A67"/>
    <w:rsid w:val="008A10A4"/>
    <w:rsid w:val="008C2846"/>
    <w:rsid w:val="00957592"/>
    <w:rsid w:val="009D2D68"/>
    <w:rsid w:val="009E6A14"/>
    <w:rsid w:val="00A150A2"/>
    <w:rsid w:val="00A4325A"/>
    <w:rsid w:val="00AD68CD"/>
    <w:rsid w:val="00B71433"/>
    <w:rsid w:val="00C656E2"/>
    <w:rsid w:val="00D158D6"/>
    <w:rsid w:val="00D77180"/>
    <w:rsid w:val="00DB797F"/>
    <w:rsid w:val="00DD60EC"/>
    <w:rsid w:val="00E612C0"/>
    <w:rsid w:val="00FD1F7B"/>
    <w:rsid w:val="00FF49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80F9C"/>
  <w15:chartTrackingRefBased/>
  <w15:docId w15:val="{2AC48BDD-A5D7-411F-8275-D67D798DE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TEXT"/>
    <w:rsid w:val="00892A67"/>
    <w:pPr>
      <w:jc w:val="both"/>
    </w:pPr>
    <w:rPr>
      <w:rFonts w:ascii="Trebuchet MS" w:eastAsia="Times New Roman" w:hAnsi="Trebuchet MS" w:cs="Arial"/>
      <w:color w:val="404040"/>
      <w:lang w:eastAsia="cs-CZ"/>
    </w:rPr>
  </w:style>
  <w:style w:type="paragraph" w:styleId="Nadpis1">
    <w:name w:val="heading 1"/>
    <w:basedOn w:val="Normln"/>
    <w:next w:val="Normln"/>
    <w:link w:val="Nadpis1Char"/>
    <w:uiPriority w:val="9"/>
    <w:rsid w:val="00630B91"/>
    <w:pPr>
      <w:keepNext/>
      <w:keepLines/>
      <w:spacing w:before="240"/>
      <w:outlineLvl w:val="0"/>
    </w:pPr>
    <w:rPr>
      <w:rFonts w:asciiTheme="majorHAnsi" w:eastAsiaTheme="majorEastAsia" w:hAnsiTheme="majorHAnsi" w:cstheme="majorBidi"/>
      <w:color w:val="AF112A" w:themeColor="accent1" w:themeShade="BF"/>
      <w:sz w:val="32"/>
      <w:szCs w:val="32"/>
    </w:rPr>
  </w:style>
  <w:style w:type="paragraph" w:styleId="Nadpis2">
    <w:name w:val="heading 2"/>
    <w:basedOn w:val="Normln"/>
    <w:next w:val="Normln"/>
    <w:link w:val="Nadpis2Char"/>
    <w:uiPriority w:val="9"/>
    <w:semiHidden/>
    <w:unhideWhenUsed/>
    <w:rsid w:val="000F42AB"/>
    <w:pPr>
      <w:keepNext/>
      <w:keepLines/>
      <w:spacing w:before="40"/>
      <w:outlineLvl w:val="1"/>
    </w:pPr>
    <w:rPr>
      <w:rFonts w:asciiTheme="majorHAnsi" w:eastAsiaTheme="majorEastAsia" w:hAnsiTheme="majorHAnsi" w:cstheme="majorBidi"/>
      <w:color w:val="AF112A" w:themeColor="accent1" w:themeShade="BF"/>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30B91"/>
    <w:rPr>
      <w:rFonts w:asciiTheme="majorHAnsi" w:eastAsiaTheme="majorEastAsia" w:hAnsiTheme="majorHAnsi" w:cstheme="majorBidi"/>
      <w:color w:val="AF112A" w:themeColor="accent1" w:themeShade="BF"/>
      <w:sz w:val="32"/>
      <w:szCs w:val="32"/>
    </w:rPr>
  </w:style>
  <w:style w:type="paragraph" w:customStyle="1" w:styleId="Odrkysmezerami">
    <w:name w:val="Odrážky s mezerami"/>
    <w:basedOn w:val="Bezmezer"/>
    <w:uiPriority w:val="1"/>
    <w:qFormat/>
    <w:rsid w:val="000F42AB"/>
    <w:pPr>
      <w:numPr>
        <w:numId w:val="6"/>
      </w:numPr>
      <w:spacing w:after="120"/>
      <w:ind w:left="357" w:hanging="357"/>
      <w:contextualSpacing/>
    </w:pPr>
    <w:rPr>
      <w:rFonts w:eastAsiaTheme="minorEastAsia"/>
      <w:color w:val="404040"/>
      <w:szCs w:val="22"/>
    </w:rPr>
  </w:style>
  <w:style w:type="paragraph" w:styleId="Bezmezer">
    <w:name w:val="No Spacing"/>
    <w:aliases w:val="Odrážky"/>
    <w:uiPriority w:val="1"/>
    <w:qFormat/>
    <w:rsid w:val="00A150A2"/>
    <w:pPr>
      <w:numPr>
        <w:numId w:val="1"/>
      </w:numPr>
    </w:pPr>
    <w:rPr>
      <w:color w:val="000000" w:themeColor="text1"/>
    </w:rPr>
  </w:style>
  <w:style w:type="paragraph" w:styleId="Odstavecseseznamem">
    <w:name w:val="List Paragraph"/>
    <w:basedOn w:val="Normln"/>
    <w:link w:val="OdstavecseseznamemChar"/>
    <w:uiPriority w:val="34"/>
    <w:qFormat/>
    <w:rsid w:val="000F42AB"/>
    <w:pPr>
      <w:spacing w:after="120"/>
      <w:ind w:left="720"/>
      <w:contextualSpacing/>
    </w:pPr>
    <w:rPr>
      <w:rFonts w:eastAsiaTheme="minorEastAsia"/>
      <w:szCs w:val="22"/>
    </w:rPr>
  </w:style>
  <w:style w:type="character" w:customStyle="1" w:styleId="OdstavecseseznamemChar">
    <w:name w:val="Odstavec se seznamem Char"/>
    <w:basedOn w:val="Standardnpsmoodstavce"/>
    <w:link w:val="Odstavecseseznamem"/>
    <w:uiPriority w:val="34"/>
    <w:rsid w:val="000F42AB"/>
    <w:rPr>
      <w:rFonts w:asciiTheme="minorHAnsi" w:eastAsiaTheme="minorEastAsia" w:hAnsiTheme="minorHAnsi"/>
      <w:color w:val="404040"/>
      <w:szCs w:val="22"/>
      <w:lang w:eastAsia="cs-CZ"/>
    </w:rPr>
  </w:style>
  <w:style w:type="paragraph" w:customStyle="1" w:styleId="PODNADPIS1">
    <w:name w:val="PODNADPIS 1"/>
    <w:basedOn w:val="Nadpis2"/>
    <w:next w:val="Normln"/>
    <w:link w:val="PODNADPIS1Char"/>
    <w:qFormat/>
    <w:rsid w:val="00802C5C"/>
    <w:pPr>
      <w:numPr>
        <w:ilvl w:val="1"/>
        <w:numId w:val="5"/>
      </w:numPr>
      <w:spacing w:before="0" w:after="120"/>
    </w:pPr>
    <w:rPr>
      <w:b/>
      <w:bCs/>
      <w:caps/>
      <w:color w:val="5B6E7F" w:themeColor="accent2"/>
      <w:sz w:val="22"/>
    </w:rPr>
  </w:style>
  <w:style w:type="character" w:customStyle="1" w:styleId="PODNADPIS1Char">
    <w:name w:val="PODNADPIS 1 Char"/>
    <w:basedOn w:val="OdstavecseseznamemChar"/>
    <w:link w:val="PODNADPIS1"/>
    <w:rsid w:val="00802C5C"/>
    <w:rPr>
      <w:rFonts w:asciiTheme="majorHAnsi" w:eastAsiaTheme="majorEastAsia" w:hAnsiTheme="majorHAnsi" w:cstheme="majorBidi"/>
      <w:b/>
      <w:bCs/>
      <w:caps/>
      <w:color w:val="5B6E7F" w:themeColor="accent2"/>
      <w:sz w:val="22"/>
      <w:szCs w:val="26"/>
      <w:lang w:eastAsia="cs-CZ"/>
    </w:rPr>
  </w:style>
  <w:style w:type="character" w:customStyle="1" w:styleId="Nadpis2Char">
    <w:name w:val="Nadpis 2 Char"/>
    <w:basedOn w:val="Standardnpsmoodstavce"/>
    <w:link w:val="Nadpis2"/>
    <w:uiPriority w:val="9"/>
    <w:semiHidden/>
    <w:rsid w:val="000F42AB"/>
    <w:rPr>
      <w:rFonts w:asciiTheme="majorHAnsi" w:eastAsiaTheme="majorEastAsia" w:hAnsiTheme="majorHAnsi" w:cstheme="majorBidi"/>
      <w:color w:val="AF112A" w:themeColor="accent1" w:themeShade="BF"/>
      <w:sz w:val="26"/>
      <w:szCs w:val="26"/>
    </w:rPr>
  </w:style>
  <w:style w:type="paragraph" w:customStyle="1" w:styleId="PODNADPIS2">
    <w:name w:val="PODNADPIS 2"/>
    <w:basedOn w:val="Odstavecseseznamem"/>
    <w:next w:val="Normln"/>
    <w:link w:val="PODNADPIS2Char"/>
    <w:qFormat/>
    <w:rsid w:val="000F42AB"/>
    <w:pPr>
      <w:numPr>
        <w:ilvl w:val="2"/>
        <w:numId w:val="5"/>
      </w:numPr>
      <w:outlineLvl w:val="2"/>
    </w:pPr>
  </w:style>
  <w:style w:type="character" w:customStyle="1" w:styleId="PODNADPIS2Char">
    <w:name w:val="PODNADPIS 2 Char"/>
    <w:basedOn w:val="OdstavecseseznamemChar"/>
    <w:link w:val="PODNADPIS2"/>
    <w:rsid w:val="000F42AB"/>
    <w:rPr>
      <w:rFonts w:asciiTheme="minorHAnsi" w:eastAsiaTheme="minorEastAsia" w:hAnsiTheme="minorHAnsi"/>
      <w:color w:val="404040"/>
      <w:szCs w:val="22"/>
      <w:lang w:eastAsia="cs-CZ"/>
    </w:rPr>
  </w:style>
  <w:style w:type="paragraph" w:styleId="Seznam">
    <w:name w:val="List"/>
    <w:basedOn w:val="Normln"/>
    <w:uiPriority w:val="99"/>
    <w:semiHidden/>
    <w:unhideWhenUsed/>
    <w:rsid w:val="000F42AB"/>
    <w:pPr>
      <w:spacing w:after="120"/>
      <w:ind w:left="283" w:hanging="283"/>
      <w:contextualSpacing/>
    </w:pPr>
    <w:rPr>
      <w:rFonts w:eastAsiaTheme="minorEastAsia"/>
      <w:szCs w:val="22"/>
    </w:rPr>
  </w:style>
  <w:style w:type="paragraph" w:customStyle="1" w:styleId="SeznamVet">
    <w:name w:val="Seznam/Výčet"/>
    <w:basedOn w:val="Seznam"/>
    <w:uiPriority w:val="1"/>
    <w:qFormat/>
    <w:rsid w:val="000F42AB"/>
    <w:pPr>
      <w:numPr>
        <w:numId w:val="4"/>
      </w:numPr>
    </w:pPr>
  </w:style>
  <w:style w:type="paragraph" w:customStyle="1" w:styleId="NADPISBDO1">
    <w:name w:val="NADPIS BDO 1"/>
    <w:basedOn w:val="Odstavecseseznamem"/>
    <w:next w:val="Normln"/>
    <w:link w:val="NADPISBDO1Char"/>
    <w:qFormat/>
    <w:rsid w:val="00802C5C"/>
    <w:pPr>
      <w:numPr>
        <w:numId w:val="5"/>
      </w:numPr>
      <w:contextualSpacing w:val="0"/>
      <w:outlineLvl w:val="0"/>
    </w:pPr>
    <w:rPr>
      <w:b/>
      <w:caps/>
      <w:color w:val="E81A3B" w:themeColor="accent1"/>
      <w:sz w:val="24"/>
    </w:rPr>
  </w:style>
  <w:style w:type="character" w:customStyle="1" w:styleId="NADPISBDO1Char">
    <w:name w:val="NADPIS BDO 1 Char"/>
    <w:basedOn w:val="OdstavecseseznamemChar"/>
    <w:link w:val="NADPISBDO1"/>
    <w:rsid w:val="00802C5C"/>
    <w:rPr>
      <w:rFonts w:asciiTheme="minorHAnsi" w:eastAsiaTheme="minorEastAsia" w:hAnsiTheme="minorHAnsi"/>
      <w:b/>
      <w:caps/>
      <w:color w:val="E81A3B" w:themeColor="accent1"/>
      <w:sz w:val="24"/>
      <w:szCs w:val="22"/>
      <w:lang w:eastAsia="cs-CZ"/>
    </w:rPr>
  </w:style>
  <w:style w:type="character" w:styleId="Hypertextovodkaz">
    <w:name w:val="Hyperlink"/>
    <w:basedOn w:val="Standardnpsmoodstavce"/>
    <w:uiPriority w:val="99"/>
    <w:qFormat/>
    <w:rsid w:val="00802C5C"/>
    <w:rPr>
      <w:color w:val="98002E" w:themeColor="accent3"/>
      <w:u w:val="single"/>
    </w:rPr>
  </w:style>
  <w:style w:type="character" w:styleId="Sledovanodkaz">
    <w:name w:val="FollowedHyperlink"/>
    <w:basedOn w:val="Standardnpsmoodstavce"/>
    <w:uiPriority w:val="25"/>
    <w:qFormat/>
    <w:rsid w:val="004F7B76"/>
    <w:rPr>
      <w:color w:val="98002E" w:themeColor="accent3"/>
      <w:u w:val="single"/>
    </w:rPr>
  </w:style>
  <w:style w:type="paragraph" w:styleId="Zpat">
    <w:name w:val="footer"/>
    <w:basedOn w:val="Normln"/>
    <w:link w:val="ZpatChar"/>
    <w:uiPriority w:val="99"/>
    <w:rsid w:val="00892A67"/>
    <w:pPr>
      <w:tabs>
        <w:tab w:val="center" w:pos="4536"/>
        <w:tab w:val="right" w:pos="9072"/>
      </w:tabs>
    </w:pPr>
  </w:style>
  <w:style w:type="character" w:customStyle="1" w:styleId="ZpatChar">
    <w:name w:val="Zápatí Char"/>
    <w:basedOn w:val="Standardnpsmoodstavce"/>
    <w:link w:val="Zpat"/>
    <w:uiPriority w:val="99"/>
    <w:rsid w:val="00892A67"/>
    <w:rPr>
      <w:rFonts w:ascii="Trebuchet MS" w:eastAsia="Times New Roman" w:hAnsi="Trebuchet MS" w:cs="Arial"/>
      <w:color w:val="404040"/>
      <w:lang w:eastAsia="cs-CZ"/>
    </w:rPr>
  </w:style>
  <w:style w:type="paragraph" w:customStyle="1" w:styleId="BDObodytext">
    <w:name w:val="BDO_body text"/>
    <w:basedOn w:val="Normln"/>
    <w:link w:val="BDObodytextChar"/>
    <w:qFormat/>
    <w:rsid w:val="00957592"/>
    <w:pPr>
      <w:jc w:val="left"/>
    </w:pPr>
    <w:rPr>
      <w:color w:val="auto"/>
    </w:rPr>
  </w:style>
  <w:style w:type="character" w:customStyle="1" w:styleId="BDObodytextChar">
    <w:name w:val="BDO_body text Char"/>
    <w:basedOn w:val="Standardnpsmoodstavce"/>
    <w:link w:val="BDObodytext"/>
    <w:rsid w:val="00957592"/>
    <w:rPr>
      <w:rFonts w:ascii="Trebuchet MS" w:eastAsia="Times New Roman" w:hAnsi="Trebuchet MS" w:cs="Arial"/>
      <w:lang w:eastAsia="cs-CZ"/>
    </w:rPr>
  </w:style>
  <w:style w:type="character" w:styleId="PromnnHTML">
    <w:name w:val="HTML Variable"/>
    <w:basedOn w:val="Standardnpsmoodstavce"/>
    <w:uiPriority w:val="99"/>
    <w:semiHidden/>
    <w:unhideWhenUsed/>
    <w:rsid w:val="007A2A32"/>
    <w:rPr>
      <w:i/>
      <w:iCs/>
    </w:rPr>
  </w:style>
  <w:style w:type="paragraph" w:styleId="Revize">
    <w:name w:val="Revision"/>
    <w:hidden/>
    <w:uiPriority w:val="99"/>
    <w:semiHidden/>
    <w:rsid w:val="009D2D68"/>
    <w:rPr>
      <w:rFonts w:ascii="Trebuchet MS" w:eastAsia="Times New Roman" w:hAnsi="Trebuchet MS" w:cs="Arial"/>
      <w:color w:val="404040"/>
      <w:lang w:eastAsia="cs-CZ"/>
    </w:rPr>
  </w:style>
  <w:style w:type="paragraph" w:customStyle="1" w:styleId="RLProhlensmluvnchstran">
    <w:name w:val="RL Prohlášení smluvních stran"/>
    <w:basedOn w:val="Normln"/>
    <w:link w:val="RLProhlensmluvnchstranChar"/>
    <w:uiPriority w:val="99"/>
    <w:rsid w:val="00C656E2"/>
    <w:pPr>
      <w:spacing w:after="120" w:line="280" w:lineRule="exact"/>
      <w:jc w:val="center"/>
    </w:pPr>
    <w:rPr>
      <w:rFonts w:ascii="Garamond" w:hAnsi="Garamond" w:cs="Garamond"/>
      <w:b/>
      <w:bCs/>
      <w:color w:val="auto"/>
      <w:sz w:val="24"/>
      <w:szCs w:val="24"/>
    </w:rPr>
  </w:style>
  <w:style w:type="character" w:customStyle="1" w:styleId="RLProhlensmluvnchstranChar">
    <w:name w:val="RL Prohlášení smluvních stran Char"/>
    <w:link w:val="RLProhlensmluvnchstran"/>
    <w:uiPriority w:val="99"/>
    <w:locked/>
    <w:rsid w:val="00C656E2"/>
    <w:rPr>
      <w:rFonts w:ascii="Garamond" w:eastAsia="Times New Roman" w:hAnsi="Garamond" w:cs="Garamond"/>
      <w:b/>
      <w:bCs/>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Word-2020">
  <a:themeElements>
    <a:clrScheme name="bdo 2024">
      <a:dk1>
        <a:sysClr val="windowText" lastClr="000000"/>
      </a:dk1>
      <a:lt1>
        <a:sysClr val="window" lastClr="FFFFFF"/>
      </a:lt1>
      <a:dk2>
        <a:srgbClr val="333333"/>
      </a:dk2>
      <a:lt2>
        <a:srgbClr val="F2F2F2"/>
      </a:lt2>
      <a:accent1>
        <a:srgbClr val="E81A3B"/>
      </a:accent1>
      <a:accent2>
        <a:srgbClr val="5B6E7F"/>
      </a:accent2>
      <a:accent3>
        <a:srgbClr val="98002E"/>
      </a:accent3>
      <a:accent4>
        <a:srgbClr val="D67900"/>
      </a:accent4>
      <a:accent5>
        <a:srgbClr val="009966"/>
      </a:accent5>
      <a:accent6>
        <a:srgbClr val="008FD2"/>
      </a:accent6>
      <a:hlink>
        <a:srgbClr val="0062B8"/>
      </a:hlink>
      <a:folHlink>
        <a:srgbClr val="0062B8"/>
      </a:folHlink>
    </a:clrScheme>
    <a:fontScheme name="BDO">
      <a:majorFont>
        <a:latin typeface="Trebuchet MS"/>
        <a:ea typeface=""/>
        <a:cs typeface=""/>
      </a:majorFont>
      <a:minorFont>
        <a:latin typeface="Trebuchet MS"/>
        <a:ea typeface=""/>
        <a:cs typeface=""/>
      </a:minorFont>
    </a:fontScheme>
    <a:fmtScheme name="BDO">
      <a:fillStyleLst>
        <a:solidFill>
          <a:schemeClr val="phClr"/>
        </a:solidFill>
        <a:gradFill rotWithShape="1">
          <a:gsLst>
            <a:gs pos="20000">
              <a:schemeClr val="phClr">
                <a:tint val="9000"/>
              </a:schemeClr>
            </a:gs>
            <a:gs pos="100000">
              <a:schemeClr val="phClr">
                <a:tint val="70000"/>
                <a:satMod val="100000"/>
              </a:schemeClr>
            </a:gs>
          </a:gsLst>
          <a:path path="circle">
            <a:fillToRect l="-15000" t="-15000" r="115000" b="115000"/>
          </a:path>
        </a:gradFill>
        <a:gradFill rotWithShape="1">
          <a:gsLst>
            <a:gs pos="0">
              <a:schemeClr val="phClr">
                <a:shade val="60000"/>
              </a:schemeClr>
            </a:gs>
            <a:gs pos="33000">
              <a:schemeClr val="phClr">
                <a:tint val="86500"/>
              </a:schemeClr>
            </a:gs>
            <a:gs pos="46750">
              <a:schemeClr val="phClr">
                <a:tint val="71000"/>
                <a:satMod val="112000"/>
              </a:schemeClr>
            </a:gs>
            <a:gs pos="53000">
              <a:schemeClr val="phClr">
                <a:tint val="71000"/>
                <a:satMod val="112000"/>
              </a:schemeClr>
            </a:gs>
            <a:gs pos="68000">
              <a:schemeClr val="phClr">
                <a:tint val="86000"/>
              </a:schemeClr>
            </a:gs>
            <a:gs pos="100000">
              <a:schemeClr val="phClr">
                <a:shade val="60000"/>
              </a:schemeClr>
            </a:gs>
          </a:gsLst>
          <a:lin ang="8350000" scaled="1"/>
        </a:gradFill>
      </a:fillStyleLst>
      <a:lnStyleLst>
        <a:ln w="9525" cap="flat" cmpd="sng" algn="ctr">
          <a:solidFill>
            <a:schemeClr val="phClr">
              <a:shade val="48000"/>
              <a:satMod val="110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130000" dist="101600" dir="2700000" algn="tl" rotWithShape="0">
              <a:srgbClr val="000000">
                <a:alpha val="35000"/>
              </a:srgbClr>
            </a:outerShdw>
          </a:effectLst>
        </a:effectStyle>
        <a:effectStyle>
          <a:effectLst>
            <a:outerShdw blurRad="190500" dist="228600" dir="2700000" sy="90000" rotWithShape="0">
              <a:srgbClr val="000000">
                <a:alpha val="25500"/>
              </a:srgbClr>
            </a:outerShdw>
          </a:effectLst>
        </a:effectStyle>
        <a:effectStyle>
          <a:effectLst>
            <a:outerShdw blurRad="190500" dist="228600" dir="2700000" sy="90000" rotWithShape="0">
              <a:srgbClr val="000000">
                <a:alpha val="25500"/>
              </a:srgbClr>
            </a:outerShdw>
          </a:effectLst>
          <a:scene3d>
            <a:camera prst="orthographicFront">
              <a:rot lat="0" lon="0" rev="0"/>
            </a:camera>
            <a:lightRig rig="soft" dir="tl">
              <a:rot lat="0" lon="0" rev="20100000"/>
            </a:lightRig>
          </a:scene3d>
          <a:sp3d>
            <a:bevelT w="50800" h="50800"/>
          </a:sp3d>
        </a:effectStyle>
      </a:effectStyleLst>
      <a:bgFillStyleLst>
        <a:solidFill>
          <a:schemeClr val="phClr"/>
        </a:solidFill>
        <a:gradFill rotWithShape="1">
          <a:gsLst>
            <a:gs pos="0">
              <a:schemeClr val="phClr">
                <a:tint val="50000"/>
                <a:satMod val="180000"/>
              </a:schemeClr>
            </a:gs>
            <a:gs pos="100000">
              <a:schemeClr val="phClr">
                <a:shade val="45000"/>
                <a:satMod val="120000"/>
              </a:schemeClr>
            </a:gs>
          </a:gsLst>
          <a:path path="circle">
            <a:fillToRect r="100000" b="100000"/>
          </a:path>
        </a:gradFill>
        <a:solidFill>
          <a:schemeClr val="phClr"/>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3035</Characters>
  <Application>Microsoft Office Word</Application>
  <DocSecurity>4</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Štěpánka Kopecká</dc:creator>
  <cp:keywords/>
  <dc:description/>
  <cp:lastModifiedBy>Klomfarová Jana, Ing.</cp:lastModifiedBy>
  <cp:revision>2</cp:revision>
  <dcterms:created xsi:type="dcterms:W3CDTF">2025-03-10T13:38:00Z</dcterms:created>
  <dcterms:modified xsi:type="dcterms:W3CDTF">2025-03-10T13:38:00Z</dcterms:modified>
</cp:coreProperties>
</file>