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0E666F65" w:rsidR="00503B7A" w:rsidRDefault="00503B7A" w:rsidP="00A850B7">
      <w:pPr>
        <w:pStyle w:val="Podnadpissmlouva"/>
        <w:spacing w:before="0"/>
        <w:jc w:val="left"/>
        <w:rPr>
          <w:highlight w:val="green"/>
        </w:rPr>
      </w:pPr>
      <w:r w:rsidRPr="00A850B7">
        <w:t xml:space="preserve">Číslo smlouvy </w:t>
      </w:r>
      <w:r w:rsidR="00E174B0" w:rsidRPr="00A850B7">
        <w:t>O</w:t>
      </w:r>
      <w:r w:rsidRPr="00A850B7">
        <w:t>bjednatele</w:t>
      </w:r>
      <w:r w:rsidR="00042631" w:rsidRPr="00A850B7">
        <w:t xml:space="preserve">: </w:t>
      </w:r>
      <w:bookmarkStart w:id="0" w:name="_Hlk158806171"/>
      <w:r w:rsidR="00A850B7" w:rsidRPr="00440000">
        <w:rPr>
          <w:highlight w:val="cyan"/>
        </w:rPr>
        <w:t>[</w:t>
      </w:r>
      <w:r w:rsidR="00A850B7">
        <w:rPr>
          <w:highlight w:val="cyan"/>
        </w:rPr>
        <w:t>VLOŽÍ</w:t>
      </w:r>
      <w:r w:rsidR="00A850B7" w:rsidRPr="00440000">
        <w:rPr>
          <w:highlight w:val="cyan"/>
        </w:rPr>
        <w:t xml:space="preserve"> OBJEDNATEL]</w:t>
      </w:r>
      <w:bookmarkEnd w:id="0"/>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3C206F8E" w14:textId="28280C70" w:rsidR="00A850B7" w:rsidRPr="00A850B7" w:rsidRDefault="00A850B7" w:rsidP="00A850B7">
      <w:pPr>
        <w:pStyle w:val="Podnadpissmlouva"/>
        <w:spacing w:before="0"/>
        <w:jc w:val="left"/>
        <w:rPr>
          <w:highlight w:val="yellow"/>
        </w:rPr>
      </w:pPr>
      <w:r w:rsidRPr="00A850B7">
        <w:t xml:space="preserve">Č.j.: </w:t>
      </w:r>
      <w:r w:rsidRPr="00440000">
        <w:rPr>
          <w:highlight w:val="cyan"/>
        </w:rPr>
        <w:t>[</w:t>
      </w:r>
      <w:r>
        <w:rPr>
          <w:highlight w:val="cyan"/>
        </w:rPr>
        <w:t>VLOŽÍ</w:t>
      </w:r>
      <w:r w:rsidRPr="00440000">
        <w:rPr>
          <w:highlight w:val="cyan"/>
        </w:rPr>
        <w:t xml:space="preserve"> OBJEDNATEL]</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21655D45" w14:textId="77777777" w:rsidR="00A850B7" w:rsidRPr="004E1498" w:rsidRDefault="00A850B7" w:rsidP="00A850B7">
      <w:pPr>
        <w:pStyle w:val="Objednatel"/>
      </w:pPr>
      <w:r w:rsidRPr="00FE6D8C">
        <w:rPr>
          <w:rStyle w:val="Siln"/>
        </w:rPr>
        <w:t>Objednatel:</w:t>
      </w:r>
      <w:r>
        <w:tab/>
      </w:r>
      <w:r w:rsidRPr="00FE6D8C">
        <w:rPr>
          <w:rStyle w:val="Siln"/>
        </w:rPr>
        <w:t>Správa železnic, státní organizace</w:t>
      </w:r>
    </w:p>
    <w:p w14:paraId="48B7F436" w14:textId="77777777" w:rsidR="00A850B7" w:rsidRPr="004E1498" w:rsidRDefault="00A850B7" w:rsidP="00A850B7">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42094C8" w14:textId="77777777" w:rsidR="00A850B7" w:rsidRPr="004E1498" w:rsidRDefault="00A850B7" w:rsidP="00A850B7">
      <w:pPr>
        <w:pStyle w:val="Identifikace"/>
      </w:pPr>
      <w:r w:rsidRPr="004E1498">
        <w:t>Praha 1 - Nové Město, Dlážděná 1003/7, PSČ 110 00</w:t>
      </w:r>
    </w:p>
    <w:p w14:paraId="00F89C58" w14:textId="77777777" w:rsidR="00A850B7" w:rsidRDefault="00A850B7" w:rsidP="00A850B7">
      <w:pPr>
        <w:pStyle w:val="Identifikace"/>
      </w:pPr>
      <w:r w:rsidRPr="004E1498">
        <w:t>IČO 70994234, DIČ CZ70994234</w:t>
      </w:r>
    </w:p>
    <w:p w14:paraId="5C928DB8" w14:textId="77777777" w:rsidR="00A850B7" w:rsidRDefault="00A850B7" w:rsidP="00A850B7">
      <w:pPr>
        <w:pStyle w:val="Identifikace"/>
      </w:pPr>
      <w:r>
        <w:t xml:space="preserve">Identifikátor datové schránky: </w:t>
      </w:r>
      <w:proofErr w:type="spellStart"/>
      <w:r>
        <w:t>uccchjm</w:t>
      </w:r>
      <w:proofErr w:type="spellEnd"/>
    </w:p>
    <w:p w14:paraId="7D53BD0F" w14:textId="77777777" w:rsidR="00A850B7" w:rsidRDefault="00A850B7" w:rsidP="00A850B7">
      <w:pPr>
        <w:pStyle w:val="Identifikace"/>
        <w:tabs>
          <w:tab w:val="clear" w:pos="2126"/>
        </w:tabs>
        <w:ind w:left="0"/>
      </w:pPr>
      <w:r>
        <w:t>Organizační jednotka Objednatele</w:t>
      </w:r>
    </w:p>
    <w:p w14:paraId="1088DF5D" w14:textId="77777777" w:rsidR="00A850B7" w:rsidRDefault="00A850B7" w:rsidP="00A850B7">
      <w:pPr>
        <w:pStyle w:val="Identifikace"/>
        <w:tabs>
          <w:tab w:val="clear" w:pos="2126"/>
        </w:tabs>
        <w:ind w:left="2127"/>
      </w:pPr>
      <w:r>
        <w:t>Oblastní ředitelství Hradec Králové</w:t>
      </w:r>
    </w:p>
    <w:p w14:paraId="6DEDB073" w14:textId="77777777" w:rsidR="00A850B7" w:rsidRPr="004E1498" w:rsidRDefault="00A850B7" w:rsidP="00A850B7">
      <w:pPr>
        <w:pStyle w:val="Identifikace"/>
        <w:tabs>
          <w:tab w:val="clear" w:pos="2126"/>
        </w:tabs>
        <w:ind w:left="2127"/>
      </w:pPr>
      <w:r>
        <w:t>U Fotochemy 259, 501 01 Hradec Králové</w:t>
      </w:r>
    </w:p>
    <w:p w14:paraId="5297186C" w14:textId="77777777" w:rsidR="00A850B7" w:rsidRDefault="00A850B7" w:rsidP="00A850B7">
      <w:pPr>
        <w:pStyle w:val="Identifikace"/>
      </w:pPr>
      <w:r>
        <w:t>zastoupená Ing.</w:t>
      </w:r>
      <w:r w:rsidRPr="00F076A0">
        <w:t xml:space="preserve"> </w:t>
      </w:r>
      <w:r>
        <w:t>Pavlou Kosinovou, ředitelkou Oblastního ředitelství Hradec Králové, na základě pověření č. 3430 ze dne 12. 12. 2023</w:t>
      </w:r>
    </w:p>
    <w:p w14:paraId="0990CFC3" w14:textId="77777777" w:rsidR="00A850B7" w:rsidRPr="00B81406" w:rsidRDefault="00A850B7" w:rsidP="00A850B7">
      <w:pPr>
        <w:pStyle w:val="Identifikace"/>
        <w:tabs>
          <w:tab w:val="clear" w:pos="2126"/>
        </w:tabs>
        <w:ind w:left="0"/>
        <w:rPr>
          <w:b/>
          <w:bCs/>
        </w:rPr>
      </w:pPr>
      <w:r w:rsidRPr="00B81406">
        <w:rPr>
          <w:b/>
          <w:bCs/>
        </w:rPr>
        <w:t>Korespondenční adresa</w:t>
      </w:r>
    </w:p>
    <w:p w14:paraId="137F2E3B" w14:textId="77777777" w:rsidR="00A850B7" w:rsidRDefault="00A850B7" w:rsidP="00A850B7">
      <w:pPr>
        <w:pStyle w:val="Identifikace"/>
        <w:tabs>
          <w:tab w:val="clear" w:pos="2126"/>
        </w:tabs>
        <w:ind w:left="0"/>
        <w:contextualSpacing/>
      </w:pPr>
      <w:r>
        <w:t>Správa železnic, státní organizace</w:t>
      </w:r>
    </w:p>
    <w:p w14:paraId="111D3E5D" w14:textId="77777777" w:rsidR="00A850B7" w:rsidRDefault="00A850B7" w:rsidP="00A850B7">
      <w:pPr>
        <w:pStyle w:val="Identifikace"/>
        <w:tabs>
          <w:tab w:val="clear" w:pos="2126"/>
        </w:tabs>
        <w:ind w:left="0"/>
        <w:contextualSpacing/>
      </w:pPr>
      <w:r>
        <w:t>Oblastní ředitelství Hradec Králové</w:t>
      </w:r>
    </w:p>
    <w:p w14:paraId="29EE40B7" w14:textId="77777777" w:rsidR="00A850B7" w:rsidRPr="004E1498" w:rsidRDefault="00A850B7" w:rsidP="00A850B7">
      <w:pPr>
        <w:pStyle w:val="Identifikace"/>
        <w:tabs>
          <w:tab w:val="clear" w:pos="2126"/>
        </w:tabs>
        <w:spacing w:before="0"/>
        <w:ind w:left="0"/>
      </w:pPr>
      <w:r>
        <w:t>U Fotochemy 259, 501 01 Hradec Králové</w:t>
      </w:r>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proofErr w:type="gramStart"/>
      <w:r w:rsidRPr="00321172">
        <w:rPr>
          <w:highlight w:val="green"/>
        </w:rPr>
        <w:t>…</w:t>
      </w:r>
      <w:r w:rsidR="00F664E5" w:rsidRPr="00321172">
        <w:rPr>
          <w:highlight w:val="green"/>
        </w:rPr>
        <w:t>….</w:t>
      </w:r>
      <w:proofErr w:type="gramEnd"/>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042F7A04" w:rsidR="006062F9" w:rsidRPr="006062F9" w:rsidRDefault="00681E37" w:rsidP="00297F9D">
      <w:pPr>
        <w:pStyle w:val="Preambule"/>
      </w:pPr>
      <w:r w:rsidRPr="00012C60">
        <w:t xml:space="preserve">Tato Smlouva je uzavřena na základě výsledků </w:t>
      </w:r>
      <w:r w:rsidRPr="005C1739">
        <w:t>výběrového</w:t>
      </w:r>
      <w:r w:rsidRPr="00012C60">
        <w:t xml:space="preserve"> řízení veřejné zakázky s názvem</w:t>
      </w:r>
      <w:r w:rsidRPr="004E1498">
        <w:t xml:space="preserve"> </w:t>
      </w:r>
      <w:r w:rsidRPr="00FE6D8C">
        <w:t>„</w:t>
      </w:r>
      <w:r w:rsidRPr="00681E37">
        <w:rPr>
          <w:b/>
          <w:bCs/>
        </w:rPr>
        <w:t xml:space="preserve">Oprava trati v úseku </w:t>
      </w:r>
      <w:r w:rsidR="007A5AEB" w:rsidRPr="00681E37">
        <w:rPr>
          <w:b/>
          <w:bCs/>
        </w:rPr>
        <w:t>Tanvald – Kořenov</w:t>
      </w:r>
      <w:r w:rsidRPr="00440000">
        <w:rPr>
          <w:b/>
          <w:bCs/>
        </w:rPr>
        <w:t xml:space="preserve"> </w:t>
      </w:r>
      <w:r>
        <w:rPr>
          <w:b/>
          <w:bCs/>
        </w:rPr>
        <w:t>–</w:t>
      </w:r>
      <w:r w:rsidRPr="00440000">
        <w:rPr>
          <w:b/>
          <w:bCs/>
        </w:rPr>
        <w:t xml:space="preserve"> </w:t>
      </w:r>
      <w:r>
        <w:rPr>
          <w:b/>
          <w:bCs/>
        </w:rPr>
        <w:t xml:space="preserve">podpora </w:t>
      </w:r>
      <w:r w:rsidRPr="00440000">
        <w:rPr>
          <w:b/>
          <w:bCs/>
        </w:rPr>
        <w:t>TDS</w:t>
      </w:r>
      <w:r w:rsidRPr="006062F9">
        <w:t xml:space="preserve">“, č. j. veřejné zakázky: </w:t>
      </w:r>
      <w:r w:rsidR="00B4599F" w:rsidRPr="00B4599F">
        <w:t>29936/2024-SŽ-OŘ HKR-</w:t>
      </w:r>
      <w:proofErr w:type="spellStart"/>
      <w:r w:rsidR="00B4599F" w:rsidRPr="00B4599F">
        <w:t>NPI</w:t>
      </w:r>
      <w:proofErr w:type="spellEnd"/>
      <w:r w:rsidR="00B4599F">
        <w:t xml:space="preserve"> </w:t>
      </w:r>
      <w:r w:rsidRPr="006062F9">
        <w:t>(dále jen „</w:t>
      </w:r>
      <w:r w:rsidRPr="00FE6D8C">
        <w:rPr>
          <w:rStyle w:val="Kurzvatun"/>
          <w:rFonts w:eastAsiaTheme="minorHAnsi"/>
        </w:rPr>
        <w:t>Veřejná zakázka</w:t>
      </w:r>
      <w:r w:rsidRPr="006062F9">
        <w:t xml:space="preserve">“). Jednotlivá ustanovení této </w:t>
      </w:r>
      <w:r>
        <w:t>Smlou</w:t>
      </w:r>
      <w:r w:rsidRPr="006062F9">
        <w:t xml:space="preserve">vy tak budou vykládána v souladu se zadávacími podmínkami </w:t>
      </w:r>
      <w:r>
        <w:t>V</w:t>
      </w:r>
      <w:r w:rsidRPr="006062F9">
        <w:t xml:space="preserve">eřejné zakázky. </w:t>
      </w:r>
      <w:r w:rsidR="006062F9" w:rsidRPr="006062F9">
        <w:t xml:space="preserve">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lastRenderedPageBreak/>
        <w:t>Předmět služeb</w:t>
      </w:r>
    </w:p>
    <w:p w14:paraId="3D7FF1BD" w14:textId="3DE7B335" w:rsidR="00681E37" w:rsidRPr="00681E37" w:rsidRDefault="00681E37" w:rsidP="00681E37">
      <w:pPr>
        <w:pStyle w:val="Nadpis2"/>
      </w:pPr>
      <w:r w:rsidRPr="00681E37">
        <w:t>Předmětem služeb je podpora TDS a</w:t>
      </w:r>
      <w:r w:rsidR="00133826">
        <w:t xml:space="preserve"> další související </w:t>
      </w:r>
      <w:r w:rsidR="002D23BD">
        <w:t>činnosti</w:t>
      </w:r>
      <w:r w:rsidR="002D23BD" w:rsidRPr="00681E37">
        <w:t xml:space="preserve"> při</w:t>
      </w:r>
      <w:r w:rsidRPr="00681E37">
        <w:t xml:space="preserve"> realizaci stavby „Oprava trati v úseku </w:t>
      </w:r>
      <w:r w:rsidR="00B174F8" w:rsidRPr="00681E37">
        <w:t>Tanvald – Kořenov</w:t>
      </w:r>
      <w:r w:rsidRPr="00681E37">
        <w:t>“ (dále jen „stavba“).</w:t>
      </w:r>
    </w:p>
    <w:p w14:paraId="768442F8" w14:textId="77777777" w:rsidR="00681E37" w:rsidRPr="00B174F8" w:rsidRDefault="00681E37" w:rsidP="00681E37">
      <w:pPr>
        <w:pStyle w:val="Nadpis2"/>
      </w:pPr>
      <w:r w:rsidRPr="00681E37">
        <w:t xml:space="preserve">Předmět služeb je blíže specifikován v bližší specifikaci předmětu plnění, která je přílohou </w:t>
      </w:r>
      <w:r w:rsidRPr="00B174F8">
        <w:t>č. 2 této Smlouvy.</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02B23A8D" w14:textId="45686E7F" w:rsidR="00681E37" w:rsidRDefault="00681E37" w:rsidP="00681E37">
      <w:pPr>
        <w:pStyle w:val="Nadpis2"/>
      </w:pPr>
      <w:r>
        <w:t xml:space="preserve">Objednatel </w:t>
      </w:r>
      <w:r w:rsidRPr="007C5459">
        <w:t xml:space="preserve">se zavazuje zaplatit </w:t>
      </w:r>
      <w:r>
        <w:t>Poskytovateli</w:t>
      </w:r>
      <w:r w:rsidRPr="007C5459">
        <w:t xml:space="preserve"> cenu za provedení </w:t>
      </w:r>
      <w:r w:rsidR="0072631F">
        <w:t>předmětu služeb</w:t>
      </w:r>
      <w:r w:rsidRPr="007C5459">
        <w:t xml:space="preserve">. Cena za </w:t>
      </w:r>
      <w:r>
        <w:t>poskytování služeb</w:t>
      </w:r>
      <w:r w:rsidRPr="007C5459">
        <w:t xml:space="preserve"> bude stanovena dle </w:t>
      </w:r>
      <w:r w:rsidRPr="00B174F8">
        <w:t>jednotkov</w:t>
      </w:r>
      <w:r w:rsidR="00984D92">
        <w:t>é</w:t>
      </w:r>
      <w:r w:rsidRPr="00B174F8">
        <w:t xml:space="preserve"> cen</w:t>
      </w:r>
      <w:r w:rsidR="00984D92">
        <w:t>y</w:t>
      </w:r>
      <w:r w:rsidRPr="00B174F8">
        <w:t xml:space="preserve"> v příloze č. 3 této Smlouvy a množství skutečně realizovaných jednotkových položek v příloze č. 3 této Smlouvy. Podkladem pro určení množství skutečně realizovaných jednotkových položek budou předávací protokoly podepsané oběma smluvními stranami. Pro určení výše smluvních pokut a všude tam, kde Smlouva stanovuje</w:t>
      </w:r>
      <w:r w:rsidRPr="007C5459">
        <w:t xml:space="preserve"> pro určení obsahu nebo rozsahu práv či povinností smluvních stran jako výchozí hodnotu </w:t>
      </w:r>
      <w:r w:rsidRPr="00B174F8">
        <w:t>výši Ceny služeb</w:t>
      </w:r>
      <w:r w:rsidRPr="007C5459">
        <w:t xml:space="preserve"> (příp.</w:t>
      </w:r>
      <w:r>
        <w:t> </w:t>
      </w:r>
      <w:r w:rsidRPr="007C5459">
        <w:t xml:space="preserve">ceny dle této smlouvy), se použije Nabídková cena celkem uvedená </w:t>
      </w:r>
      <w:r w:rsidR="002B11D9">
        <w:t>Poskytovatelem</w:t>
      </w:r>
      <w:r w:rsidRPr="007C5459">
        <w:t xml:space="preserve"> v jeho nabídce na formuláři Ceník </w:t>
      </w:r>
      <w:r w:rsidR="00984D92">
        <w:t>služeb</w:t>
      </w:r>
      <w:r w:rsidR="00984D92" w:rsidRPr="007C5459">
        <w:t xml:space="preserve"> </w:t>
      </w:r>
      <w:r>
        <w:t>nabídka.</w:t>
      </w:r>
    </w:p>
    <w:p w14:paraId="23A2FF24" w14:textId="77777777" w:rsidR="006062F9" w:rsidRPr="006062F9" w:rsidRDefault="006062F9" w:rsidP="00297F9D">
      <w:pPr>
        <w:pStyle w:val="Nadpis1"/>
      </w:pPr>
      <w:r w:rsidRPr="006062F9">
        <w:t xml:space="preserve">Fakturace </w:t>
      </w:r>
    </w:p>
    <w:p w14:paraId="2D85D3E0" w14:textId="565DC384" w:rsidR="006062F9" w:rsidRPr="00756EFE" w:rsidRDefault="006062F9" w:rsidP="00297F9D">
      <w:pPr>
        <w:pStyle w:val="Nadpis3"/>
        <w:rPr>
          <w:rFonts w:ascii="Calibri" w:hAnsi="Calibri"/>
          <w:sz w:val="22"/>
          <w:szCs w:val="22"/>
        </w:rPr>
      </w:pPr>
      <w:r w:rsidRPr="00756EFE">
        <w:t xml:space="preserve">Fakturace za provedenou </w:t>
      </w:r>
      <w:r w:rsidR="004E7B39" w:rsidRPr="00756EFE">
        <w:rPr>
          <w:rFonts w:cs="Calibri"/>
        </w:rPr>
        <w:t>službu</w:t>
      </w:r>
      <w:r w:rsidRPr="00756EFE">
        <w:rPr>
          <w:rFonts w:cs="Calibri"/>
          <w:b/>
        </w:rPr>
        <w:t xml:space="preserve"> </w:t>
      </w:r>
      <w:r w:rsidRPr="00756EFE">
        <w:t xml:space="preserve">bude provedena na základě faktury vystavené Poskytovatelem, a to vždy na základě skutečně provedených služeb, po jejich dokončení a převzetí ze strany Objednatele, na základě </w:t>
      </w:r>
      <w:r w:rsidR="00756EFE" w:rsidRPr="00756EFE">
        <w:t xml:space="preserve">předávacího protokolu </w:t>
      </w:r>
      <w:r w:rsidRPr="00756EFE">
        <w:t>podepsan</w:t>
      </w:r>
      <w:r w:rsidR="00183915">
        <w:t>ého</w:t>
      </w:r>
      <w:r w:rsidRPr="00756EFE">
        <w:t xml:space="preserve"> oběma smluvními stranami.</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6DBD4B24" w14:textId="00B1078C" w:rsidR="00756EFE" w:rsidRDefault="00756EFE" w:rsidP="00321172">
      <w:pPr>
        <w:pStyle w:val="Nadpis2"/>
        <w:widowControl w:val="0"/>
      </w:pPr>
      <w:r w:rsidRPr="00756EFE">
        <w:rPr>
          <w:bCs/>
        </w:rPr>
        <w:t>Místo plnění</w:t>
      </w:r>
      <w:r w:rsidRPr="001A6F12">
        <w:t xml:space="preserve"> je</w:t>
      </w:r>
      <w:r w:rsidR="0065212A">
        <w:t>: trať 548C Tanvald – Harrachov st.hr. v úseku Tanvald – Kořenov km 27,533 – 34,115 v Libereckém kraji.</w:t>
      </w:r>
    </w:p>
    <w:p w14:paraId="4AE0DFE4" w14:textId="2F6A5BAA" w:rsidR="004E1498" w:rsidRPr="006062F9" w:rsidRDefault="00E73DA0" w:rsidP="00321172">
      <w:pPr>
        <w:pStyle w:val="Nadpis2"/>
        <w:widowControl w:val="0"/>
      </w:pPr>
      <w:r w:rsidRPr="006062F9">
        <w:t>Poskytovatel je povinen provádět</w:t>
      </w:r>
      <w:r w:rsidR="004E1498" w:rsidRPr="006062F9">
        <w:t xml:space="preserve"> </w:t>
      </w:r>
      <w:r w:rsidRPr="006062F9">
        <w:t>Předmět služeb</w:t>
      </w:r>
      <w:r w:rsidR="004E1498" w:rsidRPr="006062F9">
        <w:t xml:space="preserve"> </w:t>
      </w:r>
      <w:r w:rsidR="00EE40E9" w:rsidRPr="00EE40E9">
        <w:t xml:space="preserve">od uveřejnění této Smlouvy v registru smluv do </w:t>
      </w:r>
      <w:r w:rsidR="00EE40E9">
        <w:t>20</w:t>
      </w:r>
      <w:r w:rsidR="00EE40E9" w:rsidRPr="00EE40E9">
        <w:t xml:space="preserve"> měsíců od zahájení stavebních prací na realizaci VZ </w:t>
      </w:r>
      <w:r w:rsidR="00EE40E9" w:rsidRPr="00681E37">
        <w:t xml:space="preserve">Oprava trati v úseku </w:t>
      </w:r>
      <w:r w:rsidR="00600050" w:rsidRPr="00681E37">
        <w:t>Tanvald – Kořenov</w:t>
      </w:r>
      <w:r w:rsidR="00EE40E9" w:rsidRPr="00EE40E9">
        <w:t xml:space="preserve"> (předpoklad zahájení je </w:t>
      </w:r>
      <w:r w:rsidR="00EE40E9">
        <w:t>10</w:t>
      </w:r>
      <w:r w:rsidR="00EE40E9" w:rsidRPr="00EE40E9">
        <w:t>/2024).</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1D81C67D" w:rsidR="00B66E16" w:rsidRPr="004E1498" w:rsidRDefault="00B66E16" w:rsidP="00321172">
      <w:pPr>
        <w:pStyle w:val="Nadpis2"/>
        <w:widowControl w:val="0"/>
      </w:pPr>
      <w:r w:rsidRPr="00600050">
        <w:t xml:space="preserve">Na provedení </w:t>
      </w:r>
      <w:r w:rsidR="004E7B39" w:rsidRPr="00600050">
        <w:t xml:space="preserve">předmětu služeb </w:t>
      </w:r>
      <w:r w:rsidRPr="00600050">
        <w:t>se budou podílet poddodavatelé uvedení v příloze č</w:t>
      </w:r>
      <w:r w:rsidR="00985507" w:rsidRPr="00600050">
        <w:t xml:space="preserve">. </w:t>
      </w:r>
      <w:r w:rsidR="002624E1" w:rsidRPr="00600050">
        <w:t>4</w:t>
      </w:r>
      <w:r w:rsidRPr="00600050">
        <w:t xml:space="preserve"> této</w:t>
      </w:r>
      <w:r>
        <w:t xml:space="preserve"> S</w:t>
      </w:r>
      <w:r w:rsidRPr="004E1498">
        <w:t xml:space="preserve">mlouvy. </w:t>
      </w:r>
    </w:p>
    <w:p w14:paraId="0B49AA5D" w14:textId="3C469089" w:rsidR="00B66E16" w:rsidRDefault="00B66E16" w:rsidP="00297F9D">
      <w:pPr>
        <w:widowControl w:val="0"/>
        <w:spacing w:after="0" w:line="240" w:lineRule="auto"/>
        <w:ind w:left="709"/>
        <w:contextualSpacing/>
        <w:rPr>
          <w:rFonts w:eastAsia="Times New Roman" w:cs="Times New Roman"/>
          <w:lang w:eastAsia="cs-CZ"/>
        </w:rPr>
      </w:pPr>
      <w:r w:rsidRPr="002624E1">
        <w:rPr>
          <w:rFonts w:eastAsia="Times New Roman" w:cs="Times New Roman"/>
          <w:highlight w:val="yellow"/>
          <w:lang w:eastAsia="cs-CZ"/>
        </w:rPr>
        <w:t xml:space="preserve">(jestliže se na provedení </w:t>
      </w:r>
      <w:r w:rsidR="00BC3B69" w:rsidRPr="002624E1">
        <w:rPr>
          <w:rFonts w:eastAsia="Times New Roman" w:cs="Times New Roman"/>
          <w:highlight w:val="yellow"/>
          <w:lang w:eastAsia="cs-CZ"/>
        </w:rPr>
        <w:t>Služeb</w:t>
      </w:r>
      <w:r w:rsidRPr="002624E1">
        <w:rPr>
          <w:rFonts w:eastAsia="Times New Roman" w:cs="Times New Roman"/>
          <w:highlight w:val="yellow"/>
          <w:lang w:eastAsia="cs-CZ"/>
        </w:rPr>
        <w:t xml:space="preserve"> nebudou podílet poddodavatelé, dodavatel do bodu </w:t>
      </w:r>
      <w:r w:rsidR="00183915">
        <w:rPr>
          <w:rFonts w:eastAsia="Times New Roman" w:cs="Times New Roman"/>
          <w:highlight w:val="yellow"/>
          <w:lang w:eastAsia="cs-CZ"/>
        </w:rPr>
        <w:t>6</w:t>
      </w:r>
      <w:r w:rsidRPr="002624E1">
        <w:rPr>
          <w:rFonts w:eastAsia="Times New Roman" w:cs="Times New Roman"/>
          <w:highlight w:val="yellow"/>
          <w:lang w:eastAsia="cs-CZ"/>
        </w:rPr>
        <w:t xml:space="preserve">.1 napíše: „Na provedení </w:t>
      </w:r>
      <w:r w:rsidR="00BC3B69" w:rsidRPr="002624E1">
        <w:rPr>
          <w:rFonts w:eastAsia="Times New Roman" w:cs="Times New Roman"/>
          <w:highlight w:val="yellow"/>
          <w:lang w:eastAsia="cs-CZ"/>
        </w:rPr>
        <w:t>Služeb</w:t>
      </w:r>
      <w:r w:rsidRPr="002624E1">
        <w:rPr>
          <w:rFonts w:eastAsia="Times New Roman" w:cs="Times New Roman"/>
          <w:highlight w:val="yellow"/>
          <w:lang w:eastAsia="cs-CZ"/>
        </w:rPr>
        <w:t xml:space="preserve"> se nebudou podílet poddodavatelé a vymaže položku</w:t>
      </w:r>
      <w:r w:rsidR="00183915">
        <w:rPr>
          <w:rFonts w:eastAsia="Times New Roman" w:cs="Times New Roman"/>
          <w:highlight w:val="yellow"/>
          <w:lang w:eastAsia="cs-CZ"/>
        </w:rPr>
        <w:t xml:space="preserve"> č. 4</w:t>
      </w:r>
      <w:r w:rsidRPr="002624E1">
        <w:rPr>
          <w:rFonts w:eastAsia="Times New Roman" w:cs="Times New Roman"/>
          <w:highlight w:val="yellow"/>
          <w:lang w:eastAsia="cs-CZ"/>
        </w:rPr>
        <w:t xml:space="preserve"> ze seznamu příloh).</w:t>
      </w:r>
    </w:p>
    <w:p w14:paraId="2419675C" w14:textId="351DA0C5" w:rsidR="00B66E16" w:rsidRPr="004B330C" w:rsidRDefault="00B66E16" w:rsidP="00321172">
      <w:pPr>
        <w:pStyle w:val="Nadpis2"/>
        <w:widowControl w:val="0"/>
      </w:pPr>
      <w:r w:rsidRPr="002624E1">
        <w:t xml:space="preserve">Na provedení </w:t>
      </w:r>
      <w:r w:rsidR="004E7B39" w:rsidRPr="002624E1">
        <w:t>předmětu služeb</w:t>
      </w:r>
      <w:r w:rsidRPr="002624E1">
        <w:t xml:space="preserve"> se budou podílet členové realizačního týmu uvedení </w:t>
      </w:r>
      <w:r w:rsidRPr="00600050">
        <w:t>v příloze č</w:t>
      </w:r>
      <w:r w:rsidR="002624E1" w:rsidRPr="00600050">
        <w:t xml:space="preserve">. 5 </w:t>
      </w:r>
      <w:r w:rsidRPr="00600050">
        <w:t>této</w:t>
      </w:r>
      <w:r w:rsidRPr="004B330C">
        <w:t xml:space="preserve"> Smlouvy.</w:t>
      </w:r>
    </w:p>
    <w:p w14:paraId="7D9F0963" w14:textId="35F9511F" w:rsidR="00B66E16" w:rsidRPr="004B330C" w:rsidRDefault="004E7B39" w:rsidP="00321172">
      <w:pPr>
        <w:pStyle w:val="Nadpis2"/>
        <w:widowControl w:val="0"/>
      </w:pPr>
      <w:r w:rsidRPr="004B330C">
        <w:t>Poskytovatel</w:t>
      </w:r>
      <w:r w:rsidR="00B66E16" w:rsidRPr="004B330C">
        <w:t xml:space="preserve"> může v průběhu plnění Předmětu </w:t>
      </w:r>
      <w:r w:rsidR="00BC3B69" w:rsidRPr="004B330C">
        <w:t>služeb</w:t>
      </w:r>
      <w:r w:rsidR="00B66E16" w:rsidRPr="004B330C">
        <w:t xml:space="preserve"> nahradit některé osoby z osob, uvedených v seznamu realizačního týmu </w:t>
      </w:r>
      <w:r w:rsidR="00B66E16" w:rsidRPr="00600050">
        <w:t xml:space="preserve">dle přílohy </w:t>
      </w:r>
      <w:r w:rsidR="006203C3" w:rsidRPr="00600050">
        <w:t>č</w:t>
      </w:r>
      <w:r w:rsidR="00B66E16" w:rsidRPr="00600050">
        <w:t>.</w:t>
      </w:r>
      <w:r w:rsidR="004B330C" w:rsidRPr="00600050">
        <w:t xml:space="preserve"> 5</w:t>
      </w:r>
      <w:r w:rsidR="00B66E16" w:rsidRPr="00600050">
        <w:t xml:space="preserve"> této Smlouvy, pouze po předchozím souhlasu Objednatele na základě písemné žádosti </w:t>
      </w:r>
      <w:r w:rsidRPr="00600050">
        <w:t>Poskytovatel</w:t>
      </w:r>
      <w:r w:rsidR="00B66E16" w:rsidRPr="00600050">
        <w:t>e</w:t>
      </w:r>
      <w:r w:rsidR="00B66E16" w:rsidRPr="004B330C">
        <w:t xml:space="preserve">. V případě, že </w:t>
      </w:r>
      <w:r w:rsidRPr="004B330C">
        <w:t>Poskytovatel</w:t>
      </w:r>
      <w:r w:rsidR="00B66E16" w:rsidRPr="004B330C">
        <w:t xml:space="preserve"> požádá o změnu některých členů realizačního týmu uvedeného v</w:t>
      </w:r>
      <w:r w:rsidR="007A5AEB">
        <w:t> </w:t>
      </w:r>
      <w:r w:rsidR="00B66E16" w:rsidRPr="004B330C">
        <w:t>příloze</w:t>
      </w:r>
      <w:r w:rsidR="007A5AEB">
        <w:t> </w:t>
      </w:r>
      <w:r w:rsidR="00B66E16" w:rsidRPr="004B330C">
        <w:t>č</w:t>
      </w:r>
      <w:r w:rsidR="007A5AEB">
        <w:t>. 5</w:t>
      </w:r>
      <w:r w:rsidR="00B66E16" w:rsidRPr="004B330C">
        <w:t xml:space="preserve"> této Smlouvy, musí tato osoba, splňovat kvalifikaci požadovanou </w:t>
      </w:r>
      <w:r w:rsidR="00E64568" w:rsidRPr="004B330C">
        <w:t>ve Veřejné zakázce</w:t>
      </w:r>
      <w:r w:rsidR="00B66E16" w:rsidRPr="004B330C">
        <w:t>. Změna osoby nepodléhá povinnosti uzavřít dodatek ke Smlouvě a proběhne na</w:t>
      </w:r>
      <w:r w:rsidR="007A5AEB">
        <w:t> </w:t>
      </w:r>
      <w:r w:rsidR="00B66E16" w:rsidRPr="004B330C">
        <w:t>základě písemného souhlasu Objednatele s touto změnou.</w:t>
      </w:r>
    </w:p>
    <w:p w14:paraId="21F816C5"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66893902" w14:textId="48D52E03" w:rsidR="007A5AEB" w:rsidRDefault="00E73DA0" w:rsidP="007A5AEB">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7FDDFE49" w14:textId="77777777" w:rsidR="00517984" w:rsidRDefault="004E1498" w:rsidP="00321172">
      <w:pPr>
        <w:pStyle w:val="Nadpis3"/>
        <w:widowControl w:val="0"/>
      </w:pPr>
      <w:r w:rsidRPr="007F3CD3">
        <w:t xml:space="preserve">za Objednatele </w:t>
      </w:r>
    </w:p>
    <w:p w14:paraId="5A0E8142" w14:textId="77777777" w:rsidR="00517984" w:rsidRPr="005C1739" w:rsidRDefault="00517984" w:rsidP="00517984">
      <w:pPr>
        <w:ind w:left="709"/>
        <w:rPr>
          <w:b/>
          <w:bCs/>
          <w:lang w:eastAsia="cs-CZ"/>
        </w:rPr>
      </w:pPr>
      <w:r w:rsidRPr="005C1739">
        <w:rPr>
          <w:b/>
          <w:bCs/>
          <w:lang w:eastAsia="cs-CZ"/>
        </w:rPr>
        <w:t>ve věcech smluvních</w:t>
      </w:r>
    </w:p>
    <w:p w14:paraId="7981AFF1" w14:textId="77777777" w:rsidR="00517984" w:rsidRDefault="00517984" w:rsidP="00517984">
      <w:pPr>
        <w:ind w:left="709"/>
        <w:rPr>
          <w:lang w:eastAsia="cs-CZ"/>
        </w:rPr>
      </w:pPr>
      <w:r>
        <w:rPr>
          <w:lang w:eastAsia="cs-CZ"/>
        </w:rPr>
        <w:lastRenderedPageBreak/>
        <w:t xml:space="preserve">Ing. Jan Jirowetz, tel. 724 594 500, e-mail </w:t>
      </w:r>
      <w:r w:rsidRPr="00BB7930">
        <w:rPr>
          <w:lang w:eastAsia="cs-CZ"/>
        </w:rPr>
        <w:t>Jirowetz@spravazeleznic.cz</w:t>
      </w:r>
      <w:r>
        <w:rPr>
          <w:lang w:eastAsia="cs-CZ"/>
        </w:rPr>
        <w:t xml:space="preserve"> </w:t>
      </w:r>
    </w:p>
    <w:p w14:paraId="7F47B120" w14:textId="77777777" w:rsidR="00517984" w:rsidRPr="007A5AEB" w:rsidRDefault="00517984" w:rsidP="00517984">
      <w:pPr>
        <w:ind w:left="709"/>
        <w:rPr>
          <w:b/>
          <w:bCs/>
          <w:lang w:eastAsia="cs-CZ"/>
        </w:rPr>
      </w:pPr>
      <w:r w:rsidRPr="007A5AEB">
        <w:rPr>
          <w:b/>
          <w:bCs/>
          <w:lang w:eastAsia="cs-CZ"/>
        </w:rPr>
        <w:t>ve věcech technických</w:t>
      </w:r>
    </w:p>
    <w:p w14:paraId="7C630D23" w14:textId="77777777" w:rsidR="00517984" w:rsidRPr="007A5AEB" w:rsidRDefault="00517984" w:rsidP="00517984">
      <w:pPr>
        <w:ind w:left="709"/>
        <w:rPr>
          <w:rStyle w:val="Hypertextovodkaz"/>
          <w:lang w:eastAsia="cs-CZ"/>
        </w:rPr>
      </w:pPr>
      <w:r w:rsidRPr="007A5AEB">
        <w:rPr>
          <w:lang w:eastAsia="cs-CZ"/>
        </w:rPr>
        <w:t>Robert Bayer, DiS., tel. 972 365 506 e-mail Bayer@spravazeleznic.cz</w:t>
      </w:r>
    </w:p>
    <w:p w14:paraId="7EFBE2EF" w14:textId="77777777" w:rsidR="00517984" w:rsidRPr="007A5AEB" w:rsidRDefault="00517984" w:rsidP="00517984">
      <w:pPr>
        <w:ind w:left="709"/>
        <w:rPr>
          <w:lang w:eastAsia="cs-CZ"/>
        </w:rPr>
      </w:pPr>
      <w:r w:rsidRPr="007A5AEB">
        <w:rPr>
          <w:lang w:eastAsia="cs-CZ"/>
        </w:rPr>
        <w:t xml:space="preserve">Jaroslav Čepelík, tel. 607 544 929, e-mail Cepelik@spravazeleznic.cz </w:t>
      </w:r>
    </w:p>
    <w:p w14:paraId="203DE855" w14:textId="77777777" w:rsidR="00517984" w:rsidRPr="007A5AEB" w:rsidRDefault="00517984" w:rsidP="00517984">
      <w:pPr>
        <w:ind w:left="709"/>
        <w:rPr>
          <w:b/>
          <w:bCs/>
          <w:lang w:eastAsia="cs-CZ"/>
        </w:rPr>
      </w:pPr>
      <w:r w:rsidRPr="007A5AEB">
        <w:rPr>
          <w:b/>
          <w:bCs/>
          <w:lang w:eastAsia="cs-CZ"/>
        </w:rPr>
        <w:t>Technický dozor stavebníka</w:t>
      </w:r>
    </w:p>
    <w:p w14:paraId="64A3C5A4" w14:textId="5AFDED71" w:rsidR="00A25248" w:rsidRDefault="00A25248" w:rsidP="00A25248">
      <w:pPr>
        <w:pStyle w:val="Textbezodsazen"/>
        <w:ind w:left="1418" w:hanging="851"/>
      </w:pPr>
      <w:bookmarkStart w:id="1" w:name="_Hlk129334671"/>
      <w:r>
        <w:t xml:space="preserve">   Janda Jaroslav</w:t>
      </w:r>
      <w:r w:rsidRPr="000577BB">
        <w:t>,</w:t>
      </w:r>
      <w:r>
        <w:t xml:space="preserve"> </w:t>
      </w:r>
      <w:r w:rsidRPr="000577BB">
        <w:t xml:space="preserve">tel.: </w:t>
      </w:r>
      <w:r w:rsidRPr="00600EC3">
        <w:t>+420 972 365</w:t>
      </w:r>
      <w:r>
        <w:t> </w:t>
      </w:r>
      <w:r w:rsidRPr="00600EC3">
        <w:t>145</w:t>
      </w:r>
      <w:r>
        <w:t>,</w:t>
      </w:r>
      <w:r w:rsidRPr="000577BB">
        <w:t xml:space="preserve"> e-mail</w:t>
      </w:r>
      <w:r>
        <w:t xml:space="preserve"> </w:t>
      </w:r>
      <w:r w:rsidRPr="00A25248">
        <w:rPr>
          <w:lang w:eastAsia="cs-CZ"/>
        </w:rPr>
        <w:t>JandaJ@spravazeleznic.cz</w:t>
      </w:r>
      <w:bookmarkEnd w:id="1"/>
    </w:p>
    <w:p w14:paraId="1C513CD4" w14:textId="11440F56" w:rsidR="004E1498" w:rsidRPr="00297F9D" w:rsidRDefault="004E1498" w:rsidP="00321172">
      <w:pPr>
        <w:pStyle w:val="Nadpis3"/>
        <w:widowControl w:val="0"/>
      </w:pPr>
      <w:r w:rsidRPr="00297F9D">
        <w:t xml:space="preserve">za </w:t>
      </w:r>
      <w:r w:rsidR="00E73DA0" w:rsidRPr="00297F9D">
        <w:t>Poskytovatel</w:t>
      </w:r>
      <w:r w:rsidRPr="00297F9D">
        <w:t xml:space="preserve">e </w:t>
      </w:r>
      <w:r w:rsidR="00517984" w:rsidRPr="00BE5B14">
        <w:rPr>
          <w:rFonts w:ascii="Verdana" w:hAnsi="Verdana"/>
          <w:highlight w:val="yellow"/>
        </w:rPr>
        <w:t>[</w:t>
      </w:r>
      <w:r w:rsidR="00517984">
        <w:rPr>
          <w:rFonts w:ascii="Verdana" w:hAnsi="Verdana"/>
          <w:highlight w:val="yellow"/>
        </w:rPr>
        <w:t>VLOŽÍ</w:t>
      </w:r>
      <w:r w:rsidR="00517984" w:rsidRPr="00BE5B14">
        <w:rPr>
          <w:rFonts w:ascii="Verdana" w:hAnsi="Verdana"/>
          <w:highlight w:val="yellow"/>
        </w:rPr>
        <w:t xml:space="preserve"> POSKYTOVATEL]</w:t>
      </w:r>
      <w:r w:rsidR="008B24C9" w:rsidRPr="00297F9D">
        <w:rPr>
          <w:rFonts w:ascii="Verdana" w:hAnsi="Verdana"/>
        </w:rPr>
        <w:t>.</w:t>
      </w:r>
    </w:p>
    <w:p w14:paraId="739753B3" w14:textId="13B19D99" w:rsidR="004E1498" w:rsidRPr="006062F9" w:rsidRDefault="004E1498" w:rsidP="00321172">
      <w:pPr>
        <w:pStyle w:val="Nadpis2"/>
        <w:widowControl w:val="0"/>
      </w:pP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58F104CD" w14:textId="77777777" w:rsidR="00A25248" w:rsidRPr="002C6CF8" w:rsidRDefault="00A25248" w:rsidP="00A25248">
      <w:pPr>
        <w:pStyle w:val="Nadpis2"/>
        <w:widowControl w:val="0"/>
        <w:rPr>
          <w:rFonts w:eastAsia="Calibri"/>
        </w:rPr>
      </w:pPr>
      <w:r w:rsidRPr="002C6CF8">
        <w:rPr>
          <w:rFonts w:eastAsia="Calibri"/>
        </w:rPr>
        <w:t>Před zahájením prací na si oprávněný zástupce Objednatele a Poskytovatele prokazatelně vymění písemně informace o rizicích a přijatých opatřeních k ochraně před jejich působením.</w:t>
      </w:r>
    </w:p>
    <w:p w14:paraId="75E53B1B" w14:textId="77777777" w:rsidR="00A25248" w:rsidRPr="00A25248" w:rsidRDefault="00A25248" w:rsidP="00A25248">
      <w:pPr>
        <w:rPr>
          <w:lang w:eastAsia="cs-CZ"/>
        </w:rPr>
      </w:pP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lastRenderedPageBreak/>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297F9D">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354B96">
      <w:pPr>
        <w:pStyle w:val="odstaveca"/>
        <w:numPr>
          <w:ilvl w:val="0"/>
          <w:numId w:val="8"/>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346CDE12"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EF66C8">
        <w:t>9.5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59408EDA"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247F51">
        <w:t>8</w:t>
      </w:r>
      <w:r>
        <w:t xml:space="preserve">.1 a </w:t>
      </w:r>
      <w:r w:rsidR="00247F51">
        <w:t>8</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2"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2"/>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3"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w:t>
      </w:r>
      <w:r w:rsidRPr="0073792E">
        <w:lastRenderedPageBreak/>
        <w:t xml:space="preserve">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w:t>
      </w:r>
      <w:r w:rsidRPr="0080071E">
        <w:t>výši 5</w:t>
      </w:r>
      <w:r w:rsidR="00C916C5" w:rsidRPr="0080071E">
        <w:t xml:space="preserve"> % procent</w:t>
      </w:r>
      <w:r w:rsidR="00C916C5">
        <w:t xml:space="preserve">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r w:rsidRPr="00297F9D">
        <w:t>Compliance</w:t>
      </w:r>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D00F4E7" w14:textId="0BE2861E" w:rsidR="00604869" w:rsidRDefault="00604869" w:rsidP="00297F9D">
      <w:pPr>
        <w:pStyle w:val="Nadpis2"/>
      </w:pPr>
      <w:r>
        <w:t xml:space="preserve">Správa železnic, státní organizace, má výše uvedené dokumenty k dispozici na webových stránkách: </w:t>
      </w:r>
      <w:hyperlink r:id="rId11" w:history="1">
        <w:r w:rsidR="00991599">
          <w:rPr>
            <w:rStyle w:val="Hypertextovodkaz"/>
          </w:rPr>
          <w:t>https://www.spravazeleznic.cz/o-nas/nezadouci-jednani-a-boj-s-korupci</w:t>
        </w:r>
      </w:hyperlink>
      <w:r>
        <w:t>.</w:t>
      </w:r>
    </w:p>
    <w:p w14:paraId="38E21927" w14:textId="43FD3BA6" w:rsidR="00604869" w:rsidRPr="00604869" w:rsidRDefault="00604869" w:rsidP="00297F9D">
      <w:pPr>
        <w:pStyle w:val="Nadpis2"/>
      </w:pPr>
      <w:r>
        <w:t>Poskytovatel má výše uvedené dokumenty k dispozici na webových stránkách</w:t>
      </w:r>
      <w:r w:rsidR="0080071E">
        <w:t xml:space="preserve">: </w:t>
      </w:r>
      <w:r w:rsidR="0080071E" w:rsidRPr="005C1739">
        <w:rPr>
          <w:highlight w:val="yellow"/>
        </w:rPr>
        <w:t>[</w:t>
      </w:r>
      <w:r w:rsidR="0080071E">
        <w:rPr>
          <w:highlight w:val="yellow"/>
        </w:rPr>
        <w:t>vloží</w:t>
      </w:r>
      <w:r w:rsidR="0080071E" w:rsidRPr="005C1739">
        <w:rPr>
          <w:highlight w:val="yellow"/>
        </w:rPr>
        <w:t xml:space="preserve"> Poskytovatel x nemá-li Poskytovatel výše uvedené dokumenty, celý bod </w:t>
      </w:r>
      <w:r w:rsidR="0080071E">
        <w:rPr>
          <w:highlight w:val="yellow"/>
        </w:rPr>
        <w:t>9</w:t>
      </w:r>
      <w:r w:rsidR="0080071E" w:rsidRPr="005C1739">
        <w:rPr>
          <w:highlight w:val="yellow"/>
        </w:rPr>
        <w:t>.3 odstraní]</w:t>
      </w:r>
      <w:r w:rsidR="00C46EB4">
        <w:t>.</w:t>
      </w:r>
    </w:p>
    <w:p w14:paraId="331E0112" w14:textId="25EE28D0" w:rsidR="00E26235" w:rsidRDefault="00E26235" w:rsidP="00321172">
      <w:pPr>
        <w:pStyle w:val="Nadpis1"/>
        <w:widowControl w:val="0"/>
        <w:suppressAutoHyphens w:val="0"/>
        <w:rPr>
          <w:rFonts w:eastAsia="Times New Roman"/>
          <w:lang w:eastAsia="cs-CZ"/>
        </w:rPr>
      </w:pPr>
      <w:r>
        <w:rPr>
          <w:rFonts w:eastAsia="Times New Roman"/>
          <w:lang w:eastAsia="cs-CZ"/>
        </w:rPr>
        <w:t>Odpovědné zadáv</w:t>
      </w:r>
      <w:r w:rsidR="00183915">
        <w:rPr>
          <w:rFonts w:eastAsia="Times New Roman"/>
          <w:lang w:eastAsia="cs-CZ"/>
        </w:rPr>
        <w:t>á</w:t>
      </w:r>
      <w:r>
        <w:rPr>
          <w:rFonts w:eastAsia="Times New Roman"/>
          <w:lang w:eastAsia="cs-CZ"/>
        </w:rPr>
        <w:t>ní</w:t>
      </w:r>
    </w:p>
    <w:p w14:paraId="0C379CA7" w14:textId="3E74341D" w:rsidR="00E26235" w:rsidRPr="00AC3138" w:rsidRDefault="00E26235" w:rsidP="00E26235">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 xml:space="preserve">veřejné zakázky, na </w:t>
      </w:r>
      <w:r w:rsidR="007A5AEB">
        <w:t xml:space="preserve">základě </w:t>
      </w:r>
      <w:r>
        <w:t>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 xml:space="preserve">Poskytovatel </w:t>
      </w:r>
      <w:r w:rsidRPr="00102D47">
        <w:t xml:space="preserve">bere podpisem této smlouvy výslovně na vědomí tuto povinnost </w:t>
      </w:r>
      <w:r>
        <w:t>Objednatele</w:t>
      </w:r>
      <w:r w:rsidRPr="00102D47">
        <w:t xml:space="preserve">, jakož i veškeré s tím související požadavky na </w:t>
      </w:r>
      <w:r>
        <w:t xml:space="preserve">Poskytovatele v daném ohledu kladené, které jsou jako jednotlivé prvky odpovědného zadávání uvedeny v následujících ustanovení tohoto </w:t>
      </w:r>
      <w:r w:rsidRPr="00AC3138">
        <w:rPr>
          <w:rFonts w:ascii="Verdana" w:eastAsia="Verdana" w:hAnsi="Verdana"/>
          <w:noProof/>
        </w:rPr>
        <w:t>článku smlouvy.</w:t>
      </w:r>
    </w:p>
    <w:p w14:paraId="4C8158F5" w14:textId="77777777" w:rsidR="00E26235" w:rsidRDefault="00E26235" w:rsidP="00E26235">
      <w:pPr>
        <w:pStyle w:val="Nadpis2"/>
        <w:spacing w:line="276" w:lineRule="auto"/>
      </w:pPr>
      <w:r w:rsidRPr="00AC3138">
        <w:rPr>
          <w:rFonts w:ascii="Verdana" w:eastAsia="Verdana" w:hAnsi="Verdana"/>
          <w:noProof/>
        </w:rPr>
        <w:t>Objednatel</w:t>
      </w:r>
      <w:r w:rsidRPr="005478B0">
        <w:t xml:space="preserve"> požaduje, aby </w:t>
      </w:r>
      <w:r>
        <w:t>Poskytovatel</w:t>
      </w:r>
      <w:r w:rsidRPr="005478B0">
        <w:t xml:space="preserve"> při </w:t>
      </w:r>
      <w:r>
        <w:t>poskytování služeb</w:t>
      </w:r>
      <w:r w:rsidRPr="005478B0">
        <w:t xml:space="preserve"> pro </w:t>
      </w:r>
      <w:r>
        <w:t xml:space="preserve">Objednatele </w:t>
      </w:r>
      <w:r w:rsidRPr="005478B0">
        <w:t xml:space="preserve">zajistil rovnocenné platební podmínky, jako má sjednány </w:t>
      </w:r>
      <w:r>
        <w:t>Poskytovatel s Objednatelem, a to následovně:</w:t>
      </w:r>
    </w:p>
    <w:p w14:paraId="193E81E1" w14:textId="77777777" w:rsidR="00E26235" w:rsidRPr="00EC4A73" w:rsidRDefault="00E26235" w:rsidP="00E26235">
      <w:pPr>
        <w:pStyle w:val="Nadpis3"/>
        <w:ind w:left="851"/>
        <w:rPr>
          <w:rFonts w:ascii="Verdana" w:eastAsia="Verdana" w:hAnsi="Verdana"/>
          <w:noProof/>
        </w:rPr>
      </w:pPr>
      <w:r>
        <w:t xml:space="preserve">Poskytovatel se zavazuje ujednat si s dalšími osobami, které se na jeho straně podílejí na poskytování služeb, a jsou podnikateli (dále jen „smluvní partneři Poskytovatele“), stejnou nebo kratší dobu splatnosti daňových dokladů, jaká je sjednána v této smlouvě. Poskytovatel se zavazuje na písemnou výzvu předložit Objednateli do tří pracovních dnů od doručení výzvy smluvní dokumentaci (včetně jejich případných změn) se smluvními partnery Poskytovatele uvedenými ve výzvě Objednatele, ze kterých bude vyplývat splnění povinnosti Poskytovatele dle předchozí věty. Předkládaná smluvní dokumentace bude anonymizována tak, aby neobsahovala osobní údaje či obchodní tajemství dodavatele či smluvních partnerů Poskytovatele; musí z ní však vždy být zřejmé splnění povinnosti Poskytovatele dle tohoto odstavce </w:t>
      </w:r>
      <w:r w:rsidRPr="00AC3138">
        <w:rPr>
          <w:rFonts w:ascii="Verdana" w:eastAsia="Verdana" w:hAnsi="Verdana"/>
          <w:noProof/>
        </w:rPr>
        <w:t>smlouvy.</w:t>
      </w:r>
    </w:p>
    <w:p w14:paraId="78D9D709" w14:textId="26796019" w:rsidR="00E26235" w:rsidRPr="00E26235" w:rsidRDefault="00E26235" w:rsidP="00E26235">
      <w:pPr>
        <w:pStyle w:val="Nadpis3"/>
        <w:ind w:left="851"/>
      </w:pPr>
      <w:r>
        <w:t>Poskytovatel</w:t>
      </w:r>
      <w:r w:rsidRPr="00AC3138">
        <w:t xml:space="preserve"> se zavazuje uhradit smluvní pokutu ve výši </w:t>
      </w:r>
      <w:r w:rsidR="007A5AEB" w:rsidRPr="00AC3138">
        <w:t>10.000</w:t>
      </w:r>
      <w:r w:rsidR="007A5AEB">
        <w:t>, -</w:t>
      </w:r>
      <w:r w:rsidRPr="00AC3138">
        <w:t xml:space="preserve"> Kč za každý byť i</w:t>
      </w:r>
      <w:r>
        <w:t> </w:t>
      </w:r>
      <w:r w:rsidRPr="00AC3138">
        <w:t xml:space="preserve">započatý den prodlení se splněním povinnosti předložit smluvní dokumentaci dle předchozího odstavce smlouvy. </w:t>
      </w:r>
      <w:r>
        <w:t>Poskytovatel</w:t>
      </w:r>
      <w:r w:rsidRPr="00AC3138">
        <w:t xml:space="preserve"> se dále zavazuje uhradit smluvní pokutu ve výši </w:t>
      </w:r>
      <w:r w:rsidR="007A5AEB" w:rsidRPr="00AC3138">
        <w:t>10.000</w:t>
      </w:r>
      <w:r w:rsidR="007A5AEB">
        <w:t>, -</w:t>
      </w:r>
      <w:r w:rsidRPr="00AC3138">
        <w:t xml:space="preserve"> Kč za </w:t>
      </w:r>
      <w:r w:rsidR="007A5AEB" w:rsidRPr="00AC3138">
        <w:t>každý,</w:t>
      </w:r>
      <w:r w:rsidRPr="00AC3138">
        <w:t xml:space="preserve"> byť i započatý den, po který porušil svou povinnost mít se smluvními partnery </w:t>
      </w:r>
      <w:r>
        <w:t>Poskytovatele</w:t>
      </w:r>
      <w:r w:rsidRPr="00AC3138">
        <w:t xml:space="preserve"> stejnou nebo kratší dobu splatnosti daňových dokladů, jaká je sjednána v této smlouvě. Smluvní sankce dle tohoto odstavce smlouvy lze v případě postupného porušení obou povinností </w:t>
      </w:r>
      <w:r>
        <w:t>Poskytovatele</w:t>
      </w:r>
      <w:r w:rsidRPr="00AC3138">
        <w:t xml:space="preserve"> sčítat.</w:t>
      </w:r>
    </w:p>
    <w:p w14:paraId="7ACA4F45" w14:textId="40CA7CAE"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lastRenderedPageBreak/>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5EC14CCC" w14:textId="77777777" w:rsidR="00E26235" w:rsidRPr="00530B6E" w:rsidRDefault="00E26235" w:rsidP="00E26235">
      <w:pPr>
        <w:pStyle w:val="Nadpis2"/>
        <w:rPr>
          <w:highlight w:val="yellow"/>
        </w:rPr>
      </w:pPr>
      <w:r w:rsidRPr="00530B6E">
        <w:rPr>
          <w:highlight w:val="yellow"/>
        </w:rPr>
        <w:t xml:space="preserve">Tato Smlouva je vyhotovena elektronicky a podepsána </w:t>
      </w:r>
      <w:r>
        <w:rPr>
          <w:highlight w:val="yellow"/>
        </w:rPr>
        <w:t>zaručeným</w:t>
      </w:r>
      <w:r w:rsidRPr="00530B6E">
        <w:rPr>
          <w:highlight w:val="yellow"/>
        </w:rPr>
        <w:t xml:space="preserve"> elektronickým podpisem založeným na kvalifikovaném certifikátu pro elektronický podpis nebo kvalifikovaným elektronickým podpisem.</w:t>
      </w:r>
    </w:p>
    <w:p w14:paraId="38AC20AD" w14:textId="77777777" w:rsidR="00E26235" w:rsidRPr="00530B6E" w:rsidRDefault="00E26235" w:rsidP="00E26235">
      <w:pPr>
        <w:pStyle w:val="Text1-1"/>
        <w:ind w:left="737"/>
      </w:pPr>
      <w:r w:rsidRPr="00530B6E">
        <w:rPr>
          <w:highlight w:val="yellow"/>
        </w:rPr>
        <w:t xml:space="preserve">Tato Smlouva je vyhotovena ve </w:t>
      </w:r>
      <w:r>
        <w:rPr>
          <w:highlight w:val="yellow"/>
        </w:rPr>
        <w:fldChar w:fldCharType="begin">
          <w:ffData>
            <w:name w:val=""/>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r w:rsidRPr="00530B6E">
        <w:rPr>
          <w:highlight w:val="yellow"/>
        </w:rPr>
        <w:t xml:space="preserve"> vyhotoveních, z nichž Objednatel obdrží </w:t>
      </w:r>
      <w:r w:rsidRPr="00530B6E">
        <w:rPr>
          <w:highlight w:val="yellow"/>
          <w:lang w:val="en-US"/>
        </w:rPr>
        <w:t>2</w:t>
      </w:r>
      <w:r w:rsidRPr="00530B6E">
        <w:rPr>
          <w:highlight w:val="yellow"/>
        </w:rPr>
        <w:t xml:space="preserve"> vyhotovení</w:t>
      </w:r>
      <w:r w:rsidRPr="00530B6E">
        <w:rPr>
          <w:b/>
          <w:highlight w:val="yellow"/>
        </w:rPr>
        <w:t xml:space="preserve"> </w:t>
      </w:r>
      <w:r w:rsidRPr="00530B6E">
        <w:rPr>
          <w:highlight w:val="yellow"/>
        </w:rPr>
        <w:t xml:space="preserve">a Zhotovitel obdrží </w:t>
      </w:r>
      <w:r>
        <w:rPr>
          <w:highlight w:val="yellow"/>
        </w:rPr>
        <w:fldChar w:fldCharType="begin">
          <w:ffData>
            <w:name w:val="Text18"/>
            <w:enabled/>
            <w:calcOnExit w:val="0"/>
            <w:textInput>
              <w:default w:val="&quot;[VLOŽÍ POSKYTOVATEL]&quot;"/>
            </w:textInput>
          </w:ffData>
        </w:fldChar>
      </w:r>
      <w:bookmarkStart w:id="4" w:name="Text18"/>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bookmarkEnd w:id="4"/>
      <w:r w:rsidRPr="00530B6E">
        <w:rPr>
          <w:highlight w:val="yellow"/>
        </w:rPr>
        <w:t xml:space="preserve"> vyhotoven</w:t>
      </w:r>
      <w:r>
        <w:rPr>
          <w:highlight w:val="yellow"/>
        </w:rPr>
        <w:t>í</w:t>
      </w:r>
      <w:r w:rsidRPr="00530B6E">
        <w:rPr>
          <w:highlight w:val="yellow"/>
        </w:rPr>
        <w:t>.</w:t>
      </w:r>
    </w:p>
    <w:p w14:paraId="3E6E5C46" w14:textId="77777777" w:rsidR="00E26235" w:rsidRDefault="00E26235" w:rsidP="00E26235">
      <w:pPr>
        <w:pStyle w:val="Text1-1"/>
        <w:ind w:left="737"/>
      </w:pPr>
      <w:r w:rsidRPr="00530B6E">
        <w:rPr>
          <w:color w:val="FF0000"/>
        </w:rPr>
        <w:t>[</w:t>
      </w:r>
      <w:r w:rsidRPr="00530B6E">
        <w:rPr>
          <w:i/>
          <w:color w:val="FF0000"/>
        </w:rPr>
        <w:t>Zhotovitel vybere jednu z výše uvedených variant</w:t>
      </w:r>
      <w:r w:rsidRPr="00530B6E">
        <w:rPr>
          <w:color w:val="FF0000"/>
        </w:rPr>
        <w:t>]</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321172">
      <w:pPr>
        <w:pStyle w:val="Nadpis2"/>
        <w:widowControl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0DB923BD" w14:textId="77777777" w:rsidR="00B66E16" w:rsidRPr="006E6E61" w:rsidRDefault="00B66E16" w:rsidP="00354B96">
      <w:pPr>
        <w:pStyle w:val="Nadpis2"/>
        <w:widowControl w:val="0"/>
        <w:spacing w:after="0"/>
        <w:rPr>
          <w:highlight w:val="yellow"/>
        </w:rPr>
      </w:pPr>
      <w:r w:rsidRPr="006E6E61">
        <w:rPr>
          <w:rFonts w:eastAsia="Calibri"/>
          <w:highlight w:val="yellow"/>
        </w:rPr>
        <w:t xml:space="preserve">Tato </w:t>
      </w:r>
      <w:r>
        <w:rPr>
          <w:rFonts w:eastAsia="Calibri"/>
          <w:highlight w:val="yellow"/>
        </w:rPr>
        <w:t>Sml</w:t>
      </w:r>
      <w:r w:rsidRPr="006E6E61">
        <w:rPr>
          <w:rFonts w:eastAsia="Calibri"/>
          <w:highlight w:val="yellow"/>
        </w:rPr>
        <w:t xml:space="preserve">ouva nabývá platnosti okamžikem podpisu poslední ze </w:t>
      </w:r>
      <w:r>
        <w:rPr>
          <w:rFonts w:eastAsia="Calibri"/>
          <w:highlight w:val="yellow"/>
        </w:rPr>
        <w:t>Sml</w:t>
      </w:r>
      <w:r w:rsidRPr="006E6E61">
        <w:rPr>
          <w:rFonts w:eastAsia="Calibri"/>
          <w:highlight w:val="yellow"/>
        </w:rPr>
        <w:t>uvních stran. Je-li Smlouva uveřejňována v registru smluv, nabývá účinnosti dnem uveřejnění v registru smluv, jinak je účinná od okamžiku uzavření.</w:t>
      </w:r>
    </w:p>
    <w:p w14:paraId="19A12285" w14:textId="77777777" w:rsidR="004E1498" w:rsidRPr="004E1498" w:rsidRDefault="004E1498" w:rsidP="00354B96">
      <w:pPr>
        <w:pStyle w:val="Plohanadpis"/>
        <w:spacing w:before="240"/>
      </w:pPr>
      <w:r w:rsidRPr="004E1498">
        <w:t>Přílohy</w:t>
      </w:r>
    </w:p>
    <w:p w14:paraId="28D5F6B0" w14:textId="38DAC4F4" w:rsidR="007F328C" w:rsidRPr="00321172" w:rsidRDefault="007F328C" w:rsidP="00354B96">
      <w:pPr>
        <w:pStyle w:val="Plohy"/>
      </w:pPr>
      <w:r w:rsidRPr="00321172">
        <w:t xml:space="preserve">Obchodní podmínky ke Smlouvě o poskytování služeb </w:t>
      </w:r>
    </w:p>
    <w:p w14:paraId="71D944D0" w14:textId="62A4F959" w:rsidR="00B66E16" w:rsidRPr="00354B96" w:rsidRDefault="00354B96" w:rsidP="00354B96">
      <w:pPr>
        <w:pStyle w:val="Plohy"/>
      </w:pPr>
      <w:r w:rsidRPr="00354B96">
        <w:t>Technická specifikace</w:t>
      </w:r>
    </w:p>
    <w:p w14:paraId="3731E23D" w14:textId="418A9662" w:rsidR="00B66E16" w:rsidRPr="00354B96" w:rsidRDefault="00985507" w:rsidP="00354B96">
      <w:pPr>
        <w:pStyle w:val="Plohy"/>
      </w:pPr>
      <w:r w:rsidRPr="00354B96">
        <w:t>Ceník</w:t>
      </w:r>
      <w:r w:rsidR="0072631F">
        <w:t xml:space="preserve"> služeb</w:t>
      </w:r>
      <w:r w:rsidR="00183915">
        <w:t xml:space="preserve"> nabídka</w:t>
      </w:r>
    </w:p>
    <w:p w14:paraId="32BE1EF3" w14:textId="6C134095" w:rsidR="00354B96" w:rsidRPr="00354B96" w:rsidRDefault="00B66E16" w:rsidP="00354B96">
      <w:pPr>
        <w:pStyle w:val="Plohy"/>
      </w:pPr>
      <w:r w:rsidRPr="00354B96">
        <w:t>Seznam poddodavatelů</w:t>
      </w:r>
    </w:p>
    <w:p w14:paraId="564F9CF7" w14:textId="63F82D78" w:rsidR="00B66E16" w:rsidRDefault="00B66E16" w:rsidP="00354B96">
      <w:pPr>
        <w:pStyle w:val="Plohy"/>
      </w:pPr>
      <w:r w:rsidRPr="00354B96">
        <w:t xml:space="preserve">Seznam realizačního </w:t>
      </w:r>
      <w:r w:rsidR="007F3CD3" w:rsidRPr="00354B96">
        <w:t>týmu</w:t>
      </w:r>
    </w:p>
    <w:p w14:paraId="0576E1A2" w14:textId="53D57185" w:rsidR="00354B96" w:rsidRPr="00354B96" w:rsidRDefault="00354B96" w:rsidP="00354B96">
      <w:pPr>
        <w:pStyle w:val="Plohy"/>
        <w:rPr>
          <w:highlight w:val="yellow"/>
        </w:rPr>
      </w:pPr>
      <w:r w:rsidRPr="005C1739">
        <w:rPr>
          <w:highlight w:val="yellow"/>
        </w:rPr>
        <w:t>Plná moc (pouze v případě zastoupení poskytovatele osobou na základě plné moci)</w:t>
      </w: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4B96" w:rsidRPr="00BB1FDF" w14:paraId="42B4A0D0" w14:textId="77777777" w:rsidTr="00354B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4FA0A05" w14:textId="77777777" w:rsidR="00354B96" w:rsidRDefault="00354B96" w:rsidP="00E91B2E">
            <w:pPr>
              <w:spacing w:before="0"/>
              <w:rPr>
                <w:highlight w:val="yellow"/>
              </w:rPr>
            </w:pPr>
          </w:p>
          <w:p w14:paraId="52A2CEC3" w14:textId="224ED2CF" w:rsidR="00354B96" w:rsidRPr="00BB1FDF" w:rsidRDefault="00354B96" w:rsidP="00E91B2E">
            <w:pPr>
              <w:spacing w:before="0"/>
              <w:rPr>
                <w:highlight w:val="yellow"/>
              </w:rPr>
            </w:pPr>
            <w:r w:rsidRPr="00BB1FDF">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AE2FAF6" w14:textId="77777777" w:rsidR="00354B96" w:rsidRPr="00BB1FDF" w:rsidRDefault="00354B96" w:rsidP="00E91B2E">
            <w:pPr>
              <w:spacing w:before="0"/>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921E8FE" w14:textId="77777777" w:rsidR="00354B96" w:rsidRDefault="00354B96" w:rsidP="00E91B2E">
            <w:pPr>
              <w:spacing w:before="0"/>
              <w:cnfStyle w:val="100000000000" w:firstRow="1" w:lastRow="0" w:firstColumn="0" w:lastColumn="0" w:oddVBand="0" w:evenVBand="0" w:oddHBand="0" w:evenHBand="0" w:firstRowFirstColumn="0" w:firstRowLastColumn="0" w:lastRowFirstColumn="0" w:lastRowLastColumn="0"/>
              <w:rPr>
                <w:highlight w:val="yellow"/>
              </w:rPr>
            </w:pPr>
          </w:p>
          <w:p w14:paraId="00C28D55" w14:textId="475F2BD8" w:rsidR="00354B96" w:rsidRPr="00BB1FDF" w:rsidRDefault="00354B96" w:rsidP="00E91B2E">
            <w:pPr>
              <w:spacing w:before="0"/>
              <w:cnfStyle w:val="100000000000" w:firstRow="1" w:lastRow="0" w:firstColumn="0" w:lastColumn="0" w:oddVBand="0" w:evenVBand="0" w:oddHBand="0" w:evenHBand="0" w:firstRowFirstColumn="0" w:firstRowLastColumn="0" w:lastRowFirstColumn="0" w:lastRowLastColumn="0"/>
              <w:rPr>
                <w:highlight w:val="yellow"/>
              </w:rPr>
            </w:pPr>
            <w:r w:rsidRPr="00BB1FDF">
              <w:rPr>
                <w:highlight w:val="yellow"/>
              </w:rPr>
              <w:t>V ………………………… dne</w:t>
            </w:r>
          </w:p>
        </w:tc>
      </w:tr>
      <w:tr w:rsidR="00354B96" w:rsidRPr="00BB1FDF" w14:paraId="1B4B9033" w14:textId="77777777" w:rsidTr="00354B96">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8A287A" w14:textId="77777777" w:rsidR="00354B96" w:rsidRPr="00BB1FDF" w:rsidRDefault="00354B96" w:rsidP="00E91B2E">
            <w:pPr>
              <w:spacing w:before="0"/>
            </w:pPr>
          </w:p>
        </w:tc>
        <w:tc>
          <w:tcPr>
            <w:tcW w:w="1985" w:type="dxa"/>
            <w:shd w:val="clear" w:color="auto" w:fill="auto"/>
          </w:tcPr>
          <w:p w14:paraId="1D3F9841" w14:textId="77777777" w:rsidR="00354B96" w:rsidRPr="00BB1FDF" w:rsidRDefault="00354B96" w:rsidP="00E91B2E">
            <w:pPr>
              <w:spacing w:before="0"/>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BC0B77A" w14:textId="77777777" w:rsidR="00354B96" w:rsidRPr="00BB1FDF" w:rsidRDefault="00354B96" w:rsidP="00E91B2E">
            <w:pPr>
              <w:spacing w:before="0"/>
              <w:cnfStyle w:val="000000000000" w:firstRow="0" w:lastRow="0" w:firstColumn="0" w:lastColumn="0" w:oddVBand="0" w:evenVBand="0" w:oddHBand="0" w:evenHBand="0" w:firstRowFirstColumn="0" w:firstRowLastColumn="0" w:lastRowFirstColumn="0" w:lastRowLastColumn="0"/>
            </w:pPr>
          </w:p>
        </w:tc>
      </w:tr>
      <w:tr w:rsidR="00354B96" w:rsidRPr="00BB1FDF" w14:paraId="6B2DD69A" w14:textId="77777777" w:rsidTr="00354B96">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CE7B5F1" w14:textId="77777777" w:rsidR="00354B96" w:rsidRPr="00BB1FDF" w:rsidRDefault="00354B96" w:rsidP="00E91B2E">
            <w:pPr>
              <w:spacing w:before="0" w:after="0"/>
              <w:rPr>
                <w:rFonts w:eastAsia="Times New Roman" w:cs="Calibri"/>
                <w:i/>
                <w:lang w:eastAsia="cs-CZ"/>
              </w:rPr>
            </w:pPr>
          </w:p>
          <w:p w14:paraId="203BA7FC" w14:textId="77777777" w:rsidR="00354B96" w:rsidRPr="00BB1FDF" w:rsidRDefault="00354B96" w:rsidP="00E91B2E">
            <w:pPr>
              <w:spacing w:before="0" w:after="0"/>
            </w:pPr>
            <w:r w:rsidRPr="00BB1FDF">
              <w:rPr>
                <w:rFonts w:eastAsia="Times New Roman" w:cs="Calibri"/>
                <w:lang w:eastAsia="cs-CZ"/>
              </w:rPr>
              <w:t>…………………………………………………</w:t>
            </w:r>
          </w:p>
        </w:tc>
        <w:tc>
          <w:tcPr>
            <w:tcW w:w="1985" w:type="dxa"/>
            <w:shd w:val="clear" w:color="auto" w:fill="auto"/>
          </w:tcPr>
          <w:p w14:paraId="2BA82253" w14:textId="77777777" w:rsidR="00354B96" w:rsidRPr="00BB1FDF" w:rsidRDefault="00354B96" w:rsidP="00E91B2E">
            <w:pPr>
              <w:spacing w:before="0"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C399155" w14:textId="77777777" w:rsidR="00354B96" w:rsidRPr="00BB1FDF" w:rsidRDefault="00354B96" w:rsidP="00E91B2E">
            <w:pPr>
              <w:spacing w:before="0"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77895925" w14:textId="77777777" w:rsidR="00354B96" w:rsidRPr="00BB1FDF" w:rsidRDefault="00354B96" w:rsidP="00E91B2E">
            <w:pPr>
              <w:spacing w:before="0" w:after="0"/>
              <w:cnfStyle w:val="000000000000" w:firstRow="0" w:lastRow="0" w:firstColumn="0" w:lastColumn="0" w:oddVBand="0" w:evenVBand="0" w:oddHBand="0" w:evenHBand="0" w:firstRowFirstColumn="0" w:firstRowLastColumn="0" w:lastRowFirstColumn="0" w:lastRowLastColumn="0"/>
            </w:pPr>
            <w:r w:rsidRPr="00BB1FDF">
              <w:rPr>
                <w:rFonts w:eastAsia="Times New Roman" w:cs="Calibri"/>
                <w:lang w:eastAsia="cs-CZ"/>
              </w:rPr>
              <w:t>…………………………………………………</w:t>
            </w:r>
          </w:p>
        </w:tc>
      </w:tr>
      <w:tr w:rsidR="00354B96" w:rsidRPr="00BB1FDF" w14:paraId="01DE47B0" w14:textId="77777777" w:rsidTr="00354B96">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88EBD04" w14:textId="77777777" w:rsidR="00354B96" w:rsidRPr="00BB1FDF" w:rsidRDefault="00354B96" w:rsidP="00E91B2E">
            <w:pPr>
              <w:tabs>
                <w:tab w:val="left" w:pos="-2694"/>
              </w:tabs>
              <w:spacing w:before="0" w:after="0"/>
              <w:rPr>
                <w:rFonts w:eastAsia="Times New Roman" w:cs="Calibri"/>
                <w:bCs/>
                <w:lang w:eastAsia="cs-CZ"/>
              </w:rPr>
            </w:pPr>
            <w:r w:rsidRPr="00BB1FDF">
              <w:rPr>
                <w:rFonts w:eastAsia="Times New Roman" w:cs="Calibri"/>
                <w:bCs/>
                <w:lang w:eastAsia="cs-CZ"/>
              </w:rPr>
              <w:lastRenderedPageBreak/>
              <w:t>Ing. Pavla Kosinová</w:t>
            </w:r>
          </w:p>
          <w:p w14:paraId="76F63205" w14:textId="77777777" w:rsidR="00354B96" w:rsidRPr="00BB1FDF" w:rsidRDefault="00354B96" w:rsidP="00E91B2E">
            <w:pPr>
              <w:tabs>
                <w:tab w:val="left" w:pos="-2694"/>
              </w:tabs>
              <w:spacing w:before="0" w:after="0"/>
              <w:rPr>
                <w:rFonts w:eastAsia="Times New Roman" w:cs="Calibri"/>
                <w:bCs/>
                <w:lang w:eastAsia="cs-CZ"/>
              </w:rPr>
            </w:pPr>
            <w:r w:rsidRPr="00BB1FDF">
              <w:rPr>
                <w:rFonts w:eastAsia="Times New Roman" w:cs="Calibri"/>
                <w:bCs/>
                <w:lang w:eastAsia="cs-CZ"/>
              </w:rPr>
              <w:t>Správa železnic, státní organizace</w:t>
            </w:r>
          </w:p>
          <w:p w14:paraId="5DE9D569" w14:textId="77777777" w:rsidR="00354B96" w:rsidRPr="00BB1FDF" w:rsidRDefault="00354B96" w:rsidP="00E91B2E">
            <w:pPr>
              <w:tabs>
                <w:tab w:val="left" w:pos="-2694"/>
              </w:tabs>
              <w:spacing w:before="0" w:after="0"/>
              <w:rPr>
                <w:rFonts w:eastAsia="Times New Roman" w:cs="Calibri"/>
                <w:bCs/>
                <w:lang w:eastAsia="cs-CZ"/>
              </w:rPr>
            </w:pPr>
            <w:r w:rsidRPr="00BB1FDF">
              <w:rPr>
                <w:rFonts w:eastAsia="Times New Roman" w:cs="Calibri"/>
                <w:bCs/>
                <w:lang w:eastAsia="cs-CZ"/>
              </w:rPr>
              <w:t>ředitelka Oblastního ředitelství</w:t>
            </w:r>
          </w:p>
          <w:p w14:paraId="6EAD170D" w14:textId="77777777" w:rsidR="00354B96" w:rsidRPr="00BB1FDF" w:rsidRDefault="00354B96" w:rsidP="00E91B2E">
            <w:pPr>
              <w:tabs>
                <w:tab w:val="left" w:pos="-2694"/>
              </w:tabs>
              <w:spacing w:before="0" w:after="0"/>
              <w:rPr>
                <w:rFonts w:eastAsia="Times New Roman" w:cs="Calibri"/>
                <w:bCs/>
                <w:lang w:eastAsia="cs-CZ"/>
              </w:rPr>
            </w:pPr>
            <w:r w:rsidRPr="00BB1FDF">
              <w:rPr>
                <w:rFonts w:eastAsia="Times New Roman" w:cs="Calibri"/>
                <w:bCs/>
                <w:lang w:eastAsia="cs-CZ"/>
              </w:rPr>
              <w:t>Hradec Králové</w:t>
            </w:r>
          </w:p>
          <w:p w14:paraId="015A3BDF" w14:textId="77777777" w:rsidR="00354B96" w:rsidRPr="00BB1FDF" w:rsidRDefault="00354B96" w:rsidP="00E91B2E">
            <w:pPr>
              <w:tabs>
                <w:tab w:val="left" w:pos="-2694"/>
              </w:tabs>
              <w:spacing w:before="0" w:after="0"/>
              <w:rPr>
                <w:rFonts w:eastAsia="Times New Roman" w:cs="Calibri"/>
                <w:bCs/>
                <w:lang w:eastAsia="cs-CZ"/>
              </w:rPr>
            </w:pPr>
          </w:p>
        </w:tc>
        <w:tc>
          <w:tcPr>
            <w:tcW w:w="1985" w:type="dxa"/>
            <w:shd w:val="clear" w:color="auto" w:fill="auto"/>
          </w:tcPr>
          <w:p w14:paraId="7DB78E15" w14:textId="77777777" w:rsidR="00354B96" w:rsidRPr="00BB1FDF" w:rsidRDefault="00354B96" w:rsidP="00E91B2E">
            <w:pPr>
              <w:spacing w:before="0"/>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05D2C50D" w14:textId="77777777" w:rsidR="00354B96" w:rsidRPr="00BB1FDF" w:rsidRDefault="00354B96" w:rsidP="00E91B2E">
            <w:pPr>
              <w:tabs>
                <w:tab w:val="left" w:pos="-2694"/>
              </w:tabs>
              <w:spacing w:before="0" w:after="0"/>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BB1FDF">
              <w:rPr>
                <w:rFonts w:eastAsia="Times New Roman" w:cs="Calibri"/>
                <w:bCs/>
                <w:highlight w:val="yellow"/>
                <w:lang w:eastAsia="cs-CZ"/>
              </w:rPr>
              <w:t>Zhotovitel</w:t>
            </w:r>
          </w:p>
        </w:tc>
      </w:tr>
    </w:tbl>
    <w:p w14:paraId="631E6955" w14:textId="4114C782" w:rsidR="00D45DE0" w:rsidRDefault="00354B96" w:rsidP="00354B96">
      <w:pPr>
        <w:spacing w:before="0"/>
        <w:rPr>
          <w:rFonts w:ascii="Verdana" w:hAnsi="Verdana" w:cstheme="minorHAnsi"/>
        </w:rPr>
      </w:pPr>
      <w:r w:rsidRPr="00BB1FDF">
        <w:rPr>
          <w:rFonts w:ascii="Verdana" w:hAnsi="Verdana" w:cstheme="minorHAnsi"/>
          <w:highlight w:val="yellow"/>
        </w:rPr>
        <w:t>Tato Smlouva byla uveřejněna prostřednictvím registru smluv dne …………………</w:t>
      </w:r>
    </w:p>
    <w:p w14:paraId="1ABB76DA" w14:textId="77777777" w:rsidR="00354B96" w:rsidRDefault="00354B96" w:rsidP="00354B96">
      <w:pPr>
        <w:pStyle w:val="Nadpisbezsl1-1"/>
      </w:pPr>
      <w:r>
        <w:t>Příloha č. 1</w:t>
      </w:r>
    </w:p>
    <w:p w14:paraId="24CB4D62" w14:textId="77777777" w:rsidR="00354B96" w:rsidRDefault="00354B96" w:rsidP="00354B96">
      <w:pPr>
        <w:pStyle w:val="Nadpisbezsl1-2"/>
      </w:pPr>
      <w:r w:rsidRPr="00E463D2">
        <w:t>Obchodní podmínky</w:t>
      </w:r>
      <w:r>
        <w:t xml:space="preserve"> ke Smlouvě o poskytování služeb</w:t>
      </w:r>
    </w:p>
    <w:p w14:paraId="26646752" w14:textId="77777777" w:rsidR="00354B96" w:rsidRPr="00591B10" w:rsidRDefault="00354B96" w:rsidP="00354B96">
      <w:pPr>
        <w:pStyle w:val="Nadpisbezsl1-2"/>
        <w:rPr>
          <w:b w:val="0"/>
          <w:bCs/>
          <w:sz w:val="18"/>
          <w:szCs w:val="18"/>
        </w:rPr>
      </w:pPr>
      <w:r w:rsidRPr="00591B10">
        <w:rPr>
          <w:b w:val="0"/>
          <w:bCs/>
          <w:sz w:val="18"/>
          <w:szCs w:val="18"/>
        </w:rPr>
        <w:t xml:space="preserve">Obchodní podmínky ke Smlouvě o poskytování služeb byly uveřejněny na profilu zadavatele jako součást zadávací dokumentace. </w:t>
      </w:r>
    </w:p>
    <w:p w14:paraId="74DC6989" w14:textId="77777777" w:rsidR="00354B96" w:rsidRDefault="00354B96" w:rsidP="00354B96">
      <w:pPr>
        <w:pStyle w:val="Nadpisbezsl1-2"/>
        <w:rPr>
          <w:b w:val="0"/>
          <w:bCs/>
          <w:sz w:val="18"/>
          <w:szCs w:val="18"/>
        </w:rPr>
      </w:pPr>
      <w:r w:rsidRPr="00591B10">
        <w:rPr>
          <w:b w:val="0"/>
          <w:bCs/>
          <w:sz w:val="18"/>
          <w:szCs w:val="18"/>
        </w:rPr>
        <w:t xml:space="preserve">Smluvní strany podpisem této Smlouvy stvrzují, že jsou s obsahem Obchodních podmínek plně seznámeny, a že v souladu s </w:t>
      </w:r>
      <w:proofErr w:type="spellStart"/>
      <w:r w:rsidRPr="00591B10">
        <w:rPr>
          <w:b w:val="0"/>
          <w:bCs/>
          <w:sz w:val="18"/>
          <w:szCs w:val="18"/>
        </w:rPr>
        <w:t>ust</w:t>
      </w:r>
      <w:proofErr w:type="spellEnd"/>
      <w:r w:rsidRPr="00591B10">
        <w:rPr>
          <w:b w:val="0"/>
          <w:bCs/>
          <w:sz w:val="18"/>
          <w:szCs w:val="18"/>
        </w:rPr>
        <w:t>. § 1751 občanského zákoníku Obchodní podmínky tvoří část obsahu Smlouvy.</w:t>
      </w:r>
    </w:p>
    <w:p w14:paraId="2863037C" w14:textId="0E5DCD45" w:rsidR="00354B96" w:rsidRDefault="00354B96" w:rsidP="00354B96">
      <w:pPr>
        <w:spacing w:before="0"/>
      </w:pPr>
      <w:r>
        <w:br w:type="page"/>
      </w:r>
    </w:p>
    <w:p w14:paraId="012CEB45" w14:textId="77777777" w:rsidR="00354B96" w:rsidRDefault="00354B96" w:rsidP="00354B96">
      <w:pPr>
        <w:pStyle w:val="Nadpisbezsl1-1"/>
      </w:pPr>
      <w:r>
        <w:lastRenderedPageBreak/>
        <w:t>Příloha č. 2</w:t>
      </w:r>
    </w:p>
    <w:p w14:paraId="334A7382" w14:textId="77777777" w:rsidR="00354B96" w:rsidRDefault="00354B96" w:rsidP="00354B96">
      <w:pPr>
        <w:pStyle w:val="Nadpisbezsl1-2"/>
      </w:pPr>
      <w:r>
        <w:t>Technická specifikace</w:t>
      </w:r>
    </w:p>
    <w:p w14:paraId="4A3E19F8" w14:textId="77777777" w:rsidR="00354B96" w:rsidRPr="00FE229C" w:rsidRDefault="00354B96" w:rsidP="00354B96">
      <w:pPr>
        <w:keepNext/>
        <w:keepLines/>
        <w:widowControl w:val="0"/>
        <w:numPr>
          <w:ilvl w:val="0"/>
          <w:numId w:val="9"/>
        </w:numPr>
        <w:tabs>
          <w:tab w:val="left" w:pos="418"/>
        </w:tabs>
        <w:spacing w:before="0" w:after="60" w:line="220" w:lineRule="exact"/>
        <w:jc w:val="left"/>
        <w:outlineLvl w:val="1"/>
        <w:rPr>
          <w:rFonts w:ascii="Verdana" w:eastAsia="Verdana" w:hAnsi="Verdana" w:cs="Verdana"/>
          <w:b/>
          <w:bCs/>
          <w:sz w:val="20"/>
          <w:szCs w:val="20"/>
          <w:lang w:eastAsia="cs-CZ" w:bidi="cs-CZ"/>
        </w:rPr>
      </w:pPr>
      <w:bookmarkStart w:id="5" w:name="bookmark2"/>
      <w:r w:rsidRPr="00FE229C">
        <w:rPr>
          <w:rFonts w:ascii="Verdana" w:eastAsia="Verdana" w:hAnsi="Verdana" w:cs="Verdana"/>
          <w:b/>
          <w:bCs/>
          <w:color w:val="000000"/>
          <w:sz w:val="20"/>
          <w:szCs w:val="20"/>
          <w:lang w:eastAsia="cs-CZ" w:bidi="cs-CZ"/>
        </w:rPr>
        <w:t xml:space="preserve">Požadavky na výkon </w:t>
      </w:r>
      <w:r>
        <w:rPr>
          <w:rFonts w:ascii="Verdana" w:eastAsia="Verdana" w:hAnsi="Verdana" w:cs="Verdana"/>
          <w:b/>
          <w:bCs/>
          <w:color w:val="000000"/>
          <w:sz w:val="20"/>
          <w:szCs w:val="20"/>
          <w:lang w:eastAsia="cs-CZ" w:bidi="cs-CZ"/>
        </w:rPr>
        <w:t xml:space="preserve">podpory </w:t>
      </w:r>
      <w:r w:rsidRPr="00FE229C">
        <w:rPr>
          <w:rFonts w:ascii="Verdana" w:eastAsia="Verdana" w:hAnsi="Verdana" w:cs="Verdana"/>
          <w:b/>
          <w:bCs/>
          <w:color w:val="000000"/>
          <w:sz w:val="20"/>
          <w:szCs w:val="20"/>
          <w:lang w:eastAsia="cs-CZ" w:bidi="cs-CZ"/>
        </w:rPr>
        <w:t>Technického dozoru stavebníka:</w:t>
      </w:r>
      <w:bookmarkEnd w:id="5"/>
    </w:p>
    <w:p w14:paraId="4B7718F8" w14:textId="77777777" w:rsidR="00354B96" w:rsidRPr="00FE229C" w:rsidRDefault="00354B96" w:rsidP="00354B96">
      <w:pPr>
        <w:widowControl w:val="0"/>
        <w:numPr>
          <w:ilvl w:val="1"/>
          <w:numId w:val="9"/>
        </w:numPr>
        <w:tabs>
          <w:tab w:val="left" w:pos="1126"/>
        </w:tabs>
        <w:spacing w:before="0" w:after="60" w:line="180" w:lineRule="exact"/>
        <w:jc w:val="left"/>
        <w:rPr>
          <w:rFonts w:ascii="Verdana" w:eastAsia="Verdana" w:hAnsi="Verdana" w:cs="Verdana"/>
          <w:lang w:eastAsia="cs-CZ" w:bidi="cs-CZ"/>
        </w:rPr>
      </w:pPr>
      <w:r w:rsidRPr="00FE229C">
        <w:rPr>
          <w:rFonts w:ascii="Verdana" w:eastAsia="Verdana" w:hAnsi="Verdana" w:cs="Verdana"/>
          <w:color w:val="000000"/>
          <w:lang w:eastAsia="cs-CZ" w:bidi="cs-CZ"/>
        </w:rPr>
        <w:t>Závazné požadavky k provádění činnosti TDS</w:t>
      </w:r>
    </w:p>
    <w:p w14:paraId="3305CA65" w14:textId="77777777" w:rsidR="00354B96" w:rsidRPr="00FE229C" w:rsidRDefault="00354B96" w:rsidP="00354B96">
      <w:pPr>
        <w:keepNext/>
        <w:keepLines/>
        <w:widowControl w:val="0"/>
        <w:numPr>
          <w:ilvl w:val="2"/>
          <w:numId w:val="9"/>
        </w:numPr>
        <w:tabs>
          <w:tab w:val="left" w:pos="1134"/>
        </w:tabs>
        <w:spacing w:before="0" w:after="60" w:line="180" w:lineRule="exact"/>
        <w:jc w:val="left"/>
        <w:outlineLvl w:val="2"/>
        <w:rPr>
          <w:rFonts w:ascii="Verdana" w:eastAsia="Verdana" w:hAnsi="Verdana" w:cs="Verdana"/>
          <w:b/>
          <w:bCs/>
          <w:lang w:eastAsia="cs-CZ" w:bidi="cs-CZ"/>
        </w:rPr>
      </w:pPr>
      <w:bookmarkStart w:id="6" w:name="bookmark3"/>
      <w:r w:rsidRPr="00FE229C">
        <w:rPr>
          <w:rFonts w:ascii="Verdana" w:eastAsia="Verdana" w:hAnsi="Verdana" w:cs="Verdana"/>
          <w:b/>
          <w:bCs/>
          <w:color w:val="000000"/>
          <w:lang w:eastAsia="cs-CZ" w:bidi="cs-CZ"/>
        </w:rPr>
        <w:t>Spolupráce, podpora</w:t>
      </w:r>
      <w:bookmarkEnd w:id="6"/>
    </w:p>
    <w:p w14:paraId="0032588A" w14:textId="77777777" w:rsidR="00354B96" w:rsidRPr="00FE229C" w:rsidRDefault="00354B96" w:rsidP="00354B96">
      <w:pPr>
        <w:widowControl w:val="0"/>
        <w:tabs>
          <w:tab w:val="left" w:pos="426"/>
        </w:tabs>
        <w:spacing w:before="0" w:after="60" w:line="221" w:lineRule="exact"/>
        <w:ind w:left="1134"/>
        <w:rPr>
          <w:rFonts w:ascii="Verdana" w:eastAsia="Verdana" w:hAnsi="Verdana" w:cs="Verdana"/>
          <w:lang w:eastAsia="cs-CZ" w:bidi="cs-CZ"/>
        </w:rPr>
      </w:pPr>
      <w:r w:rsidRPr="00FE229C">
        <w:rPr>
          <w:rFonts w:ascii="Verdana" w:eastAsia="Verdana" w:hAnsi="Verdana" w:cs="Verdana"/>
          <w:color w:val="000000"/>
          <w:lang w:eastAsia="cs-CZ" w:bidi="cs-CZ"/>
        </w:rPr>
        <w:t>účast na všech kontrolních dnech, výrobních výborech RDS Zhotovitele a</w:t>
      </w:r>
      <w:r>
        <w:rPr>
          <w:rFonts w:ascii="Verdana" w:eastAsia="Verdana" w:hAnsi="Verdana" w:cs="Verdana"/>
          <w:color w:val="000000"/>
          <w:lang w:eastAsia="cs-CZ" w:bidi="cs-CZ"/>
        </w:rPr>
        <w:t> </w:t>
      </w:r>
      <w:r w:rsidRPr="00FE229C">
        <w:rPr>
          <w:rFonts w:ascii="Verdana" w:eastAsia="Verdana" w:hAnsi="Verdana" w:cs="Verdana"/>
          <w:color w:val="000000"/>
          <w:lang w:eastAsia="cs-CZ" w:bidi="cs-CZ"/>
        </w:rPr>
        <w:t>důležitých pracovních jednáních ve vztahu k níže uvedeným činnostem</w:t>
      </w:r>
    </w:p>
    <w:p w14:paraId="267B636D" w14:textId="77777777" w:rsidR="00354B96" w:rsidRPr="00FE229C" w:rsidRDefault="00354B96" w:rsidP="00354B96">
      <w:pPr>
        <w:keepNext/>
        <w:keepLines/>
        <w:widowControl w:val="0"/>
        <w:numPr>
          <w:ilvl w:val="2"/>
          <w:numId w:val="9"/>
        </w:numPr>
        <w:tabs>
          <w:tab w:val="left" w:pos="1134"/>
        </w:tabs>
        <w:spacing w:before="0" w:after="60" w:line="180" w:lineRule="exact"/>
        <w:outlineLvl w:val="2"/>
        <w:rPr>
          <w:rFonts w:ascii="Verdana" w:eastAsia="Verdana" w:hAnsi="Verdana" w:cs="Verdana"/>
          <w:b/>
          <w:bCs/>
          <w:lang w:eastAsia="cs-CZ" w:bidi="cs-CZ"/>
        </w:rPr>
      </w:pPr>
      <w:bookmarkStart w:id="7" w:name="bookmark4"/>
      <w:r w:rsidRPr="00FE229C">
        <w:rPr>
          <w:rFonts w:ascii="Verdana" w:eastAsia="Verdana" w:hAnsi="Verdana" w:cs="Verdana"/>
          <w:b/>
          <w:bCs/>
          <w:color w:val="000000"/>
          <w:lang w:eastAsia="cs-CZ" w:bidi="cs-CZ"/>
        </w:rPr>
        <w:t>Kontrola oprávněnosti fakturace (měsíční)</w:t>
      </w:r>
      <w:bookmarkEnd w:id="7"/>
    </w:p>
    <w:p w14:paraId="66A21667" w14:textId="77777777" w:rsidR="00354B96" w:rsidRPr="00FE229C" w:rsidRDefault="00354B96" w:rsidP="00354B96">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 xml:space="preserve">sledování </w:t>
      </w:r>
      <w:r w:rsidRPr="00FE229C">
        <w:rPr>
          <w:rFonts w:ascii="Verdana" w:eastAsia="Verdana" w:hAnsi="Verdana" w:cs="Verdana"/>
          <w:color w:val="000000"/>
          <w:lang w:val="en-US" w:bidi="en-US"/>
        </w:rPr>
        <w:t xml:space="preserve">a reporting </w:t>
      </w:r>
      <w:r w:rsidRPr="00FE229C">
        <w:rPr>
          <w:rFonts w:ascii="Verdana" w:eastAsia="Verdana" w:hAnsi="Verdana" w:cs="Verdana"/>
          <w:color w:val="000000"/>
          <w:lang w:eastAsia="cs-CZ" w:bidi="cs-CZ"/>
        </w:rPr>
        <w:t>o hlavních probíhajících pracích v daném období včetně fotodokumentace opatřené datovým razítkem,</w:t>
      </w:r>
    </w:p>
    <w:p w14:paraId="7342526B" w14:textId="77777777" w:rsidR="00354B96" w:rsidRPr="00FE229C" w:rsidRDefault="00354B96" w:rsidP="00354B96">
      <w:pPr>
        <w:widowControl w:val="0"/>
        <w:numPr>
          <w:ilvl w:val="3"/>
          <w:numId w:val="9"/>
        </w:numPr>
        <w:tabs>
          <w:tab w:val="left" w:pos="1134"/>
        </w:tabs>
        <w:spacing w:before="0" w:after="60" w:line="221"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kontrola souladu mezi plánem fakturace a skutečnou fakturaci včetně návrhu potřebných opatření při vzniku výraznějších odchylek,</w:t>
      </w:r>
    </w:p>
    <w:p w14:paraId="5260CD61" w14:textId="77777777" w:rsidR="00354B96" w:rsidRPr="00FE229C" w:rsidRDefault="00354B96" w:rsidP="00354B96">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1. věcná kontrola prvotních dokladů o nároku Zhotovitele před jejich podpisem TDS,</w:t>
      </w:r>
    </w:p>
    <w:p w14:paraId="66B3DB7A" w14:textId="77777777" w:rsidR="00354B96" w:rsidRPr="00FE229C" w:rsidRDefault="00354B96" w:rsidP="00354B96">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2. věcná kontrola kompletní fakturace před podpisem TDS (zejména kontrola z</w:t>
      </w:r>
      <w:r>
        <w:rPr>
          <w:rFonts w:ascii="Verdana" w:eastAsia="Verdana" w:hAnsi="Verdana" w:cs="Verdana"/>
          <w:color w:val="000000"/>
          <w:lang w:eastAsia="cs-CZ" w:bidi="cs-CZ"/>
        </w:rPr>
        <w:t> </w:t>
      </w:r>
      <w:r w:rsidRPr="00FE229C">
        <w:rPr>
          <w:rFonts w:ascii="Verdana" w:eastAsia="Verdana" w:hAnsi="Verdana" w:cs="Verdana"/>
          <w:color w:val="000000"/>
          <w:lang w:eastAsia="cs-CZ" w:bidi="cs-CZ"/>
        </w:rPr>
        <w:t>hlediska věcné správnosti a z hlediska kontroly možného neoprávněného pře</w:t>
      </w:r>
      <w:r w:rsidRPr="00FE229C">
        <w:rPr>
          <w:rFonts w:ascii="Verdana" w:eastAsia="Verdana" w:hAnsi="Verdana" w:cs="Verdana"/>
          <w:color w:val="000000"/>
          <w:lang w:eastAsia="cs-CZ" w:bidi="cs-CZ"/>
        </w:rPr>
        <w:softHyphen/>
        <w:t>čerpání jednotlivých položek. Pokud se na stavbě vytváří protokoly o skutečné výměře a</w:t>
      </w:r>
      <w:r>
        <w:rPr>
          <w:rFonts w:ascii="Verdana" w:eastAsia="Verdana" w:hAnsi="Verdana" w:cs="Verdana"/>
          <w:color w:val="000000"/>
          <w:lang w:eastAsia="cs-CZ" w:bidi="cs-CZ"/>
        </w:rPr>
        <w:t> </w:t>
      </w:r>
      <w:r w:rsidRPr="00FE229C">
        <w:rPr>
          <w:rFonts w:ascii="Verdana" w:eastAsia="Verdana" w:hAnsi="Verdana" w:cs="Verdana"/>
          <w:color w:val="000000"/>
          <w:lang w:eastAsia="cs-CZ" w:bidi="cs-CZ"/>
        </w:rPr>
        <w:t>zjišťovací protokoly kontrola jejich náležitostí a věcné správnosti), včetně vložení dat do nezávislého monitorovacího systému, který provádí aktu</w:t>
      </w:r>
      <w:r w:rsidRPr="00FE229C">
        <w:rPr>
          <w:rFonts w:ascii="Verdana" w:eastAsia="Verdana" w:hAnsi="Verdana" w:cs="Verdana"/>
          <w:color w:val="000000"/>
          <w:lang w:eastAsia="cs-CZ" w:bidi="cs-CZ"/>
        </w:rPr>
        <w:softHyphen/>
        <w:t>alizaci Velkého položkového rozpočtu, včetně ověření způsobilosti předpokláda</w:t>
      </w:r>
      <w:r w:rsidRPr="00FE229C">
        <w:rPr>
          <w:rFonts w:ascii="Verdana" w:eastAsia="Verdana" w:hAnsi="Verdana" w:cs="Verdana"/>
          <w:color w:val="000000"/>
          <w:lang w:eastAsia="cs-CZ" w:bidi="cs-CZ"/>
        </w:rPr>
        <w:softHyphen/>
        <w:t>ných výdajů,</w:t>
      </w:r>
    </w:p>
    <w:p w14:paraId="1CF7BDF9" w14:textId="77777777" w:rsidR="00354B96" w:rsidRPr="00FE229C" w:rsidRDefault="00354B96" w:rsidP="00354B96">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finální kontrola všech náležitostí předložené fakturace (faktura. Soupis zjišťova</w:t>
      </w:r>
      <w:r w:rsidRPr="00FE229C">
        <w:rPr>
          <w:rFonts w:ascii="Verdana" w:eastAsia="Verdana" w:hAnsi="Verdana" w:cs="Verdana"/>
          <w:color w:val="000000"/>
          <w:lang w:eastAsia="cs-CZ" w:bidi="cs-CZ"/>
        </w:rPr>
        <w:softHyphen/>
        <w:t>cích protokolů, Soupisy prací, prvotní doklady pro nárok Zhotovitele) v daném období, včetně doložení, že po nezávislém vložení hodnoty nároku ve všech sle</w:t>
      </w:r>
      <w:r w:rsidRPr="00FE229C">
        <w:rPr>
          <w:rFonts w:ascii="Verdana" w:eastAsia="Verdana" w:hAnsi="Verdana" w:cs="Verdana"/>
          <w:color w:val="000000"/>
          <w:lang w:eastAsia="cs-CZ" w:bidi="cs-CZ"/>
        </w:rPr>
        <w:softHyphen/>
        <w:t>dovaných zdrojích jsou korektní,</w:t>
      </w:r>
    </w:p>
    <w:p w14:paraId="673FCD73" w14:textId="77777777" w:rsidR="00354B96" w:rsidRPr="00FE229C" w:rsidRDefault="00354B96" w:rsidP="00354B96">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 xml:space="preserve">pravidelný měsíční </w:t>
      </w:r>
      <w:r w:rsidRPr="00FE229C">
        <w:rPr>
          <w:rFonts w:ascii="Verdana" w:eastAsia="Verdana" w:hAnsi="Verdana" w:cs="Verdana"/>
          <w:color w:val="000000"/>
          <w:lang w:val="en-US" w:bidi="en-US"/>
        </w:rPr>
        <w:t xml:space="preserve">reporting </w:t>
      </w:r>
      <w:r w:rsidRPr="00FE229C">
        <w:rPr>
          <w:rFonts w:ascii="Verdana" w:eastAsia="Verdana" w:hAnsi="Verdana" w:cs="Verdana"/>
          <w:color w:val="000000"/>
          <w:lang w:eastAsia="cs-CZ" w:bidi="cs-CZ"/>
        </w:rPr>
        <w:t>o proběhlé fakturaci, včetně doložení výsledků z</w:t>
      </w:r>
      <w:r>
        <w:rPr>
          <w:rFonts w:ascii="Verdana" w:eastAsia="Verdana" w:hAnsi="Verdana" w:cs="Verdana"/>
          <w:color w:val="000000"/>
          <w:lang w:eastAsia="cs-CZ" w:bidi="cs-CZ"/>
        </w:rPr>
        <w:t> </w:t>
      </w:r>
      <w:r w:rsidRPr="00FE229C">
        <w:rPr>
          <w:rFonts w:ascii="Verdana" w:eastAsia="Verdana" w:hAnsi="Verdana" w:cs="Verdana"/>
          <w:color w:val="000000"/>
          <w:lang w:eastAsia="cs-CZ" w:bidi="cs-CZ"/>
        </w:rPr>
        <w:t xml:space="preserve">monitorovacího systému ve formě tabulky po jednotlivých PS </w:t>
      </w:r>
      <w:r w:rsidRPr="00FE229C">
        <w:rPr>
          <w:rFonts w:ascii="Verdana" w:eastAsia="Verdana" w:hAnsi="Verdana" w:cs="Verdana"/>
          <w:color w:val="000000"/>
          <w:lang w:val="en-US" w:bidi="en-US"/>
        </w:rPr>
        <w:t xml:space="preserve">a SO </w:t>
      </w:r>
      <w:r w:rsidRPr="00FE229C">
        <w:rPr>
          <w:rFonts w:ascii="Verdana" w:eastAsia="Verdana" w:hAnsi="Verdana" w:cs="Verdana"/>
          <w:color w:val="000000"/>
          <w:lang w:eastAsia="cs-CZ" w:bidi="cs-CZ"/>
        </w:rPr>
        <w:t>a ve formě Velkého položkového rozpočtu,</w:t>
      </w:r>
    </w:p>
    <w:p w14:paraId="15B9A65F" w14:textId="77777777" w:rsidR="00354B96" w:rsidRPr="00FE229C" w:rsidRDefault="00354B96" w:rsidP="00354B96">
      <w:pPr>
        <w:keepNext/>
        <w:keepLines/>
        <w:widowControl w:val="0"/>
        <w:numPr>
          <w:ilvl w:val="2"/>
          <w:numId w:val="9"/>
        </w:numPr>
        <w:tabs>
          <w:tab w:val="left" w:pos="1134"/>
        </w:tabs>
        <w:spacing w:before="0" w:after="60" w:line="180" w:lineRule="exact"/>
        <w:outlineLvl w:val="2"/>
        <w:rPr>
          <w:rFonts w:ascii="Verdana" w:eastAsia="Verdana" w:hAnsi="Verdana" w:cs="Verdana"/>
          <w:b/>
          <w:bCs/>
          <w:lang w:eastAsia="cs-CZ" w:bidi="cs-CZ"/>
        </w:rPr>
      </w:pPr>
      <w:bookmarkStart w:id="8" w:name="bookmark5"/>
      <w:r w:rsidRPr="00FE229C">
        <w:rPr>
          <w:rFonts w:ascii="Verdana" w:eastAsia="Verdana" w:hAnsi="Verdana" w:cs="Verdana"/>
          <w:b/>
          <w:bCs/>
          <w:color w:val="000000"/>
          <w:lang w:eastAsia="cs-CZ" w:bidi="cs-CZ"/>
        </w:rPr>
        <w:t>Aktualizace časového postupu prací podle harmonogramu</w:t>
      </w:r>
      <w:bookmarkEnd w:id="8"/>
    </w:p>
    <w:p w14:paraId="0E304C14" w14:textId="77777777" w:rsidR="00354B96" w:rsidRPr="00FE229C" w:rsidRDefault="00354B96" w:rsidP="00354B96">
      <w:pPr>
        <w:widowControl w:val="0"/>
        <w:tabs>
          <w:tab w:val="left" w:pos="1418"/>
        </w:tabs>
        <w:spacing w:before="0" w:after="60" w:line="211" w:lineRule="exact"/>
        <w:ind w:left="1134"/>
        <w:rPr>
          <w:rFonts w:ascii="Verdana" w:eastAsia="Verdana" w:hAnsi="Verdana" w:cs="Verdana"/>
          <w:lang w:eastAsia="cs-CZ" w:bidi="cs-CZ"/>
        </w:rPr>
      </w:pPr>
      <w:r w:rsidRPr="00FE229C">
        <w:rPr>
          <w:rFonts w:ascii="Verdana" w:eastAsia="Verdana" w:hAnsi="Verdana" w:cs="Verdana"/>
          <w:color w:val="000000"/>
          <w:lang w:eastAsia="cs-CZ" w:bidi="cs-CZ"/>
        </w:rPr>
        <w:t>součástí pravidelného měsíčního reportingu bude i aktualizace průběhu prací podle jednotlivých stavebních postupů</w:t>
      </w:r>
    </w:p>
    <w:p w14:paraId="6DE34C44" w14:textId="77777777" w:rsidR="00354B96" w:rsidRPr="00FE229C" w:rsidRDefault="00354B96" w:rsidP="00354B96">
      <w:pPr>
        <w:keepNext/>
        <w:keepLines/>
        <w:widowControl w:val="0"/>
        <w:numPr>
          <w:ilvl w:val="2"/>
          <w:numId w:val="9"/>
        </w:numPr>
        <w:tabs>
          <w:tab w:val="left" w:pos="1134"/>
        </w:tabs>
        <w:spacing w:before="0" w:after="60" w:line="180" w:lineRule="exact"/>
        <w:outlineLvl w:val="2"/>
        <w:rPr>
          <w:rFonts w:ascii="Verdana" w:eastAsia="Verdana" w:hAnsi="Verdana" w:cs="Verdana"/>
          <w:b/>
          <w:bCs/>
          <w:lang w:eastAsia="cs-CZ" w:bidi="cs-CZ"/>
        </w:rPr>
      </w:pPr>
      <w:bookmarkStart w:id="9" w:name="bookmark6"/>
      <w:r w:rsidRPr="00FE229C">
        <w:rPr>
          <w:rFonts w:ascii="Verdana" w:eastAsia="Verdana" w:hAnsi="Verdana" w:cs="Verdana"/>
          <w:b/>
          <w:bCs/>
          <w:color w:val="000000"/>
          <w:lang w:eastAsia="cs-CZ" w:bidi="cs-CZ"/>
        </w:rPr>
        <w:t>Kontrola oprávněnosti změn</w:t>
      </w:r>
      <w:bookmarkEnd w:id="9"/>
    </w:p>
    <w:p w14:paraId="43F1C4F7" w14:textId="77777777" w:rsidR="00354B96" w:rsidRPr="00FE229C" w:rsidRDefault="00354B96" w:rsidP="00354B96">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spolupráce při včasné evidenci jednotlivých změn, jejich posouzení, projednání a</w:t>
      </w:r>
      <w:r>
        <w:rPr>
          <w:rFonts w:ascii="Verdana" w:eastAsia="Verdana" w:hAnsi="Verdana" w:cs="Verdana"/>
          <w:color w:val="000000"/>
          <w:lang w:eastAsia="cs-CZ" w:bidi="cs-CZ"/>
        </w:rPr>
        <w:t> </w:t>
      </w:r>
      <w:r w:rsidRPr="00FE229C">
        <w:rPr>
          <w:rFonts w:ascii="Verdana" w:eastAsia="Verdana" w:hAnsi="Verdana" w:cs="Verdana"/>
          <w:color w:val="000000"/>
          <w:lang w:eastAsia="cs-CZ" w:bidi="cs-CZ"/>
        </w:rPr>
        <w:t>schválení před jejich realizací (pokud v daném případě není jmenovitě řečeno jinak),</w:t>
      </w:r>
    </w:p>
    <w:p w14:paraId="2D1DFFBD" w14:textId="77777777" w:rsidR="00354B96" w:rsidRPr="00FE229C" w:rsidRDefault="00354B96" w:rsidP="00354B96">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doporučení vhodného způsobu jejich projednání podle Zákona o zadávání veřej</w:t>
      </w:r>
      <w:r w:rsidRPr="00FE229C">
        <w:rPr>
          <w:rFonts w:ascii="Verdana" w:eastAsia="Verdana" w:hAnsi="Verdana" w:cs="Verdana"/>
          <w:color w:val="000000"/>
          <w:lang w:eastAsia="cs-CZ" w:bidi="cs-CZ"/>
        </w:rPr>
        <w:softHyphen/>
        <w:t>ných zakázek (ZZVZ),</w:t>
      </w:r>
    </w:p>
    <w:p w14:paraId="72E8BE7D" w14:textId="77777777" w:rsidR="00354B96" w:rsidRPr="00FE229C" w:rsidRDefault="00354B96" w:rsidP="00354B96">
      <w:pPr>
        <w:widowControl w:val="0"/>
        <w:numPr>
          <w:ilvl w:val="3"/>
          <w:numId w:val="9"/>
        </w:numPr>
        <w:tabs>
          <w:tab w:val="left" w:pos="1134"/>
        </w:tabs>
        <w:spacing w:before="0" w:after="60" w:line="180" w:lineRule="exact"/>
        <w:rPr>
          <w:rFonts w:ascii="Verdana" w:eastAsia="Verdana" w:hAnsi="Verdana" w:cs="Verdana"/>
          <w:lang w:eastAsia="cs-CZ" w:bidi="cs-CZ"/>
        </w:rPr>
      </w:pPr>
      <w:r w:rsidRPr="00FE229C">
        <w:rPr>
          <w:rFonts w:ascii="Verdana" w:eastAsia="Verdana" w:hAnsi="Verdana" w:cs="Verdana"/>
          <w:color w:val="000000"/>
          <w:lang w:eastAsia="cs-CZ" w:bidi="cs-CZ"/>
        </w:rPr>
        <w:t>vedení přehledu projednávaných a schválených změn,</w:t>
      </w:r>
    </w:p>
    <w:p w14:paraId="65E0B087" w14:textId="77777777" w:rsidR="00354B96" w:rsidRPr="00FE229C" w:rsidRDefault="00354B96" w:rsidP="00354B96">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věcná kontrola podkladů (v položkovém členění) pro jednotlivé změny, kontrola nároku Zhotovitele, způsob ocenění a způsobilosti předpokládaných výdajů, do</w:t>
      </w:r>
      <w:r w:rsidRPr="00FE229C">
        <w:rPr>
          <w:rFonts w:ascii="Verdana" w:eastAsia="Verdana" w:hAnsi="Verdana" w:cs="Verdana"/>
          <w:color w:val="000000"/>
          <w:lang w:eastAsia="cs-CZ" w:bidi="cs-CZ"/>
        </w:rPr>
        <w:softHyphen/>
        <w:t>poručení vhodného způsobu označení měněných položek tak, aby bylo možné sledovat jejich fakturaci nezávisle na předložené nabídce Zhotovitele a ve vazbě na</w:t>
      </w:r>
      <w:r>
        <w:rPr>
          <w:rFonts w:ascii="Verdana" w:eastAsia="Verdana" w:hAnsi="Verdana" w:cs="Verdana"/>
          <w:color w:val="000000"/>
          <w:lang w:eastAsia="cs-CZ" w:bidi="cs-CZ"/>
        </w:rPr>
        <w:t> </w:t>
      </w:r>
      <w:r w:rsidRPr="00FE229C">
        <w:rPr>
          <w:rFonts w:ascii="Verdana" w:eastAsia="Verdana" w:hAnsi="Verdana" w:cs="Verdana"/>
          <w:color w:val="000000"/>
          <w:lang w:eastAsia="cs-CZ" w:bidi="cs-CZ"/>
        </w:rPr>
        <w:t>příslušný dodatek smlouvy,</w:t>
      </w:r>
    </w:p>
    <w:p w14:paraId="77E11344" w14:textId="77777777" w:rsidR="00354B96" w:rsidRPr="00FE229C" w:rsidRDefault="00354B96" w:rsidP="00354B96">
      <w:pPr>
        <w:widowControl w:val="0"/>
        <w:numPr>
          <w:ilvl w:val="3"/>
          <w:numId w:val="9"/>
        </w:numPr>
        <w:tabs>
          <w:tab w:val="left" w:pos="1134"/>
        </w:tabs>
        <w:spacing w:before="0" w:after="60" w:line="221"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příprava podkladů pro případný dodatek Smlouvy o dílo (</w:t>
      </w:r>
      <w:proofErr w:type="spellStart"/>
      <w:r w:rsidRPr="00FE229C">
        <w:rPr>
          <w:rFonts w:ascii="Verdana" w:eastAsia="Verdana" w:hAnsi="Verdana" w:cs="Verdana"/>
          <w:color w:val="000000"/>
          <w:lang w:eastAsia="cs-CZ" w:bidi="cs-CZ"/>
        </w:rPr>
        <w:t>SoD</w:t>
      </w:r>
      <w:proofErr w:type="spellEnd"/>
      <w:r w:rsidRPr="00FE229C">
        <w:rPr>
          <w:rFonts w:ascii="Verdana" w:eastAsia="Verdana" w:hAnsi="Verdana" w:cs="Verdana"/>
          <w:color w:val="000000"/>
          <w:lang w:eastAsia="cs-CZ" w:bidi="cs-CZ"/>
        </w:rPr>
        <w:t>), dokládající úpravu smluvní situace, bude-li taková činnost Objednatelem po Zhotoviteli vy</w:t>
      </w:r>
      <w:r w:rsidRPr="00FE229C">
        <w:rPr>
          <w:rFonts w:ascii="Verdana" w:eastAsia="Verdana" w:hAnsi="Verdana" w:cs="Verdana"/>
          <w:color w:val="000000"/>
          <w:lang w:eastAsia="cs-CZ" w:bidi="cs-CZ"/>
        </w:rPr>
        <w:softHyphen/>
        <w:t>žadována,</w:t>
      </w:r>
    </w:p>
    <w:p w14:paraId="10AD0AF2" w14:textId="77777777" w:rsidR="00354B96" w:rsidRPr="00FE229C" w:rsidRDefault="00354B96" w:rsidP="00354B96">
      <w:pPr>
        <w:widowControl w:val="0"/>
        <w:numPr>
          <w:ilvl w:val="3"/>
          <w:numId w:val="9"/>
        </w:numPr>
        <w:tabs>
          <w:tab w:val="left" w:pos="1134"/>
        </w:tabs>
        <w:spacing w:before="0" w:after="60" w:line="221"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 xml:space="preserve">pravidelný </w:t>
      </w:r>
      <w:r w:rsidRPr="00FE229C">
        <w:rPr>
          <w:rFonts w:ascii="Verdana" w:eastAsia="Verdana" w:hAnsi="Verdana" w:cs="Verdana"/>
          <w:color w:val="000000"/>
          <w:lang w:val="en-US" w:bidi="en-US"/>
        </w:rPr>
        <w:t xml:space="preserve">reporting </w:t>
      </w:r>
      <w:r w:rsidRPr="00FE229C">
        <w:rPr>
          <w:rFonts w:ascii="Verdana" w:eastAsia="Verdana" w:hAnsi="Verdana" w:cs="Verdana"/>
          <w:color w:val="000000"/>
          <w:lang w:eastAsia="cs-CZ" w:bidi="cs-CZ"/>
        </w:rPr>
        <w:t>o postupu projednávaní a schvalování změn v měsíčních intervalech,</w:t>
      </w:r>
    </w:p>
    <w:p w14:paraId="5989A77A" w14:textId="77777777" w:rsidR="00354B96" w:rsidRPr="00FE229C" w:rsidRDefault="00354B96" w:rsidP="00354B96">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po schválení příslušného dodatku vložení schválených změn do monitorovacího systému a zajištění aktuální cenové situace ve všech sledovaných zdrojích.</w:t>
      </w:r>
    </w:p>
    <w:p w14:paraId="10EACAB1" w14:textId="77777777" w:rsidR="00354B96" w:rsidRPr="00FE229C" w:rsidRDefault="00354B96" w:rsidP="00354B96">
      <w:pPr>
        <w:keepNext/>
        <w:keepLines/>
        <w:widowControl w:val="0"/>
        <w:numPr>
          <w:ilvl w:val="2"/>
          <w:numId w:val="9"/>
        </w:numPr>
        <w:tabs>
          <w:tab w:val="left" w:pos="1134"/>
        </w:tabs>
        <w:spacing w:before="0" w:after="60" w:line="180" w:lineRule="exact"/>
        <w:outlineLvl w:val="2"/>
        <w:rPr>
          <w:rFonts w:ascii="Verdana" w:eastAsia="Verdana" w:hAnsi="Verdana" w:cs="Verdana"/>
          <w:b/>
          <w:bCs/>
          <w:lang w:eastAsia="cs-CZ" w:bidi="cs-CZ"/>
        </w:rPr>
      </w:pPr>
      <w:bookmarkStart w:id="10" w:name="bookmark7"/>
      <w:r w:rsidRPr="00FE229C">
        <w:rPr>
          <w:rFonts w:ascii="Verdana" w:eastAsia="Verdana" w:hAnsi="Verdana" w:cs="Verdana"/>
          <w:b/>
          <w:bCs/>
          <w:color w:val="000000"/>
          <w:lang w:eastAsia="cs-CZ" w:bidi="cs-CZ"/>
        </w:rPr>
        <w:t xml:space="preserve">Pravidelný měsíční </w:t>
      </w:r>
      <w:r w:rsidRPr="00FE229C">
        <w:rPr>
          <w:rFonts w:ascii="Verdana" w:eastAsia="Verdana" w:hAnsi="Verdana" w:cs="Verdana"/>
          <w:b/>
          <w:bCs/>
          <w:color w:val="000000"/>
          <w:lang w:val="en-US" w:bidi="en-US"/>
        </w:rPr>
        <w:t>reporting</w:t>
      </w:r>
      <w:bookmarkEnd w:id="10"/>
    </w:p>
    <w:p w14:paraId="1A6E93D6" w14:textId="77777777" w:rsidR="00354B96" w:rsidRPr="00FE229C" w:rsidRDefault="00354B96" w:rsidP="00354B96">
      <w:pPr>
        <w:widowControl w:val="0"/>
        <w:tabs>
          <w:tab w:val="left" w:pos="1883"/>
        </w:tabs>
        <w:spacing w:before="0" w:after="60" w:line="226" w:lineRule="exact"/>
        <w:ind w:left="1134"/>
        <w:rPr>
          <w:rFonts w:ascii="Verdana" w:eastAsia="Verdana" w:hAnsi="Verdana" w:cs="Verdana"/>
          <w:lang w:eastAsia="cs-CZ" w:bidi="cs-CZ"/>
        </w:rPr>
      </w:pPr>
      <w:r w:rsidRPr="00FE229C">
        <w:rPr>
          <w:rFonts w:ascii="Verdana" w:eastAsia="Verdana" w:hAnsi="Verdana" w:cs="Verdana"/>
          <w:color w:val="000000"/>
          <w:lang w:eastAsia="cs-CZ" w:bidi="cs-CZ"/>
        </w:rPr>
        <w:t>realizace stavby bude předmětem pravidelného měsíčního reportingu v rozsahu výše uvedených činností.</w:t>
      </w:r>
    </w:p>
    <w:p w14:paraId="1F2A40AD" w14:textId="77777777" w:rsidR="00354B96" w:rsidRPr="00FE229C" w:rsidRDefault="00354B96" w:rsidP="00354B96">
      <w:pPr>
        <w:keepNext/>
        <w:keepLines/>
        <w:widowControl w:val="0"/>
        <w:numPr>
          <w:ilvl w:val="2"/>
          <w:numId w:val="9"/>
        </w:numPr>
        <w:tabs>
          <w:tab w:val="left" w:pos="1134"/>
        </w:tabs>
        <w:spacing w:before="0" w:after="60" w:line="221" w:lineRule="exact"/>
        <w:ind w:left="1134" w:hanging="1134"/>
        <w:outlineLvl w:val="2"/>
        <w:rPr>
          <w:rFonts w:ascii="Verdana" w:eastAsia="Verdana" w:hAnsi="Verdana" w:cs="Verdana"/>
          <w:b/>
          <w:bCs/>
          <w:lang w:eastAsia="cs-CZ" w:bidi="cs-CZ"/>
        </w:rPr>
      </w:pPr>
      <w:bookmarkStart w:id="11" w:name="bookmark8"/>
      <w:r w:rsidRPr="00FE229C">
        <w:rPr>
          <w:rFonts w:ascii="Verdana" w:eastAsia="Verdana" w:hAnsi="Verdana" w:cs="Verdana"/>
          <w:b/>
          <w:bCs/>
          <w:color w:val="000000"/>
          <w:lang w:eastAsia="cs-CZ" w:bidi="cs-CZ"/>
        </w:rPr>
        <w:t>Podklady pro oficiální monitoring průběhu realizace (spolupráce při</w:t>
      </w:r>
      <w:r>
        <w:rPr>
          <w:rFonts w:ascii="Verdana" w:eastAsia="Verdana" w:hAnsi="Verdana" w:cs="Verdana"/>
          <w:b/>
          <w:bCs/>
          <w:color w:val="000000"/>
          <w:lang w:eastAsia="cs-CZ" w:bidi="cs-CZ"/>
        </w:rPr>
        <w:t> </w:t>
      </w:r>
      <w:r w:rsidRPr="00FE229C">
        <w:rPr>
          <w:rFonts w:ascii="Verdana" w:eastAsia="Verdana" w:hAnsi="Verdana" w:cs="Verdana"/>
          <w:b/>
          <w:bCs/>
          <w:color w:val="000000"/>
          <w:lang w:eastAsia="cs-CZ" w:bidi="cs-CZ"/>
        </w:rPr>
        <w:t>zpracování průběžných monitorovacích zpráv)</w:t>
      </w:r>
      <w:bookmarkEnd w:id="11"/>
    </w:p>
    <w:p w14:paraId="32FFEEB6" w14:textId="77777777" w:rsidR="00354B96" w:rsidRPr="00FE229C" w:rsidRDefault="00354B96" w:rsidP="00354B96">
      <w:pPr>
        <w:widowControl w:val="0"/>
        <w:numPr>
          <w:ilvl w:val="3"/>
          <w:numId w:val="9"/>
        </w:numPr>
        <w:tabs>
          <w:tab w:val="left" w:pos="1134"/>
        </w:tabs>
        <w:spacing w:before="0" w:after="60" w:line="221"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podle požadavku Objednatele zajistit potřebné tabulkové podklady pro průběžné monitorovací zprávy o vývoji projektu,</w:t>
      </w:r>
    </w:p>
    <w:p w14:paraId="1F7588FF" w14:textId="77777777" w:rsidR="00354B96" w:rsidRPr="00FE229C" w:rsidRDefault="00354B96" w:rsidP="00354B96">
      <w:pPr>
        <w:keepNext/>
        <w:keepLines/>
        <w:widowControl w:val="0"/>
        <w:numPr>
          <w:ilvl w:val="2"/>
          <w:numId w:val="9"/>
        </w:numPr>
        <w:tabs>
          <w:tab w:val="left" w:pos="1134"/>
        </w:tabs>
        <w:spacing w:before="0" w:after="60" w:line="180" w:lineRule="exact"/>
        <w:outlineLvl w:val="2"/>
        <w:rPr>
          <w:rFonts w:ascii="Verdana" w:eastAsia="Verdana" w:hAnsi="Verdana" w:cs="Verdana"/>
          <w:b/>
          <w:bCs/>
          <w:lang w:eastAsia="cs-CZ" w:bidi="cs-CZ"/>
        </w:rPr>
      </w:pPr>
      <w:bookmarkStart w:id="12" w:name="bookmark9"/>
      <w:r w:rsidRPr="00FE229C">
        <w:rPr>
          <w:rFonts w:ascii="Verdana" w:eastAsia="Verdana" w:hAnsi="Verdana" w:cs="Verdana"/>
          <w:b/>
          <w:bCs/>
          <w:color w:val="000000"/>
          <w:lang w:eastAsia="cs-CZ" w:bidi="cs-CZ"/>
        </w:rPr>
        <w:t>Další podpora činnosti TDS</w:t>
      </w:r>
      <w:bookmarkEnd w:id="12"/>
    </w:p>
    <w:p w14:paraId="7B15600C" w14:textId="77777777" w:rsidR="00354B96" w:rsidRPr="00FE229C" w:rsidRDefault="00354B96" w:rsidP="00354B96">
      <w:pPr>
        <w:widowControl w:val="0"/>
        <w:numPr>
          <w:ilvl w:val="3"/>
          <w:numId w:val="9"/>
        </w:numPr>
        <w:tabs>
          <w:tab w:val="left" w:pos="1134"/>
        </w:tabs>
        <w:spacing w:before="0" w:after="60" w:line="221"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měsíční vyhodnocení zpracování zjišťovacích protokolů s ohledem na jednoznač</w:t>
      </w:r>
      <w:r w:rsidRPr="00FE229C">
        <w:rPr>
          <w:rFonts w:ascii="Verdana" w:eastAsia="Verdana" w:hAnsi="Verdana" w:cs="Verdana"/>
          <w:color w:val="000000"/>
          <w:lang w:eastAsia="cs-CZ" w:bidi="cs-CZ"/>
        </w:rPr>
        <w:softHyphen/>
        <w:t xml:space="preserve">nou </w:t>
      </w:r>
      <w:r w:rsidRPr="00FE229C">
        <w:rPr>
          <w:rFonts w:ascii="Verdana" w:eastAsia="Verdana" w:hAnsi="Verdana" w:cs="Verdana"/>
          <w:color w:val="000000"/>
          <w:lang w:eastAsia="cs-CZ" w:bidi="cs-CZ"/>
        </w:rPr>
        <w:lastRenderedPageBreak/>
        <w:t>lokalizaci a množství vykonaných prací, výsledky vyhodnocení Zhotovitel zpracuje ve formě písemného stanoviska pro Objednatele,</w:t>
      </w:r>
    </w:p>
    <w:p w14:paraId="7E129C26" w14:textId="77777777" w:rsidR="00354B96" w:rsidRPr="00FE229C" w:rsidRDefault="00354B96" w:rsidP="00354B96">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finální vyhodnocení zjišťovacích protokolů s ohledem na jednoznačnou lokalizaci a</w:t>
      </w:r>
      <w:r>
        <w:rPr>
          <w:rFonts w:ascii="Verdana" w:eastAsia="Verdana" w:hAnsi="Verdana" w:cs="Verdana"/>
          <w:color w:val="000000"/>
          <w:lang w:eastAsia="cs-CZ" w:bidi="cs-CZ"/>
        </w:rPr>
        <w:t> </w:t>
      </w:r>
      <w:r w:rsidRPr="00FE229C">
        <w:rPr>
          <w:rFonts w:ascii="Verdana" w:eastAsia="Verdana" w:hAnsi="Verdana" w:cs="Verdana"/>
          <w:color w:val="000000"/>
          <w:lang w:eastAsia="cs-CZ" w:bidi="cs-CZ"/>
        </w:rPr>
        <w:t>množství vykonaných prací, výsledky vyhodnocení Zhotovitel zpracuje ve formě písemného stanoviska pro Objednatele,</w:t>
      </w:r>
    </w:p>
    <w:p w14:paraId="2AFD5E4F" w14:textId="77777777" w:rsidR="00354B96" w:rsidRPr="00FE229C" w:rsidRDefault="00354B96" w:rsidP="00354B96">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průběžná aktualizace souhrnných rozpočtů počínaje fází 4 „po soutěži" až do fáze 6 „po skončení realizace".</w:t>
      </w:r>
    </w:p>
    <w:p w14:paraId="5517C3F4" w14:textId="77777777" w:rsidR="00354B96" w:rsidRPr="00FE229C" w:rsidRDefault="00354B96" w:rsidP="00354B96">
      <w:pPr>
        <w:keepNext/>
        <w:keepLines/>
        <w:widowControl w:val="0"/>
        <w:numPr>
          <w:ilvl w:val="2"/>
          <w:numId w:val="9"/>
        </w:numPr>
        <w:tabs>
          <w:tab w:val="left" w:pos="1134"/>
        </w:tabs>
        <w:spacing w:before="0" w:after="60" w:line="180" w:lineRule="exact"/>
        <w:outlineLvl w:val="2"/>
        <w:rPr>
          <w:rFonts w:ascii="Verdana" w:eastAsia="Verdana" w:hAnsi="Verdana" w:cs="Verdana"/>
          <w:b/>
          <w:bCs/>
          <w:lang w:eastAsia="cs-CZ" w:bidi="cs-CZ"/>
        </w:rPr>
      </w:pPr>
      <w:bookmarkStart w:id="13" w:name="bookmark10"/>
      <w:r w:rsidRPr="00FE229C">
        <w:rPr>
          <w:rFonts w:ascii="Verdana" w:eastAsia="Verdana" w:hAnsi="Verdana" w:cs="Verdana"/>
          <w:b/>
          <w:bCs/>
          <w:color w:val="000000"/>
          <w:lang w:eastAsia="cs-CZ" w:bidi="cs-CZ"/>
        </w:rPr>
        <w:t>Zpracování Závěrečné zprávy o realizaci stavby pro Objednatele</w:t>
      </w:r>
      <w:bookmarkEnd w:id="13"/>
    </w:p>
    <w:p w14:paraId="0BC55DE2" w14:textId="77777777" w:rsidR="00354B96" w:rsidRPr="00FE229C" w:rsidRDefault="00354B96" w:rsidP="00354B96">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po dokončení realizace stavby bude zpracována Závěrečná zpráva rekapitulující především:</w:t>
      </w:r>
    </w:p>
    <w:p w14:paraId="2DAF4C58" w14:textId="77777777" w:rsidR="00354B96" w:rsidRPr="00FE229C" w:rsidRDefault="00354B96" w:rsidP="00354B96">
      <w:pPr>
        <w:widowControl w:val="0"/>
        <w:numPr>
          <w:ilvl w:val="0"/>
          <w:numId w:val="10"/>
        </w:numPr>
        <w:tabs>
          <w:tab w:val="left" w:pos="1418"/>
          <w:tab w:val="left" w:pos="2127"/>
        </w:tabs>
        <w:spacing w:before="0" w:after="60" w:line="180" w:lineRule="exact"/>
        <w:ind w:firstLine="1134"/>
        <w:rPr>
          <w:rFonts w:ascii="Verdana" w:eastAsia="Verdana" w:hAnsi="Verdana" w:cs="Verdana"/>
          <w:lang w:eastAsia="cs-CZ" w:bidi="cs-CZ"/>
        </w:rPr>
      </w:pPr>
      <w:r w:rsidRPr="00FE229C">
        <w:rPr>
          <w:rFonts w:ascii="Verdana" w:eastAsia="Verdana" w:hAnsi="Verdana" w:cs="Verdana"/>
          <w:color w:val="000000"/>
          <w:lang w:eastAsia="cs-CZ" w:bidi="cs-CZ"/>
        </w:rPr>
        <w:t>rozsah a termín hlavních prováděných prací,</w:t>
      </w:r>
    </w:p>
    <w:p w14:paraId="39108A03" w14:textId="77777777" w:rsidR="00354B96" w:rsidRPr="00FE229C" w:rsidRDefault="00354B96" w:rsidP="00354B96">
      <w:pPr>
        <w:widowControl w:val="0"/>
        <w:numPr>
          <w:ilvl w:val="0"/>
          <w:numId w:val="10"/>
        </w:numPr>
        <w:tabs>
          <w:tab w:val="left" w:pos="1418"/>
        </w:tabs>
        <w:spacing w:before="0" w:after="60" w:line="221" w:lineRule="exact"/>
        <w:ind w:left="1418" w:hanging="284"/>
        <w:rPr>
          <w:rFonts w:ascii="Verdana" w:eastAsia="Verdana" w:hAnsi="Verdana" w:cs="Verdana"/>
          <w:lang w:eastAsia="cs-CZ" w:bidi="cs-CZ"/>
        </w:rPr>
      </w:pPr>
      <w:r w:rsidRPr="00FE229C">
        <w:rPr>
          <w:rFonts w:ascii="Verdana" w:eastAsia="Verdana" w:hAnsi="Verdana" w:cs="Verdana"/>
          <w:color w:val="000000"/>
          <w:lang w:eastAsia="cs-CZ" w:bidi="cs-CZ"/>
        </w:rPr>
        <w:t xml:space="preserve">souhrnnou rekapitulaci vývoje situace včetně dopadu všech odsouhlasených změn na jednotlivé PS </w:t>
      </w:r>
      <w:r w:rsidRPr="00FE229C">
        <w:rPr>
          <w:rFonts w:ascii="Verdana" w:eastAsia="Verdana" w:hAnsi="Verdana" w:cs="Verdana"/>
          <w:color w:val="000000"/>
          <w:lang w:val="en-US" w:bidi="en-US"/>
        </w:rPr>
        <w:t xml:space="preserve">a SO, </w:t>
      </w:r>
      <w:r w:rsidRPr="00FE229C">
        <w:rPr>
          <w:rFonts w:ascii="Verdana" w:eastAsia="Verdana" w:hAnsi="Verdana" w:cs="Verdana"/>
          <w:color w:val="000000"/>
          <w:lang w:eastAsia="cs-CZ" w:bidi="cs-CZ"/>
        </w:rPr>
        <w:t>(konečná bilance stavby)</w:t>
      </w:r>
    </w:p>
    <w:p w14:paraId="4A8B57DA" w14:textId="77777777" w:rsidR="00354B96" w:rsidRPr="00A97D22" w:rsidRDefault="00354B96" w:rsidP="00354B96">
      <w:pPr>
        <w:widowControl w:val="0"/>
        <w:numPr>
          <w:ilvl w:val="3"/>
          <w:numId w:val="9"/>
        </w:numPr>
        <w:tabs>
          <w:tab w:val="left" w:pos="1134"/>
        </w:tabs>
        <w:spacing w:before="0" w:after="60" w:line="221"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na vyžádání budou zpracovány podklady pro sestavení souhrnného rozpočtu stavby po realizaci stavby jako podkladu pro následný okruh činností</w:t>
      </w:r>
    </w:p>
    <w:p w14:paraId="5EB619F7" w14:textId="77777777" w:rsidR="00354B96" w:rsidRPr="00FE229C" w:rsidRDefault="00354B96" w:rsidP="00354B96">
      <w:pPr>
        <w:widowControl w:val="0"/>
        <w:numPr>
          <w:ilvl w:val="1"/>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Podle požadavku Objednatele zajistit potřebné tabulkové podklady pro Závěrečnou monito</w:t>
      </w:r>
      <w:r w:rsidRPr="00FE229C">
        <w:rPr>
          <w:rFonts w:ascii="Verdana" w:eastAsia="Verdana" w:hAnsi="Verdana" w:cs="Verdana"/>
          <w:color w:val="000000"/>
          <w:lang w:eastAsia="cs-CZ" w:bidi="cs-CZ"/>
        </w:rPr>
        <w:softHyphen/>
        <w:t>rovací zprávu o vývoji projektu. Podklady budou v souladu se zpracovaným Souhrnným rozpočtem stavby po realizaci stavby. Předmět plnění uvedený v bodě 2 tohoto článku je-li ve formě hmotně zachyceného výsledku, bude předáván vždy alespoň ve dvou výtiscích a jednou digitálně.</w:t>
      </w:r>
    </w:p>
    <w:p w14:paraId="0B0EF56C" w14:textId="77777777" w:rsidR="00354B96" w:rsidRPr="00FE229C" w:rsidRDefault="00354B96" w:rsidP="00354B96">
      <w:pPr>
        <w:widowControl w:val="0"/>
        <w:numPr>
          <w:ilvl w:val="1"/>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w:t>
      </w:r>
      <w:r w:rsidRPr="00FE229C">
        <w:rPr>
          <w:rFonts w:ascii="Verdana" w:eastAsia="Verdana" w:hAnsi="Verdana" w:cs="Verdana"/>
          <w:color w:val="000000"/>
          <w:lang w:eastAsia="cs-CZ" w:bidi="cs-CZ"/>
        </w:rPr>
        <w:softHyphen/>
        <w:t>ného odkladu.</w:t>
      </w:r>
    </w:p>
    <w:p w14:paraId="57E9D7CC" w14:textId="77777777" w:rsidR="00354B96" w:rsidRPr="00FE229C" w:rsidRDefault="00354B96" w:rsidP="00354B96">
      <w:pPr>
        <w:keepNext/>
        <w:keepLines/>
        <w:widowControl w:val="0"/>
        <w:numPr>
          <w:ilvl w:val="0"/>
          <w:numId w:val="9"/>
        </w:numPr>
        <w:tabs>
          <w:tab w:val="left" w:pos="490"/>
        </w:tabs>
        <w:spacing w:before="0" w:after="60" w:line="220" w:lineRule="exact"/>
        <w:outlineLvl w:val="1"/>
        <w:rPr>
          <w:rFonts w:ascii="Verdana" w:eastAsia="Verdana" w:hAnsi="Verdana" w:cs="Verdana"/>
          <w:b/>
          <w:bCs/>
          <w:sz w:val="20"/>
          <w:szCs w:val="20"/>
          <w:lang w:eastAsia="cs-CZ" w:bidi="cs-CZ"/>
        </w:rPr>
      </w:pPr>
      <w:bookmarkStart w:id="14" w:name="bookmark11"/>
      <w:r w:rsidRPr="00FE229C">
        <w:rPr>
          <w:rFonts w:ascii="Verdana" w:eastAsia="Verdana" w:hAnsi="Verdana" w:cs="Verdana"/>
          <w:b/>
          <w:bCs/>
          <w:color w:val="000000"/>
          <w:sz w:val="20"/>
          <w:szCs w:val="20"/>
          <w:lang w:eastAsia="cs-CZ" w:bidi="cs-CZ"/>
        </w:rPr>
        <w:t>Závazné podklady</w:t>
      </w:r>
      <w:bookmarkEnd w:id="14"/>
    </w:p>
    <w:p w14:paraId="4108835A" w14:textId="77777777" w:rsidR="00354B96" w:rsidRPr="00FE229C" w:rsidRDefault="00354B96" w:rsidP="00354B96">
      <w:pPr>
        <w:widowControl w:val="0"/>
        <w:spacing w:before="0" w:after="60" w:line="180"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 xml:space="preserve">2.1 </w:t>
      </w:r>
      <w:r>
        <w:rPr>
          <w:rFonts w:ascii="Verdana" w:eastAsia="Verdana" w:hAnsi="Verdana" w:cs="Verdana"/>
          <w:color w:val="000000"/>
          <w:lang w:eastAsia="cs-CZ" w:bidi="cs-CZ"/>
        </w:rPr>
        <w:tab/>
      </w:r>
      <w:r w:rsidRPr="00FE229C">
        <w:rPr>
          <w:rFonts w:ascii="Verdana" w:eastAsia="Verdana" w:hAnsi="Verdana" w:cs="Verdana"/>
          <w:color w:val="000000"/>
          <w:lang w:eastAsia="cs-CZ" w:bidi="cs-CZ"/>
        </w:rPr>
        <w:t>Smlouva bude plněna v souladu s následujícími dokumenty:</w:t>
      </w:r>
    </w:p>
    <w:p w14:paraId="7EA3F027" w14:textId="77777777" w:rsidR="00354B96" w:rsidRPr="002E6353" w:rsidRDefault="00354B96" w:rsidP="00354B96">
      <w:pPr>
        <w:widowControl w:val="0"/>
        <w:numPr>
          <w:ilvl w:val="0"/>
          <w:numId w:val="11"/>
        </w:numPr>
        <w:tabs>
          <w:tab w:val="left" w:pos="1034"/>
        </w:tabs>
        <w:spacing w:before="0" w:after="60" w:line="278" w:lineRule="exact"/>
        <w:ind w:left="1418" w:hanging="284"/>
        <w:rPr>
          <w:rFonts w:ascii="Verdana" w:eastAsia="Verdana" w:hAnsi="Verdana" w:cs="Verdana"/>
          <w:color w:val="000000"/>
          <w:lang w:eastAsia="cs-CZ" w:bidi="cs-CZ"/>
        </w:rPr>
      </w:pPr>
      <w:r w:rsidRPr="00FE229C">
        <w:rPr>
          <w:rFonts w:ascii="Verdana" w:eastAsia="Verdana" w:hAnsi="Verdana" w:cs="Verdana"/>
          <w:color w:val="000000"/>
          <w:lang w:eastAsia="cs-CZ" w:bidi="cs-CZ"/>
        </w:rPr>
        <w:t>Směrnice S</w:t>
      </w:r>
      <w:r>
        <w:rPr>
          <w:rFonts w:ascii="Verdana" w:eastAsia="Verdana" w:hAnsi="Verdana" w:cs="Verdana"/>
          <w:color w:val="000000"/>
          <w:lang w:eastAsia="cs-CZ" w:bidi="cs-CZ"/>
        </w:rPr>
        <w:t>Ž</w:t>
      </w:r>
      <w:r w:rsidRPr="00FE229C">
        <w:rPr>
          <w:rFonts w:ascii="Verdana" w:eastAsia="Verdana" w:hAnsi="Verdana" w:cs="Verdana"/>
          <w:color w:val="000000"/>
          <w:lang w:eastAsia="cs-CZ" w:bidi="cs-CZ"/>
        </w:rPr>
        <w:t xml:space="preserve"> SM053 Zadávání veřejných zakázek, v platném znění</w:t>
      </w:r>
    </w:p>
    <w:p w14:paraId="72410DEA" w14:textId="77777777" w:rsidR="00354B96" w:rsidRPr="00FE229C" w:rsidRDefault="00354B96" w:rsidP="00354B96">
      <w:pPr>
        <w:widowControl w:val="0"/>
        <w:numPr>
          <w:ilvl w:val="0"/>
          <w:numId w:val="11"/>
        </w:numPr>
        <w:tabs>
          <w:tab w:val="left" w:pos="1034"/>
        </w:tabs>
        <w:spacing w:before="0" w:after="60" w:line="278" w:lineRule="exact"/>
        <w:ind w:left="1418" w:hanging="284"/>
        <w:rPr>
          <w:rFonts w:ascii="Verdana" w:eastAsia="Verdana" w:hAnsi="Verdana" w:cs="Verdana"/>
          <w:lang w:eastAsia="cs-CZ" w:bidi="cs-CZ"/>
        </w:rPr>
      </w:pPr>
      <w:r w:rsidRPr="00FE229C">
        <w:rPr>
          <w:rFonts w:ascii="Verdana" w:eastAsia="Verdana" w:hAnsi="Verdana" w:cs="Verdana"/>
          <w:color w:val="000000"/>
          <w:lang w:eastAsia="cs-CZ" w:bidi="cs-CZ"/>
        </w:rPr>
        <w:t>Směrnice SŽDC č. 20 pro stanovení a členění investičních nákladů staveb státní</w:t>
      </w:r>
      <w:r>
        <w:rPr>
          <w:rFonts w:ascii="Verdana" w:eastAsia="Verdana" w:hAnsi="Verdana" w:cs="Verdana"/>
          <w:color w:val="000000"/>
          <w:lang w:eastAsia="cs-CZ" w:bidi="cs-CZ"/>
        </w:rPr>
        <w:t xml:space="preserve"> </w:t>
      </w:r>
      <w:r w:rsidRPr="00FE229C">
        <w:rPr>
          <w:rFonts w:ascii="Verdana" w:eastAsia="Verdana" w:hAnsi="Verdana" w:cs="Verdana"/>
          <w:color w:val="000000"/>
          <w:lang w:eastAsia="cs-CZ" w:bidi="cs-CZ"/>
        </w:rPr>
        <w:t>organizace Správa železniční dopravní cesty, v platném znění</w:t>
      </w:r>
    </w:p>
    <w:p w14:paraId="44BFACB0" w14:textId="77777777" w:rsidR="00354B96" w:rsidRPr="002E6353" w:rsidRDefault="00354B96" w:rsidP="00354B96">
      <w:pPr>
        <w:widowControl w:val="0"/>
        <w:numPr>
          <w:ilvl w:val="0"/>
          <w:numId w:val="11"/>
        </w:numPr>
        <w:tabs>
          <w:tab w:val="left" w:pos="1034"/>
        </w:tabs>
        <w:spacing w:before="0" w:after="60" w:line="278" w:lineRule="exact"/>
        <w:ind w:left="1418" w:hanging="284"/>
        <w:rPr>
          <w:rFonts w:ascii="Verdana" w:eastAsia="Verdana" w:hAnsi="Verdana" w:cs="Verdana"/>
          <w:color w:val="000000"/>
          <w:lang w:eastAsia="cs-CZ" w:bidi="cs-CZ"/>
        </w:rPr>
      </w:pPr>
      <w:r w:rsidRPr="00FE229C">
        <w:rPr>
          <w:rFonts w:ascii="Verdana" w:eastAsia="Verdana" w:hAnsi="Verdana" w:cs="Verdana"/>
          <w:color w:val="000000"/>
          <w:lang w:eastAsia="cs-CZ" w:bidi="cs-CZ"/>
        </w:rPr>
        <w:t>Směrnice SŽ SM041, Oběh účetních dokladů, v platném znění</w:t>
      </w:r>
    </w:p>
    <w:p w14:paraId="0850BE52" w14:textId="77777777" w:rsidR="00354B96" w:rsidRPr="002E6353" w:rsidRDefault="00354B96" w:rsidP="00354B96">
      <w:pPr>
        <w:widowControl w:val="0"/>
        <w:numPr>
          <w:ilvl w:val="0"/>
          <w:numId w:val="11"/>
        </w:numPr>
        <w:tabs>
          <w:tab w:val="left" w:pos="1034"/>
        </w:tabs>
        <w:spacing w:before="0" w:after="60" w:line="278" w:lineRule="exact"/>
        <w:ind w:left="1418" w:hanging="284"/>
        <w:rPr>
          <w:rFonts w:ascii="Verdana" w:eastAsia="Verdana" w:hAnsi="Verdana" w:cs="Verdana"/>
          <w:color w:val="000000"/>
          <w:lang w:eastAsia="cs-CZ" w:bidi="cs-CZ"/>
        </w:rPr>
      </w:pPr>
      <w:r w:rsidRPr="00FE229C">
        <w:rPr>
          <w:rFonts w:ascii="Verdana" w:eastAsia="Verdana" w:hAnsi="Verdana" w:cs="Verdana"/>
          <w:color w:val="000000"/>
          <w:lang w:eastAsia="cs-CZ" w:bidi="cs-CZ"/>
        </w:rPr>
        <w:t>Směrnice SŽDC SM105, Změny během výstavby, v platném znění</w:t>
      </w:r>
    </w:p>
    <w:p w14:paraId="1CA21639" w14:textId="77777777" w:rsidR="00354B96" w:rsidRPr="00FE229C" w:rsidRDefault="00354B96" w:rsidP="00354B96">
      <w:pPr>
        <w:widowControl w:val="0"/>
        <w:numPr>
          <w:ilvl w:val="0"/>
          <w:numId w:val="11"/>
        </w:numPr>
        <w:tabs>
          <w:tab w:val="left" w:pos="960"/>
        </w:tabs>
        <w:spacing w:before="0" w:after="60" w:line="278" w:lineRule="exact"/>
        <w:ind w:left="1418" w:hanging="284"/>
        <w:rPr>
          <w:rFonts w:ascii="Verdana" w:eastAsia="Verdana" w:hAnsi="Verdana" w:cs="Verdana"/>
          <w:lang w:eastAsia="cs-CZ" w:bidi="cs-CZ"/>
        </w:rPr>
      </w:pPr>
      <w:r w:rsidRPr="00FE229C">
        <w:rPr>
          <w:rFonts w:ascii="Verdana" w:eastAsia="Verdana" w:hAnsi="Verdana" w:cs="Verdana"/>
          <w:color w:val="000000"/>
          <w:lang w:eastAsia="cs-CZ" w:bidi="cs-CZ"/>
        </w:rPr>
        <w:t>Technické kvalitativní podmínky staveb státních drah, v platném znění (dále jen „TKP staveb")</w:t>
      </w:r>
    </w:p>
    <w:p w14:paraId="113B58A9" w14:textId="77777777" w:rsidR="00354B96" w:rsidRPr="00FE229C" w:rsidRDefault="00354B96" w:rsidP="00354B96">
      <w:pPr>
        <w:widowControl w:val="0"/>
        <w:numPr>
          <w:ilvl w:val="0"/>
          <w:numId w:val="11"/>
        </w:numPr>
        <w:tabs>
          <w:tab w:val="left" w:pos="960"/>
        </w:tabs>
        <w:spacing w:before="0" w:after="60" w:line="278" w:lineRule="exact"/>
        <w:ind w:left="1418" w:hanging="284"/>
        <w:rPr>
          <w:rFonts w:ascii="Verdana" w:eastAsia="Verdana" w:hAnsi="Verdana" w:cs="Verdana"/>
          <w:lang w:eastAsia="cs-CZ" w:bidi="cs-CZ"/>
        </w:rPr>
      </w:pPr>
      <w:r w:rsidRPr="00FE229C">
        <w:rPr>
          <w:rFonts w:ascii="Verdana" w:eastAsia="Verdana" w:hAnsi="Verdana" w:cs="Verdana"/>
          <w:color w:val="000000"/>
          <w:lang w:eastAsia="cs-CZ" w:bidi="cs-CZ"/>
        </w:rPr>
        <w:t>České technické normy a interní předpisy Objednatele vyjmenované v</w:t>
      </w:r>
      <w:r>
        <w:rPr>
          <w:rFonts w:ascii="Verdana" w:eastAsia="Verdana" w:hAnsi="Verdana" w:cs="Verdana"/>
          <w:color w:val="000000"/>
          <w:lang w:eastAsia="cs-CZ" w:bidi="cs-CZ"/>
        </w:rPr>
        <w:t> </w:t>
      </w:r>
      <w:r w:rsidRPr="00FE229C">
        <w:rPr>
          <w:rFonts w:ascii="Verdana" w:eastAsia="Verdana" w:hAnsi="Verdana" w:cs="Verdana"/>
          <w:color w:val="000000"/>
          <w:lang w:eastAsia="cs-CZ" w:bidi="cs-CZ"/>
        </w:rPr>
        <w:t>příslušných kapitolách TKP staveb a v Technických kvalitativních podmínkách staveb pozemních komunikací (dále také jen „TKP PK") - přístupné na</w:t>
      </w:r>
      <w:hyperlink r:id="rId12" w:history="1">
        <w:r w:rsidRPr="00C733CD">
          <w:rPr>
            <w:rStyle w:val="Hypertextovodkaz"/>
            <w:rFonts w:ascii="Verdana" w:eastAsia="Verdana" w:hAnsi="Verdana" w:cs="Verdana"/>
            <w:lang w:eastAsia="cs-CZ" w:bidi="cs-CZ"/>
          </w:rPr>
          <w:t> </w:t>
        </w:r>
        <w:r w:rsidRPr="00C733CD">
          <w:rPr>
            <w:rStyle w:val="Hypertextovodkaz"/>
            <w:rFonts w:ascii="Verdana" w:eastAsia="Verdana" w:hAnsi="Verdana" w:cs="Verdana"/>
            <w:lang w:val="en-US" w:bidi="en-US"/>
          </w:rPr>
          <w:t>http://typdok.tudc.cz</w:t>
        </w:r>
      </w:hyperlink>
    </w:p>
    <w:p w14:paraId="2CC4F79B" w14:textId="77777777" w:rsidR="00354B96" w:rsidRPr="00FE229C" w:rsidRDefault="00354B96" w:rsidP="00354B96">
      <w:pPr>
        <w:widowControl w:val="0"/>
        <w:numPr>
          <w:ilvl w:val="0"/>
          <w:numId w:val="11"/>
        </w:numPr>
        <w:tabs>
          <w:tab w:val="left" w:pos="960"/>
        </w:tabs>
        <w:spacing w:before="0" w:after="60" w:line="180" w:lineRule="exact"/>
        <w:ind w:firstLine="1134"/>
        <w:rPr>
          <w:rFonts w:ascii="Verdana" w:eastAsia="Verdana" w:hAnsi="Verdana" w:cs="Verdana"/>
          <w:lang w:eastAsia="cs-CZ" w:bidi="cs-CZ"/>
        </w:rPr>
      </w:pPr>
      <w:r>
        <w:rPr>
          <w:rFonts w:ascii="Verdana" w:eastAsia="Verdana" w:hAnsi="Verdana" w:cs="Verdana"/>
          <w:color w:val="000000"/>
          <w:lang w:eastAsia="cs-CZ" w:bidi="cs-CZ"/>
        </w:rPr>
        <w:t>D</w:t>
      </w:r>
      <w:r w:rsidRPr="00FE229C">
        <w:rPr>
          <w:rFonts w:ascii="Verdana" w:eastAsia="Verdana" w:hAnsi="Verdana" w:cs="Verdana"/>
          <w:color w:val="000000"/>
          <w:lang w:eastAsia="cs-CZ" w:bidi="cs-CZ"/>
        </w:rPr>
        <w:t>okumentace stavby</w:t>
      </w:r>
    </w:p>
    <w:p w14:paraId="1B5BAF3B" w14:textId="5C7DD4F4" w:rsidR="00354B96" w:rsidRPr="00FE229C" w:rsidRDefault="00354B96" w:rsidP="00354B96">
      <w:pPr>
        <w:widowControl w:val="0"/>
        <w:numPr>
          <w:ilvl w:val="0"/>
          <w:numId w:val="12"/>
        </w:numPr>
        <w:tabs>
          <w:tab w:val="left" w:pos="1118"/>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w:t>
      </w:r>
      <w:r w:rsidRPr="00FE229C">
        <w:rPr>
          <w:rFonts w:ascii="Verdana" w:eastAsia="Verdana" w:hAnsi="Verdana" w:cs="Verdana"/>
          <w:color w:val="000000"/>
          <w:lang w:eastAsia="cs-CZ" w:bidi="cs-CZ"/>
        </w:rPr>
        <w:softHyphen/>
        <w:t>ních činnostech v prostorách Správy železnic, státní organizace, v platném znění. Dále se Zhotovitel zavazuje zajistit, aby všechny fyzické osoby, které se budou při provádění čin</w:t>
      </w:r>
      <w:r w:rsidRPr="00FE229C">
        <w:rPr>
          <w:rFonts w:ascii="Verdana" w:eastAsia="Verdana" w:hAnsi="Verdana" w:cs="Verdana"/>
          <w:color w:val="000000"/>
          <w:lang w:eastAsia="cs-CZ" w:bidi="cs-CZ"/>
        </w:rPr>
        <w:softHyphen/>
        <w:t>ností pohybovat na dráze nebo v</w:t>
      </w:r>
      <w:r>
        <w:rPr>
          <w:rFonts w:ascii="Verdana" w:eastAsia="Verdana" w:hAnsi="Verdana" w:cs="Verdana"/>
          <w:color w:val="000000"/>
          <w:lang w:eastAsia="cs-CZ" w:bidi="cs-CZ"/>
        </w:rPr>
        <w:t> </w:t>
      </w:r>
      <w:r w:rsidRPr="00FE229C">
        <w:rPr>
          <w:rFonts w:ascii="Verdana" w:eastAsia="Verdana" w:hAnsi="Verdana" w:cs="Verdana"/>
          <w:color w:val="000000"/>
          <w:lang w:eastAsia="cs-CZ" w:bidi="cs-CZ"/>
        </w:rPr>
        <w:t>obvodu dráhy na místech veřejnosti nepřístupných, měly povolení v souladu s</w:t>
      </w:r>
      <w:r>
        <w:rPr>
          <w:rFonts w:ascii="Verdana" w:eastAsia="Verdana" w:hAnsi="Verdana" w:cs="Verdana"/>
          <w:color w:val="000000"/>
          <w:lang w:eastAsia="cs-CZ" w:bidi="cs-CZ"/>
        </w:rPr>
        <w:t> </w:t>
      </w:r>
      <w:r w:rsidRPr="00FE229C">
        <w:rPr>
          <w:rFonts w:ascii="Verdana" w:eastAsia="Verdana" w:hAnsi="Verdana" w:cs="Verdana"/>
          <w:color w:val="000000"/>
          <w:lang w:eastAsia="cs-CZ" w:bidi="cs-CZ"/>
        </w:rPr>
        <w:t xml:space="preserve">předpisem SŽDC ob 1 Díl II </w:t>
      </w:r>
      <w:r w:rsidR="007A5AEB" w:rsidRPr="00FE229C">
        <w:rPr>
          <w:rFonts w:ascii="Verdana" w:eastAsia="Verdana" w:hAnsi="Verdana" w:cs="Verdana"/>
          <w:color w:val="000000"/>
          <w:lang w:eastAsia="cs-CZ" w:bidi="cs-CZ"/>
        </w:rPr>
        <w:t>„Vydání</w:t>
      </w:r>
      <w:r w:rsidRPr="00FE229C">
        <w:rPr>
          <w:rFonts w:ascii="Verdana" w:eastAsia="Verdana" w:hAnsi="Verdana" w:cs="Verdana"/>
          <w:color w:val="000000"/>
          <w:lang w:eastAsia="cs-CZ" w:bidi="cs-CZ"/>
        </w:rPr>
        <w:t xml:space="preserve"> povolení ke vstupu do míst ve</w:t>
      </w:r>
      <w:r w:rsidRPr="00FE229C">
        <w:rPr>
          <w:rFonts w:ascii="Verdana" w:eastAsia="Verdana" w:hAnsi="Verdana" w:cs="Verdana"/>
          <w:color w:val="000000"/>
          <w:lang w:eastAsia="cs-CZ" w:bidi="cs-CZ"/>
        </w:rPr>
        <w:softHyphen/>
        <w:t>řejnosti nepřístupných. Průkaz pro cizí subjekt", schválený GŘ SŽDC dne 26. 3. 2019 pod č.j.: 10583/2019-GŘ-O30, s účinností od 1.4.2019. Zhotovitel se zavazuje provádět kon</w:t>
      </w:r>
      <w:r w:rsidRPr="00FE229C">
        <w:rPr>
          <w:rFonts w:ascii="Verdana" w:eastAsia="Verdana" w:hAnsi="Verdana" w:cs="Verdana"/>
          <w:color w:val="000000"/>
          <w:lang w:eastAsia="cs-CZ" w:bidi="cs-CZ"/>
        </w:rPr>
        <w:softHyphen/>
        <w:t>trolu v souladu se směrnicí Objednatele č. 120 č.j. 36503/2017-SŽDC-GŘ-010 z</w:t>
      </w:r>
      <w:r>
        <w:rPr>
          <w:rFonts w:ascii="Verdana" w:eastAsia="Verdana" w:hAnsi="Verdana" w:cs="Verdana"/>
          <w:color w:val="000000"/>
          <w:lang w:eastAsia="cs-CZ" w:bidi="cs-CZ"/>
        </w:rPr>
        <w:t> </w:t>
      </w:r>
      <w:r w:rsidRPr="00FE229C">
        <w:rPr>
          <w:rFonts w:ascii="Verdana" w:eastAsia="Verdana" w:hAnsi="Verdana" w:cs="Verdana"/>
          <w:color w:val="000000"/>
          <w:lang w:eastAsia="cs-CZ" w:bidi="cs-CZ"/>
        </w:rPr>
        <w:t>3. 11. 2017 „Dodržování zákazu kouření, požívání alkoholických nápojů a užívání jiných návyko</w:t>
      </w:r>
      <w:r w:rsidRPr="00FE229C">
        <w:rPr>
          <w:rFonts w:ascii="Verdana" w:eastAsia="Verdana" w:hAnsi="Verdana" w:cs="Verdana"/>
          <w:color w:val="000000"/>
          <w:lang w:eastAsia="cs-CZ" w:bidi="cs-CZ"/>
        </w:rPr>
        <w:softHyphen/>
        <w:t>vých látek" v platném znění.</w:t>
      </w:r>
    </w:p>
    <w:p w14:paraId="275E2D92" w14:textId="77777777" w:rsidR="00354B96" w:rsidRPr="00FE229C" w:rsidRDefault="00354B96" w:rsidP="00354B96">
      <w:pPr>
        <w:widowControl w:val="0"/>
        <w:numPr>
          <w:ilvl w:val="0"/>
          <w:numId w:val="12"/>
        </w:numPr>
        <w:tabs>
          <w:tab w:val="left" w:pos="1118"/>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Zhotovitel se zavazuje respektovat změny předpisů Objednatele uvedených v čl. 2.1 a no</w:t>
      </w:r>
      <w:r w:rsidRPr="00FE229C">
        <w:rPr>
          <w:rFonts w:ascii="Verdana" w:eastAsia="Verdana" w:hAnsi="Verdana" w:cs="Verdana"/>
          <w:color w:val="000000"/>
          <w:lang w:eastAsia="cs-CZ" w:bidi="cs-CZ"/>
        </w:rPr>
        <w:softHyphen/>
        <w:t>rem, které se týkají předmětu smlouvy, i pokud k nim dojde během provádění činností a pokud mu budou Objednatelem oznámeny.</w:t>
      </w:r>
    </w:p>
    <w:p w14:paraId="63070A49" w14:textId="77777777" w:rsidR="00354B96" w:rsidRPr="00FE229C" w:rsidRDefault="00354B96" w:rsidP="00354B96">
      <w:pPr>
        <w:widowControl w:val="0"/>
        <w:numPr>
          <w:ilvl w:val="0"/>
          <w:numId w:val="12"/>
        </w:numPr>
        <w:tabs>
          <w:tab w:val="left" w:pos="1118"/>
        </w:tabs>
        <w:spacing w:before="0" w:after="60" w:line="221"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 xml:space="preserve">Dále se Zhotovitel zavazuje provádět činnosti v souladu s podmínkami stanovenými </w:t>
      </w:r>
      <w:r w:rsidRPr="00FE229C">
        <w:rPr>
          <w:rFonts w:ascii="Verdana" w:eastAsia="Verdana" w:hAnsi="Verdana" w:cs="Verdana"/>
          <w:color w:val="000000"/>
          <w:lang w:eastAsia="cs-CZ" w:bidi="cs-CZ"/>
        </w:rPr>
        <w:lastRenderedPageBreak/>
        <w:t>smlouvou, vč. jejích příloh.</w:t>
      </w:r>
    </w:p>
    <w:p w14:paraId="202280F7" w14:textId="77777777" w:rsidR="00354B96" w:rsidRPr="00FE229C" w:rsidRDefault="00354B96" w:rsidP="00354B96">
      <w:pPr>
        <w:keepNext/>
        <w:keepLines/>
        <w:widowControl w:val="0"/>
        <w:numPr>
          <w:ilvl w:val="0"/>
          <w:numId w:val="9"/>
        </w:numPr>
        <w:tabs>
          <w:tab w:val="left" w:pos="427"/>
        </w:tabs>
        <w:spacing w:before="0" w:after="60" w:line="341" w:lineRule="exact"/>
        <w:outlineLvl w:val="1"/>
        <w:rPr>
          <w:rFonts w:ascii="Verdana" w:eastAsia="Verdana" w:hAnsi="Verdana" w:cs="Verdana"/>
          <w:b/>
          <w:bCs/>
          <w:sz w:val="20"/>
          <w:szCs w:val="20"/>
          <w:lang w:eastAsia="cs-CZ" w:bidi="cs-CZ"/>
        </w:rPr>
      </w:pPr>
      <w:bookmarkStart w:id="15" w:name="bookmark12"/>
      <w:r w:rsidRPr="00FE229C">
        <w:rPr>
          <w:rFonts w:ascii="Verdana" w:eastAsia="Verdana" w:hAnsi="Verdana" w:cs="Verdana"/>
          <w:b/>
          <w:bCs/>
          <w:color w:val="000000"/>
          <w:sz w:val="20"/>
          <w:szCs w:val="20"/>
          <w:lang w:eastAsia="cs-CZ" w:bidi="cs-CZ"/>
        </w:rPr>
        <w:t>Dílčí termíny</w:t>
      </w:r>
      <w:bookmarkEnd w:id="15"/>
    </w:p>
    <w:p w14:paraId="66BA5387" w14:textId="77777777" w:rsidR="00354B96" w:rsidRPr="00FE229C" w:rsidRDefault="00354B96" w:rsidP="00354B96">
      <w:pPr>
        <w:widowControl w:val="0"/>
        <w:spacing w:before="0" w:after="60" w:line="240" w:lineRule="auto"/>
        <w:ind w:left="1134"/>
        <w:rPr>
          <w:rFonts w:ascii="Verdana" w:eastAsia="Verdana" w:hAnsi="Verdana" w:cs="Verdana"/>
          <w:lang w:eastAsia="cs-CZ" w:bidi="cs-CZ"/>
        </w:rPr>
      </w:pPr>
      <w:r w:rsidRPr="00FE229C">
        <w:rPr>
          <w:rFonts w:ascii="Verdana" w:eastAsia="Verdana" w:hAnsi="Verdana" w:cs="Verdana"/>
          <w:color w:val="000000"/>
          <w:lang w:eastAsia="cs-CZ" w:bidi="cs-CZ"/>
        </w:rPr>
        <w:t>bod 1.2.2.3, 1.2.2.4 a 1.2.2.5 - nejpozději do 5 dnů od předání podkladů,</w:t>
      </w:r>
    </w:p>
    <w:p w14:paraId="15234D0B" w14:textId="77777777" w:rsidR="00354B96" w:rsidRPr="00FE229C" w:rsidRDefault="00354B96" w:rsidP="00354B96">
      <w:pPr>
        <w:widowControl w:val="0"/>
        <w:spacing w:before="0" w:after="60" w:line="240" w:lineRule="auto"/>
        <w:ind w:left="1134"/>
        <w:rPr>
          <w:rFonts w:ascii="Verdana" w:eastAsia="Verdana" w:hAnsi="Verdana" w:cs="Verdana"/>
          <w:lang w:eastAsia="cs-CZ" w:bidi="cs-CZ"/>
        </w:rPr>
      </w:pPr>
      <w:r w:rsidRPr="00FE229C">
        <w:rPr>
          <w:rFonts w:ascii="Verdana" w:eastAsia="Verdana" w:hAnsi="Verdana" w:cs="Verdana"/>
          <w:color w:val="000000"/>
          <w:lang w:eastAsia="cs-CZ" w:bidi="cs-CZ"/>
        </w:rPr>
        <w:t>bod 1.2.4.1, 1.2.4.2 a 1.2.4.4 - nejpozději do 5 dnů od předání podkladů,</w:t>
      </w:r>
    </w:p>
    <w:p w14:paraId="064F6129" w14:textId="77777777" w:rsidR="00354B96" w:rsidRPr="00FE229C" w:rsidRDefault="00354B96" w:rsidP="00354B96">
      <w:pPr>
        <w:widowControl w:val="0"/>
        <w:spacing w:before="0" w:after="60" w:line="240" w:lineRule="auto"/>
        <w:ind w:left="1134"/>
        <w:rPr>
          <w:rFonts w:ascii="Verdana" w:eastAsia="Verdana" w:hAnsi="Verdana" w:cs="Verdana"/>
          <w:lang w:eastAsia="cs-CZ" w:bidi="cs-CZ"/>
        </w:rPr>
      </w:pPr>
      <w:r w:rsidRPr="00FE229C">
        <w:rPr>
          <w:rFonts w:ascii="Verdana" w:eastAsia="Verdana" w:hAnsi="Verdana" w:cs="Verdana"/>
          <w:color w:val="000000"/>
          <w:lang w:eastAsia="cs-CZ" w:bidi="cs-CZ"/>
        </w:rPr>
        <w:t>bod 1.2.5 - nejpozději do 5. dne následujícího kalendářního měsíce</w:t>
      </w:r>
    </w:p>
    <w:p w14:paraId="2E4F2448" w14:textId="77777777" w:rsidR="00354B96" w:rsidRPr="00FE229C" w:rsidRDefault="00354B96" w:rsidP="00354B96">
      <w:pPr>
        <w:widowControl w:val="0"/>
        <w:spacing w:before="0" w:after="60" w:line="240" w:lineRule="auto"/>
        <w:ind w:left="1134"/>
        <w:rPr>
          <w:rFonts w:ascii="Verdana" w:eastAsia="Verdana" w:hAnsi="Verdana" w:cs="Verdana"/>
          <w:lang w:eastAsia="cs-CZ" w:bidi="cs-CZ"/>
        </w:rPr>
      </w:pPr>
      <w:r w:rsidRPr="00FE229C">
        <w:rPr>
          <w:rFonts w:ascii="Verdana" w:eastAsia="Verdana" w:hAnsi="Verdana" w:cs="Verdana"/>
          <w:color w:val="000000"/>
          <w:lang w:eastAsia="cs-CZ" w:bidi="cs-CZ"/>
        </w:rPr>
        <w:t>bod 1.2.7.1 a 1.2.7.2 - nejpozději do 5 dnů od předání podkladů o skutečné výměře,</w:t>
      </w:r>
    </w:p>
    <w:p w14:paraId="2D2FB573" w14:textId="77777777" w:rsidR="00354B96" w:rsidRPr="00FE229C" w:rsidRDefault="00354B96" w:rsidP="00354B96">
      <w:pPr>
        <w:widowControl w:val="0"/>
        <w:spacing w:before="0" w:after="60" w:line="240" w:lineRule="auto"/>
        <w:ind w:left="1134"/>
        <w:rPr>
          <w:rFonts w:ascii="Verdana" w:eastAsia="Verdana" w:hAnsi="Verdana" w:cs="Verdana"/>
          <w:lang w:eastAsia="cs-CZ" w:bidi="cs-CZ"/>
        </w:rPr>
      </w:pPr>
      <w:r w:rsidRPr="00FE229C">
        <w:rPr>
          <w:rFonts w:ascii="Verdana" w:eastAsia="Verdana" w:hAnsi="Verdana" w:cs="Verdana"/>
          <w:color w:val="000000"/>
          <w:lang w:eastAsia="cs-CZ" w:bidi="cs-CZ"/>
        </w:rPr>
        <w:t>bod 1.2.8 - nejpozději do 14 dnů od dokončení realizace stavby</w:t>
      </w:r>
    </w:p>
    <w:p w14:paraId="1A50C7B5" w14:textId="77777777" w:rsidR="00354B96" w:rsidRPr="00FE229C" w:rsidRDefault="00354B96" w:rsidP="00354B96">
      <w:pPr>
        <w:widowControl w:val="0"/>
        <w:spacing w:before="0" w:after="60" w:line="180" w:lineRule="exact"/>
        <w:rPr>
          <w:rFonts w:ascii="Verdana" w:eastAsia="Verdana" w:hAnsi="Verdana" w:cs="Verdana"/>
          <w:b/>
          <w:bCs/>
          <w:i/>
          <w:iCs/>
          <w:lang w:eastAsia="cs-CZ" w:bidi="cs-CZ"/>
        </w:rPr>
      </w:pPr>
      <w:r w:rsidRPr="00FE229C">
        <w:rPr>
          <w:rFonts w:ascii="Verdana" w:eastAsia="Verdana" w:hAnsi="Verdana" w:cs="Verdana"/>
          <w:b/>
          <w:bCs/>
          <w:i/>
          <w:iCs/>
          <w:color w:val="000000"/>
          <w:lang w:eastAsia="cs-CZ" w:bidi="cs-CZ"/>
        </w:rPr>
        <w:t>4</w:t>
      </w:r>
      <w:r w:rsidRPr="00FE229C">
        <w:rPr>
          <w:rFonts w:ascii="Verdana" w:eastAsia="Verdana" w:hAnsi="Verdana" w:cs="Verdana"/>
          <w:b/>
          <w:bCs/>
          <w:color w:val="000000"/>
          <w:sz w:val="20"/>
          <w:szCs w:val="20"/>
          <w:lang w:eastAsia="cs-CZ" w:bidi="cs-CZ"/>
        </w:rPr>
        <w:t xml:space="preserve"> </w:t>
      </w:r>
      <w:r>
        <w:rPr>
          <w:rFonts w:ascii="Verdana" w:eastAsia="Verdana" w:hAnsi="Verdana" w:cs="Verdana"/>
          <w:b/>
          <w:bCs/>
          <w:color w:val="000000"/>
          <w:sz w:val="20"/>
          <w:szCs w:val="20"/>
          <w:lang w:eastAsia="cs-CZ" w:bidi="cs-CZ"/>
        </w:rPr>
        <w:t xml:space="preserve">   </w:t>
      </w:r>
      <w:r w:rsidRPr="00FE229C">
        <w:rPr>
          <w:rFonts w:ascii="Verdana" w:eastAsia="Verdana" w:hAnsi="Verdana" w:cs="Verdana"/>
          <w:b/>
          <w:bCs/>
          <w:color w:val="000000"/>
          <w:sz w:val="20"/>
          <w:szCs w:val="20"/>
          <w:lang w:eastAsia="cs-CZ" w:bidi="cs-CZ"/>
        </w:rPr>
        <w:t>Ostatní</w:t>
      </w:r>
    </w:p>
    <w:p w14:paraId="280A36CF" w14:textId="77777777" w:rsidR="00354B96" w:rsidRPr="00FE229C" w:rsidRDefault="00354B96" w:rsidP="00354B96">
      <w:pPr>
        <w:widowControl w:val="0"/>
        <w:spacing w:before="0" w:after="60" w:line="216" w:lineRule="exact"/>
        <w:ind w:left="1120" w:hanging="1120"/>
        <w:rPr>
          <w:rFonts w:ascii="Verdana" w:eastAsia="Verdana" w:hAnsi="Verdana" w:cs="Verdana"/>
          <w:lang w:eastAsia="cs-CZ" w:bidi="cs-CZ"/>
        </w:rPr>
      </w:pPr>
      <w:r w:rsidRPr="00FE229C">
        <w:rPr>
          <w:rFonts w:ascii="Verdana" w:eastAsia="Verdana" w:hAnsi="Verdana" w:cs="Verdana"/>
          <w:color w:val="000000"/>
          <w:lang w:eastAsia="cs-CZ" w:bidi="cs-CZ"/>
        </w:rPr>
        <w:t xml:space="preserve">4.1 </w:t>
      </w:r>
      <w:r>
        <w:rPr>
          <w:rFonts w:ascii="Verdana" w:eastAsia="Verdana" w:hAnsi="Verdana" w:cs="Verdana"/>
          <w:color w:val="000000"/>
          <w:lang w:eastAsia="cs-CZ" w:bidi="cs-CZ"/>
        </w:rPr>
        <w:tab/>
      </w:r>
      <w:r w:rsidRPr="00FE229C">
        <w:rPr>
          <w:rFonts w:ascii="Verdana" w:eastAsia="Verdana" w:hAnsi="Verdana" w:cs="Verdana"/>
          <w:color w:val="000000"/>
          <w:lang w:eastAsia="cs-CZ" w:bidi="cs-CZ"/>
        </w:rPr>
        <w:t>Zhotovitel se zavazuje poskytnout Objednateli či osobám pověřeným Objednatelem a dalším pověřeným kontrolním orgánům veškerou součinnost, včetně předložení dokladů souvisejí</w:t>
      </w:r>
      <w:r w:rsidRPr="00FE229C">
        <w:rPr>
          <w:rFonts w:ascii="Verdana" w:eastAsia="Verdana" w:hAnsi="Verdana" w:cs="Verdana"/>
          <w:color w:val="000000"/>
          <w:lang w:eastAsia="cs-CZ" w:bidi="cs-CZ"/>
        </w:rPr>
        <w:softHyphen/>
        <w:t>cích s plněním zakázky, při provádění kontroly Objednatele, Zhotovitele 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w:t>
      </w:r>
      <w:r w:rsidRPr="00FE229C">
        <w:rPr>
          <w:rFonts w:ascii="Verdana" w:eastAsia="Verdana" w:hAnsi="Verdana" w:cs="Verdana"/>
          <w:color w:val="000000"/>
          <w:lang w:eastAsia="cs-CZ" w:bidi="cs-CZ"/>
        </w:rPr>
        <w:softHyphen/>
        <w:t>tury dle příslušného dotačního programu a zavazuje se respektovat Objednatelem, nebo jím pověřenou osobou či kontrolním orgánem určený postup a metodiku kontroly, zejména po</w:t>
      </w:r>
      <w:r w:rsidRPr="00FE229C">
        <w:rPr>
          <w:rFonts w:ascii="Verdana" w:eastAsia="Verdana" w:hAnsi="Verdana" w:cs="Verdana"/>
          <w:color w:val="000000"/>
          <w:lang w:eastAsia="cs-CZ" w:bidi="cs-CZ"/>
        </w:rPr>
        <w:softHyphen/>
        <w:t>stupy, které jsou stanoveny v předpisech Evropského společenství pro ochranu finančních zájmů Evropských společenství proti zpronevěře a jiným nesrovnalostem (v případě úhrady nákladů z rozpočtu Evropské unie).</w:t>
      </w:r>
    </w:p>
    <w:p w14:paraId="2AE564B0" w14:textId="77777777" w:rsidR="00354B96" w:rsidRPr="00460B5D" w:rsidRDefault="00354B96" w:rsidP="00354B96">
      <w:pPr>
        <w:widowControl w:val="0"/>
        <w:numPr>
          <w:ilvl w:val="0"/>
          <w:numId w:val="13"/>
        </w:numPr>
        <w:tabs>
          <w:tab w:val="left" w:pos="1105"/>
        </w:tabs>
        <w:spacing w:before="0" w:after="60" w:line="216" w:lineRule="exact"/>
        <w:ind w:left="1120" w:hanging="1120"/>
        <w:rPr>
          <w:rFonts w:ascii="Verdana" w:eastAsia="Verdana" w:hAnsi="Verdana" w:cs="Verdana"/>
          <w:lang w:eastAsia="cs-CZ" w:bidi="cs-CZ"/>
        </w:rPr>
      </w:pPr>
      <w:r w:rsidRPr="00FE229C">
        <w:rPr>
          <w:rFonts w:ascii="Verdana" w:eastAsia="Verdana" w:hAnsi="Verdana" w:cs="Verdana"/>
          <w:color w:val="000000"/>
          <w:lang w:eastAsia="cs-CZ" w:bidi="cs-CZ"/>
        </w:rPr>
        <w:t>Zhotovitel se zavazuje, že umožní zaměstnancům státní organizace Správa železnic a Stát</w:t>
      </w:r>
      <w:r w:rsidRPr="00FE229C">
        <w:rPr>
          <w:rFonts w:ascii="Verdana" w:eastAsia="Verdana" w:hAnsi="Verdana" w:cs="Verdana"/>
          <w:color w:val="000000"/>
          <w:lang w:eastAsia="cs-CZ" w:bidi="cs-CZ"/>
        </w:rPr>
        <w:softHyphen/>
        <w:t>ního fondu dopravní infrastruktury kontrolu efektivního využívání finančních prostředků na té části díla, která je financována a placena z prostředků Státního fondu dopravní infrastruk</w:t>
      </w:r>
      <w:r w:rsidRPr="00FE229C">
        <w:rPr>
          <w:rFonts w:ascii="Verdana" w:eastAsia="Verdana" w:hAnsi="Verdana" w:cs="Verdana"/>
          <w:color w:val="000000"/>
          <w:lang w:eastAsia="cs-CZ" w:bidi="cs-CZ"/>
        </w:rPr>
        <w:softHyphen/>
        <w:t xml:space="preserve">tury. Tato kontrolní činnost musí probíhat v rozsahu </w:t>
      </w:r>
      <w:r w:rsidRPr="00460B5D">
        <w:rPr>
          <w:rFonts w:ascii="Verdana" w:eastAsia="Verdana" w:hAnsi="Verdana" w:cs="Verdana"/>
          <w:color w:val="000000"/>
          <w:lang w:eastAsia="cs-CZ" w:bidi="cs-CZ"/>
        </w:rPr>
        <w:t>kompetencí daných zákonem č. 104/2000 Sb., o Státním fondu dopravní infrastruktury, v platném znění</w:t>
      </w:r>
    </w:p>
    <w:p w14:paraId="3D548456" w14:textId="77777777" w:rsidR="00354B96" w:rsidRPr="00460B5D" w:rsidRDefault="00354B96" w:rsidP="00354B96">
      <w:pPr>
        <w:widowControl w:val="0"/>
        <w:numPr>
          <w:ilvl w:val="0"/>
          <w:numId w:val="13"/>
        </w:numPr>
        <w:tabs>
          <w:tab w:val="left" w:pos="1105"/>
        </w:tabs>
        <w:spacing w:before="0" w:after="60" w:line="216" w:lineRule="exact"/>
        <w:ind w:left="1120" w:hanging="1120"/>
        <w:rPr>
          <w:rFonts w:ascii="Verdana" w:eastAsia="Verdana" w:hAnsi="Verdana" w:cs="Verdana"/>
          <w:lang w:eastAsia="cs-CZ" w:bidi="cs-CZ"/>
        </w:rPr>
      </w:pPr>
      <w:r w:rsidRPr="00460B5D">
        <w:rPr>
          <w:rFonts w:ascii="Verdana" w:eastAsia="Verdana" w:hAnsi="Verdana" w:cs="Verdana"/>
          <w:color w:val="000000"/>
          <w:lang w:eastAsia="cs-CZ" w:bidi="cs-CZ"/>
        </w:rPr>
        <w:t>Zhotovitel se zavazuje dodržovat Přílohu D k pokynu ředitele OŘ HKR SŽ PO-98/2023-OŘ HKR, která byla zveřejněn jako příloha č. 6 Výzvy k podání</w:t>
      </w:r>
      <w:r w:rsidRPr="006604B5">
        <w:rPr>
          <w:rFonts w:ascii="Verdana" w:eastAsia="Verdana" w:hAnsi="Verdana" w:cs="Verdana"/>
          <w:color w:val="000000"/>
          <w:lang w:eastAsia="cs-CZ" w:bidi="cs-CZ"/>
        </w:rPr>
        <w:t xml:space="preserve"> nabídky</w:t>
      </w:r>
    </w:p>
    <w:p w14:paraId="3F988557" w14:textId="750296E4" w:rsidR="0072631F" w:rsidRDefault="0072631F">
      <w:pPr>
        <w:spacing w:before="0" w:after="240"/>
        <w:jc w:val="left"/>
      </w:pPr>
      <w:r>
        <w:br w:type="page"/>
      </w:r>
    </w:p>
    <w:p w14:paraId="2E3F2928" w14:textId="77777777" w:rsidR="0072631F" w:rsidRDefault="0072631F" w:rsidP="0072631F">
      <w:pPr>
        <w:pStyle w:val="Nadpisbezsl1-1"/>
      </w:pPr>
      <w:r>
        <w:lastRenderedPageBreak/>
        <w:t>Příloha č. 3</w:t>
      </w:r>
    </w:p>
    <w:p w14:paraId="481AA10C" w14:textId="1E6D2869" w:rsidR="0072631F" w:rsidRDefault="0072631F" w:rsidP="0072631F">
      <w:pPr>
        <w:widowControl w:val="0"/>
        <w:tabs>
          <w:tab w:val="left" w:pos="1105"/>
        </w:tabs>
        <w:spacing w:before="0" w:after="60" w:line="216" w:lineRule="exact"/>
        <w:jc w:val="left"/>
        <w:rPr>
          <w:rFonts w:asciiTheme="majorHAnsi" w:hAnsiTheme="majorHAnsi"/>
          <w:b/>
          <w:sz w:val="20"/>
          <w:szCs w:val="20"/>
        </w:rPr>
      </w:pPr>
      <w:r w:rsidRPr="00580654">
        <w:rPr>
          <w:rFonts w:asciiTheme="majorHAnsi" w:hAnsiTheme="majorHAnsi"/>
          <w:b/>
          <w:sz w:val="20"/>
          <w:szCs w:val="20"/>
        </w:rPr>
        <w:t>Ceník</w:t>
      </w:r>
      <w:r>
        <w:rPr>
          <w:rFonts w:asciiTheme="majorHAnsi" w:hAnsiTheme="majorHAnsi"/>
          <w:b/>
          <w:sz w:val="20"/>
          <w:szCs w:val="20"/>
        </w:rPr>
        <w:t xml:space="preserve"> služeb</w:t>
      </w:r>
      <w:r w:rsidR="00984D92">
        <w:rPr>
          <w:rFonts w:asciiTheme="majorHAnsi" w:hAnsiTheme="majorHAnsi"/>
          <w:b/>
          <w:sz w:val="20"/>
          <w:szCs w:val="20"/>
        </w:rPr>
        <w:t xml:space="preserve"> nabídka</w:t>
      </w:r>
    </w:p>
    <w:p w14:paraId="7F6399BE" w14:textId="77777777" w:rsidR="00354B96" w:rsidRDefault="00354B96" w:rsidP="00354B96">
      <w:pPr>
        <w:spacing w:before="0"/>
      </w:pPr>
    </w:p>
    <w:p w14:paraId="267896CD" w14:textId="77777777" w:rsidR="007106CF" w:rsidRDefault="007106CF" w:rsidP="00354B96">
      <w:pPr>
        <w:spacing w:before="0"/>
      </w:pPr>
    </w:p>
    <w:tbl>
      <w:tblPr>
        <w:tblStyle w:val="Mkatabulky"/>
        <w:tblW w:w="0" w:type="auto"/>
        <w:tblLook w:val="04A0" w:firstRow="1" w:lastRow="0" w:firstColumn="1" w:lastColumn="0" w:noHBand="0" w:noVBand="1"/>
      </w:tblPr>
      <w:tblGrid>
        <w:gridCol w:w="706"/>
        <w:gridCol w:w="2831"/>
        <w:gridCol w:w="1022"/>
        <w:gridCol w:w="1196"/>
        <w:gridCol w:w="1311"/>
        <w:gridCol w:w="1626"/>
      </w:tblGrid>
      <w:tr w:rsidR="00B174F8" w:rsidRPr="00E85AF1" w14:paraId="5401D2DB" w14:textId="77777777" w:rsidTr="007A5AEB">
        <w:trPr>
          <w:cnfStyle w:val="100000000000" w:firstRow="1" w:lastRow="0" w:firstColumn="0" w:lastColumn="0" w:oddVBand="0" w:evenVBand="0" w:oddHBand="0" w:evenHBand="0" w:firstRowFirstColumn="0" w:firstRowLastColumn="0" w:lastRowFirstColumn="0" w:lastRowLastColumn="0"/>
          <w:trHeight w:val="1035"/>
        </w:trPr>
        <w:tc>
          <w:tcPr>
            <w:cnfStyle w:val="001000000000" w:firstRow="0" w:lastRow="0" w:firstColumn="1" w:lastColumn="0" w:oddVBand="0" w:evenVBand="0" w:oddHBand="0" w:evenHBand="0" w:firstRowFirstColumn="0" w:firstRowLastColumn="0" w:lastRowFirstColumn="0" w:lastRowLastColumn="0"/>
            <w:tcW w:w="706" w:type="dxa"/>
            <w:tcBorders>
              <w:top w:val="single" w:sz="4" w:space="0" w:color="auto"/>
              <w:left w:val="single" w:sz="4" w:space="0" w:color="auto"/>
              <w:bottom w:val="single" w:sz="4" w:space="0" w:color="auto"/>
              <w:right w:val="single" w:sz="4" w:space="0" w:color="auto"/>
            </w:tcBorders>
            <w:hideMark/>
          </w:tcPr>
          <w:p w14:paraId="76B554CB" w14:textId="77777777" w:rsidR="00B174F8" w:rsidRPr="00E85AF1" w:rsidRDefault="00B174F8" w:rsidP="004D1B5E">
            <w:pPr>
              <w:rPr>
                <w:rFonts w:eastAsia="Times New Roman" w:cs="Times New Roman"/>
                <w:lang w:eastAsia="cs-CZ"/>
              </w:rPr>
            </w:pPr>
            <w:r w:rsidRPr="00E85AF1">
              <w:rPr>
                <w:rFonts w:eastAsia="Times New Roman" w:cs="Times New Roman"/>
                <w:lang w:eastAsia="cs-CZ"/>
              </w:rPr>
              <w:t>Položka</w:t>
            </w:r>
          </w:p>
        </w:tc>
        <w:tc>
          <w:tcPr>
            <w:tcW w:w="2831" w:type="dxa"/>
            <w:tcBorders>
              <w:top w:val="single" w:sz="4" w:space="0" w:color="auto"/>
              <w:left w:val="single" w:sz="4" w:space="0" w:color="auto"/>
              <w:bottom w:val="single" w:sz="4" w:space="0" w:color="auto"/>
              <w:right w:val="single" w:sz="4" w:space="0" w:color="auto"/>
            </w:tcBorders>
            <w:hideMark/>
          </w:tcPr>
          <w:p w14:paraId="2582EA55" w14:textId="77777777" w:rsidR="00B174F8" w:rsidRPr="00E85AF1" w:rsidRDefault="00B174F8" w:rsidP="004D1B5E">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r w:rsidRPr="00E85AF1">
              <w:rPr>
                <w:rFonts w:eastAsia="Times New Roman" w:cs="Times New Roman"/>
                <w:lang w:eastAsia="cs-CZ"/>
              </w:rPr>
              <w:t>Popis</w:t>
            </w:r>
          </w:p>
        </w:tc>
        <w:tc>
          <w:tcPr>
            <w:tcW w:w="1022" w:type="dxa"/>
            <w:tcBorders>
              <w:top w:val="single" w:sz="4" w:space="0" w:color="auto"/>
              <w:left w:val="single" w:sz="4" w:space="0" w:color="auto"/>
              <w:bottom w:val="single" w:sz="4" w:space="0" w:color="auto"/>
              <w:right w:val="single" w:sz="4" w:space="0" w:color="auto"/>
            </w:tcBorders>
            <w:hideMark/>
          </w:tcPr>
          <w:p w14:paraId="2A6478A6" w14:textId="77777777" w:rsidR="00B174F8" w:rsidRPr="00E85AF1" w:rsidRDefault="00B174F8" w:rsidP="004D1B5E">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r w:rsidRPr="00E85AF1">
              <w:rPr>
                <w:rFonts w:eastAsia="Times New Roman" w:cs="Times New Roman"/>
                <w:lang w:eastAsia="cs-CZ"/>
              </w:rPr>
              <w:t>Měrná jednotka</w:t>
            </w:r>
            <w:r w:rsidRPr="00E85AF1">
              <w:rPr>
                <w:rFonts w:eastAsia="Times New Roman" w:cs="Times New Roman"/>
                <w:lang w:eastAsia="cs-CZ"/>
              </w:rPr>
              <w:br/>
              <w:t>(MJ)</w:t>
            </w:r>
          </w:p>
        </w:tc>
        <w:tc>
          <w:tcPr>
            <w:tcW w:w="1196" w:type="dxa"/>
            <w:tcBorders>
              <w:top w:val="single" w:sz="4" w:space="0" w:color="auto"/>
              <w:left w:val="single" w:sz="4" w:space="0" w:color="auto"/>
              <w:bottom w:val="single" w:sz="4" w:space="0" w:color="auto"/>
              <w:right w:val="single" w:sz="4" w:space="0" w:color="auto"/>
            </w:tcBorders>
            <w:hideMark/>
          </w:tcPr>
          <w:p w14:paraId="6B7553DD" w14:textId="77777777" w:rsidR="00B174F8" w:rsidRPr="00E85AF1" w:rsidRDefault="00B174F8" w:rsidP="004D1B5E">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r w:rsidRPr="00E85AF1">
              <w:rPr>
                <w:rFonts w:eastAsia="Times New Roman" w:cs="Times New Roman"/>
                <w:lang w:eastAsia="cs-CZ"/>
              </w:rPr>
              <w:t xml:space="preserve">Celkový předpokládaný objem MJ za OŘ HKR </w:t>
            </w:r>
          </w:p>
        </w:tc>
        <w:tc>
          <w:tcPr>
            <w:tcW w:w="1311" w:type="dxa"/>
            <w:tcBorders>
              <w:top w:val="single" w:sz="4" w:space="0" w:color="auto"/>
              <w:left w:val="single" w:sz="4" w:space="0" w:color="auto"/>
              <w:bottom w:val="single" w:sz="4" w:space="0" w:color="auto"/>
              <w:right w:val="single" w:sz="4" w:space="0" w:color="auto"/>
            </w:tcBorders>
            <w:hideMark/>
          </w:tcPr>
          <w:p w14:paraId="0F1F4424" w14:textId="77777777" w:rsidR="00B174F8" w:rsidRPr="002B4621" w:rsidRDefault="00B174F8" w:rsidP="004D1B5E">
            <w:pPr>
              <w:cnfStyle w:val="100000000000" w:firstRow="1" w:lastRow="0" w:firstColumn="0" w:lastColumn="0" w:oddVBand="0" w:evenVBand="0" w:oddHBand="0" w:evenHBand="0" w:firstRowFirstColumn="0" w:firstRowLastColumn="0" w:lastRowFirstColumn="0" w:lastRowLastColumn="0"/>
              <w:rPr>
                <w:rFonts w:eastAsia="Times New Roman" w:cs="Times New Roman"/>
                <w:b/>
                <w:bCs/>
                <w:lang w:eastAsia="cs-CZ"/>
              </w:rPr>
            </w:pPr>
            <w:r w:rsidRPr="002B4621">
              <w:rPr>
                <w:rFonts w:eastAsia="Times New Roman" w:cs="Times New Roman"/>
                <w:b/>
                <w:bCs/>
                <w:lang w:eastAsia="cs-CZ"/>
              </w:rPr>
              <w:t>cena za MJ</w:t>
            </w:r>
            <w:r w:rsidRPr="002B4621">
              <w:rPr>
                <w:rFonts w:eastAsia="Times New Roman" w:cs="Times New Roman"/>
                <w:b/>
                <w:bCs/>
                <w:lang w:eastAsia="cs-CZ"/>
              </w:rPr>
              <w:br/>
              <w:t>(Kč bez DPH)</w:t>
            </w:r>
          </w:p>
        </w:tc>
        <w:tc>
          <w:tcPr>
            <w:tcW w:w="1626" w:type="dxa"/>
            <w:tcBorders>
              <w:top w:val="single" w:sz="4" w:space="0" w:color="auto"/>
              <w:left w:val="single" w:sz="4" w:space="0" w:color="auto"/>
              <w:bottom w:val="single" w:sz="4" w:space="0" w:color="auto"/>
              <w:right w:val="single" w:sz="4" w:space="0" w:color="auto"/>
            </w:tcBorders>
            <w:hideMark/>
          </w:tcPr>
          <w:p w14:paraId="3D85E07C" w14:textId="77777777" w:rsidR="00B174F8" w:rsidRPr="002B4621" w:rsidRDefault="00B174F8" w:rsidP="004D1B5E">
            <w:pPr>
              <w:cnfStyle w:val="100000000000" w:firstRow="1" w:lastRow="0" w:firstColumn="0" w:lastColumn="0" w:oddVBand="0" w:evenVBand="0" w:oddHBand="0" w:evenHBand="0" w:firstRowFirstColumn="0" w:firstRowLastColumn="0" w:lastRowFirstColumn="0" w:lastRowLastColumn="0"/>
              <w:rPr>
                <w:rFonts w:eastAsia="Times New Roman" w:cs="Times New Roman"/>
                <w:b/>
                <w:bCs/>
                <w:lang w:eastAsia="cs-CZ"/>
              </w:rPr>
            </w:pPr>
            <w:r w:rsidRPr="002B4621">
              <w:rPr>
                <w:rFonts w:eastAsia="Times New Roman" w:cs="Times New Roman"/>
                <w:b/>
                <w:bCs/>
                <w:lang w:eastAsia="cs-CZ"/>
              </w:rPr>
              <w:t xml:space="preserve">Cena celkem </w:t>
            </w:r>
            <w:r w:rsidRPr="002B4621">
              <w:rPr>
                <w:rFonts w:eastAsia="Times New Roman" w:cs="Times New Roman"/>
                <w:b/>
                <w:bCs/>
                <w:lang w:eastAsia="cs-CZ"/>
              </w:rPr>
              <w:br/>
              <w:t>(Kč bez DPH)</w:t>
            </w:r>
          </w:p>
        </w:tc>
      </w:tr>
      <w:tr w:rsidR="00B174F8" w:rsidRPr="00E85AF1" w14:paraId="7C8CE631" w14:textId="77777777" w:rsidTr="007A5AEB">
        <w:trPr>
          <w:trHeight w:val="2040"/>
        </w:trPr>
        <w:tc>
          <w:tcPr>
            <w:cnfStyle w:val="001000000000" w:firstRow="0" w:lastRow="0" w:firstColumn="1" w:lastColumn="0" w:oddVBand="0" w:evenVBand="0" w:oddHBand="0" w:evenHBand="0" w:firstRowFirstColumn="0" w:firstRowLastColumn="0" w:lastRowFirstColumn="0" w:lastRowLastColumn="0"/>
            <w:tcW w:w="706" w:type="dxa"/>
            <w:tcBorders>
              <w:top w:val="single" w:sz="4" w:space="0" w:color="auto"/>
              <w:left w:val="single" w:sz="4" w:space="0" w:color="auto"/>
              <w:bottom w:val="single" w:sz="4" w:space="0" w:color="auto"/>
              <w:right w:val="single" w:sz="4" w:space="0" w:color="auto"/>
            </w:tcBorders>
            <w:hideMark/>
          </w:tcPr>
          <w:p w14:paraId="3EE3FC79" w14:textId="1E7DBD3E" w:rsidR="00B174F8" w:rsidRPr="00E85AF1" w:rsidRDefault="007A5AEB" w:rsidP="004D1B5E">
            <w:pPr>
              <w:rPr>
                <w:rFonts w:eastAsia="Times New Roman" w:cs="Times New Roman"/>
                <w:lang w:eastAsia="cs-CZ"/>
              </w:rPr>
            </w:pPr>
            <w:r>
              <w:rPr>
                <w:rFonts w:eastAsia="Times New Roman" w:cs="Times New Roman"/>
                <w:lang w:eastAsia="cs-CZ"/>
              </w:rPr>
              <w:t>1</w:t>
            </w:r>
          </w:p>
        </w:tc>
        <w:tc>
          <w:tcPr>
            <w:tcW w:w="2831" w:type="dxa"/>
            <w:tcBorders>
              <w:top w:val="single" w:sz="4" w:space="0" w:color="auto"/>
              <w:left w:val="single" w:sz="4" w:space="0" w:color="auto"/>
              <w:bottom w:val="single" w:sz="4" w:space="0" w:color="auto"/>
              <w:right w:val="single" w:sz="4" w:space="0" w:color="auto"/>
            </w:tcBorders>
            <w:hideMark/>
          </w:tcPr>
          <w:p w14:paraId="4B5976B6" w14:textId="77777777" w:rsidR="00B174F8" w:rsidRPr="00E85AF1" w:rsidRDefault="00B174F8" w:rsidP="004D1B5E">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sidRPr="00E85AF1">
              <w:rPr>
                <w:rFonts w:eastAsia="Times New Roman" w:cs="Times New Roman"/>
                <w:lang w:eastAsia="cs-CZ"/>
              </w:rPr>
              <w:t xml:space="preserve">Výkon činnosti </w:t>
            </w:r>
            <w:r>
              <w:rPr>
                <w:rFonts w:eastAsia="Times New Roman" w:cs="Times New Roman"/>
                <w:lang w:eastAsia="cs-CZ"/>
              </w:rPr>
              <w:t>podpory TDS</w:t>
            </w:r>
          </w:p>
        </w:tc>
        <w:tc>
          <w:tcPr>
            <w:tcW w:w="1022" w:type="dxa"/>
            <w:tcBorders>
              <w:top w:val="single" w:sz="4" w:space="0" w:color="auto"/>
              <w:left w:val="single" w:sz="4" w:space="0" w:color="auto"/>
              <w:bottom w:val="single" w:sz="4" w:space="0" w:color="auto"/>
              <w:right w:val="single" w:sz="4" w:space="0" w:color="auto"/>
            </w:tcBorders>
            <w:hideMark/>
          </w:tcPr>
          <w:p w14:paraId="422C0C45" w14:textId="77777777" w:rsidR="00B174F8" w:rsidRPr="00E85AF1" w:rsidRDefault="00B174F8" w:rsidP="004D1B5E">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sidRPr="00E85AF1">
              <w:rPr>
                <w:rFonts w:eastAsia="Times New Roman" w:cs="Times New Roman"/>
                <w:lang w:eastAsia="cs-CZ"/>
              </w:rPr>
              <w:t>hod.</w:t>
            </w:r>
          </w:p>
        </w:tc>
        <w:tc>
          <w:tcPr>
            <w:tcW w:w="1196" w:type="dxa"/>
            <w:tcBorders>
              <w:top w:val="single" w:sz="4" w:space="0" w:color="auto"/>
              <w:left w:val="single" w:sz="4" w:space="0" w:color="auto"/>
              <w:bottom w:val="single" w:sz="4" w:space="0" w:color="auto"/>
              <w:right w:val="single" w:sz="4" w:space="0" w:color="auto"/>
            </w:tcBorders>
            <w:hideMark/>
          </w:tcPr>
          <w:p w14:paraId="2EDF78FA" w14:textId="77777777" w:rsidR="00B174F8" w:rsidRPr="00E85AF1" w:rsidRDefault="00B174F8" w:rsidP="004D1B5E">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BF2E80">
              <w:rPr>
                <w:rFonts w:eastAsia="Times New Roman" w:cs="Times New Roman"/>
                <w:b/>
                <w:bCs/>
                <w:lang w:eastAsia="cs-CZ"/>
              </w:rPr>
              <w:t xml:space="preserve">1 </w:t>
            </w:r>
            <w:r>
              <w:rPr>
                <w:rFonts w:eastAsia="Times New Roman" w:cs="Times New Roman"/>
                <w:b/>
                <w:bCs/>
                <w:lang w:eastAsia="cs-CZ"/>
              </w:rPr>
              <w:t>06</w:t>
            </w:r>
            <w:r w:rsidRPr="00BF2E80">
              <w:rPr>
                <w:rFonts w:eastAsia="Times New Roman" w:cs="Times New Roman"/>
                <w:b/>
                <w:bCs/>
                <w:lang w:eastAsia="cs-CZ"/>
              </w:rPr>
              <w:t>0</w:t>
            </w:r>
          </w:p>
        </w:tc>
        <w:tc>
          <w:tcPr>
            <w:tcW w:w="1311" w:type="dxa"/>
            <w:tcBorders>
              <w:top w:val="single" w:sz="4" w:space="0" w:color="auto"/>
              <w:left w:val="single" w:sz="4" w:space="0" w:color="auto"/>
              <w:bottom w:val="single" w:sz="4" w:space="0" w:color="auto"/>
              <w:right w:val="single" w:sz="4" w:space="0" w:color="auto"/>
            </w:tcBorders>
            <w:hideMark/>
          </w:tcPr>
          <w:p w14:paraId="4E30D45A" w14:textId="77777777" w:rsidR="00B174F8" w:rsidRPr="002B4621" w:rsidRDefault="00B174F8" w:rsidP="004D1B5E">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2B4621">
              <w:rPr>
                <w:rFonts w:eastAsia="Times New Roman" w:cs="Times New Roman"/>
                <w:b/>
                <w:bCs/>
                <w:lang w:eastAsia="cs-CZ"/>
              </w:rPr>
              <w:t> </w:t>
            </w:r>
            <w:r w:rsidRPr="002B4621">
              <w:rPr>
                <w:b/>
                <w:bCs/>
              </w:rPr>
              <w:t>[</w:t>
            </w:r>
            <w:r w:rsidRPr="002B4621">
              <w:rPr>
                <w:b/>
                <w:bCs/>
                <w:highlight w:val="yellow"/>
              </w:rPr>
              <w:t>DOPLNÍ DODAVATEL</w:t>
            </w:r>
            <w:r w:rsidRPr="002B4621">
              <w:rPr>
                <w:b/>
                <w:bCs/>
              </w:rPr>
              <w:t>]</w:t>
            </w:r>
          </w:p>
        </w:tc>
        <w:tc>
          <w:tcPr>
            <w:tcW w:w="1626" w:type="dxa"/>
            <w:tcBorders>
              <w:top w:val="single" w:sz="4" w:space="0" w:color="auto"/>
              <w:left w:val="single" w:sz="4" w:space="0" w:color="auto"/>
              <w:bottom w:val="single" w:sz="4" w:space="0" w:color="auto"/>
              <w:right w:val="single" w:sz="4" w:space="0" w:color="auto"/>
            </w:tcBorders>
            <w:hideMark/>
          </w:tcPr>
          <w:p w14:paraId="424F701D" w14:textId="77777777" w:rsidR="00B174F8" w:rsidRPr="002B4621" w:rsidRDefault="00B174F8" w:rsidP="004D1B5E">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2B4621">
              <w:rPr>
                <w:b/>
                <w:bCs/>
              </w:rPr>
              <w:t>[</w:t>
            </w:r>
            <w:r w:rsidRPr="002B4621">
              <w:rPr>
                <w:b/>
                <w:bCs/>
                <w:highlight w:val="yellow"/>
              </w:rPr>
              <w:t>DOPLNÍ DODAVATEL</w:t>
            </w:r>
            <w:r w:rsidRPr="002B4621">
              <w:rPr>
                <w:b/>
                <w:bCs/>
              </w:rPr>
              <w:t>]</w:t>
            </w:r>
          </w:p>
        </w:tc>
      </w:tr>
      <w:tr w:rsidR="00B174F8" w:rsidRPr="00E85AF1" w14:paraId="131F81B1" w14:textId="77777777" w:rsidTr="007A5AEB">
        <w:trPr>
          <w:trHeight w:val="330"/>
        </w:trPr>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auto"/>
              <w:left w:val="single" w:sz="4" w:space="0" w:color="auto"/>
              <w:bottom w:val="single" w:sz="4" w:space="0" w:color="auto"/>
              <w:right w:val="single" w:sz="4" w:space="0" w:color="auto"/>
            </w:tcBorders>
            <w:hideMark/>
          </w:tcPr>
          <w:p w14:paraId="4467E7F4" w14:textId="77777777" w:rsidR="00B174F8" w:rsidRPr="00E85AF1" w:rsidRDefault="00B174F8" w:rsidP="004D1B5E">
            <w:pPr>
              <w:rPr>
                <w:rFonts w:eastAsia="Times New Roman" w:cs="Times New Roman"/>
                <w:b/>
                <w:bCs/>
                <w:lang w:eastAsia="cs-CZ"/>
              </w:rPr>
            </w:pPr>
            <w:r>
              <w:rPr>
                <w:rFonts w:eastAsia="Times New Roman" w:cs="Times New Roman"/>
                <w:b/>
                <w:bCs/>
                <w:lang w:eastAsia="cs-CZ"/>
              </w:rPr>
              <w:t>N</w:t>
            </w:r>
            <w:r w:rsidRPr="00E85AF1">
              <w:rPr>
                <w:rFonts w:eastAsia="Times New Roman" w:cs="Times New Roman"/>
                <w:b/>
                <w:bCs/>
                <w:lang w:eastAsia="cs-CZ"/>
              </w:rPr>
              <w:t>abídková cena</w:t>
            </w:r>
            <w:r>
              <w:rPr>
                <w:rFonts w:eastAsia="Times New Roman" w:cs="Times New Roman"/>
                <w:b/>
                <w:bCs/>
                <w:lang w:eastAsia="cs-CZ"/>
              </w:rPr>
              <w:t xml:space="preserve"> celkem (Kč bez DPH)</w:t>
            </w:r>
          </w:p>
        </w:tc>
        <w:tc>
          <w:tcPr>
            <w:tcW w:w="5155" w:type="dxa"/>
            <w:gridSpan w:val="4"/>
            <w:tcBorders>
              <w:top w:val="single" w:sz="4" w:space="0" w:color="auto"/>
              <w:left w:val="single" w:sz="4" w:space="0" w:color="auto"/>
              <w:bottom w:val="single" w:sz="4" w:space="0" w:color="auto"/>
              <w:right w:val="single" w:sz="4" w:space="0" w:color="auto"/>
            </w:tcBorders>
            <w:hideMark/>
          </w:tcPr>
          <w:p w14:paraId="613A42BF" w14:textId="77777777" w:rsidR="00B174F8" w:rsidRPr="002B4621" w:rsidRDefault="00B174F8" w:rsidP="004D1B5E">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2B4621">
              <w:rPr>
                <w:b/>
                <w:bCs/>
              </w:rPr>
              <w:t>[</w:t>
            </w:r>
            <w:r w:rsidRPr="002B4621">
              <w:rPr>
                <w:b/>
                <w:bCs/>
                <w:highlight w:val="yellow"/>
              </w:rPr>
              <w:t>DOPLNÍ DODAVATEL</w:t>
            </w:r>
            <w:r w:rsidRPr="002B4621">
              <w:rPr>
                <w:b/>
                <w:bCs/>
              </w:rPr>
              <w:t>]</w:t>
            </w:r>
          </w:p>
        </w:tc>
      </w:tr>
      <w:tr w:rsidR="00B174F8" w:rsidRPr="00E85AF1" w14:paraId="774B46B7" w14:textId="77777777" w:rsidTr="007A5AEB">
        <w:trPr>
          <w:trHeight w:val="255"/>
        </w:trPr>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auto"/>
              <w:bottom w:val="nil"/>
              <w:right w:val="nil"/>
            </w:tcBorders>
            <w:noWrap/>
            <w:hideMark/>
          </w:tcPr>
          <w:p w14:paraId="3ABF10C8" w14:textId="77777777" w:rsidR="00B174F8" w:rsidRPr="00E85AF1" w:rsidRDefault="00B174F8" w:rsidP="004D1B5E">
            <w:pPr>
              <w:rPr>
                <w:rFonts w:eastAsia="Times New Roman" w:cs="Times New Roman"/>
                <w:lang w:eastAsia="cs-CZ"/>
              </w:rPr>
            </w:pPr>
            <w:r w:rsidRPr="00E85AF1">
              <w:rPr>
                <w:rFonts w:eastAsia="Times New Roman" w:cs="Times New Roman"/>
                <w:lang w:eastAsia="cs-CZ"/>
              </w:rPr>
              <w:t>Všechny ceny jsou uvedené v Kč bez DPH.</w:t>
            </w:r>
          </w:p>
        </w:tc>
        <w:tc>
          <w:tcPr>
            <w:tcW w:w="1022" w:type="dxa"/>
            <w:tcBorders>
              <w:top w:val="single" w:sz="4" w:space="0" w:color="auto"/>
              <w:left w:val="nil"/>
              <w:bottom w:val="nil"/>
              <w:right w:val="nil"/>
            </w:tcBorders>
            <w:noWrap/>
            <w:hideMark/>
          </w:tcPr>
          <w:p w14:paraId="4EF3AC4F" w14:textId="77777777" w:rsidR="00B174F8" w:rsidRPr="00E85AF1" w:rsidRDefault="00B174F8" w:rsidP="004D1B5E">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196" w:type="dxa"/>
            <w:tcBorders>
              <w:top w:val="single" w:sz="4" w:space="0" w:color="auto"/>
              <w:left w:val="nil"/>
              <w:bottom w:val="nil"/>
              <w:right w:val="nil"/>
            </w:tcBorders>
            <w:noWrap/>
            <w:hideMark/>
          </w:tcPr>
          <w:p w14:paraId="752642DD" w14:textId="77777777" w:rsidR="00B174F8" w:rsidRPr="00E85AF1" w:rsidRDefault="00B174F8" w:rsidP="004D1B5E">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311" w:type="dxa"/>
            <w:tcBorders>
              <w:top w:val="single" w:sz="4" w:space="0" w:color="auto"/>
              <w:left w:val="nil"/>
              <w:bottom w:val="nil"/>
              <w:right w:val="nil"/>
            </w:tcBorders>
            <w:noWrap/>
            <w:hideMark/>
          </w:tcPr>
          <w:p w14:paraId="57E01544" w14:textId="77777777" w:rsidR="00B174F8" w:rsidRPr="002B4621" w:rsidRDefault="00B174F8" w:rsidP="004D1B5E">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p>
        </w:tc>
        <w:tc>
          <w:tcPr>
            <w:tcW w:w="1626" w:type="dxa"/>
            <w:tcBorders>
              <w:top w:val="single" w:sz="4" w:space="0" w:color="auto"/>
              <w:left w:val="nil"/>
              <w:bottom w:val="nil"/>
            </w:tcBorders>
            <w:noWrap/>
            <w:hideMark/>
          </w:tcPr>
          <w:p w14:paraId="4A9CAAA5" w14:textId="77777777" w:rsidR="00B174F8" w:rsidRPr="002B4621" w:rsidRDefault="00B174F8" w:rsidP="004D1B5E">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p>
        </w:tc>
      </w:tr>
      <w:tr w:rsidR="00B174F8" w:rsidRPr="00E85AF1" w14:paraId="5C1EF82D" w14:textId="77777777" w:rsidTr="007A5AEB">
        <w:trPr>
          <w:trHeight w:val="255"/>
        </w:trPr>
        <w:tc>
          <w:tcPr>
            <w:cnfStyle w:val="001000000000" w:firstRow="0" w:lastRow="0" w:firstColumn="1" w:lastColumn="0" w:oddVBand="0" w:evenVBand="0" w:oddHBand="0" w:evenHBand="0" w:firstRowFirstColumn="0" w:firstRowLastColumn="0" w:lastRowFirstColumn="0" w:lastRowLastColumn="0"/>
            <w:tcW w:w="3537" w:type="dxa"/>
            <w:gridSpan w:val="2"/>
            <w:tcBorders>
              <w:top w:val="nil"/>
              <w:bottom w:val="nil"/>
              <w:right w:val="nil"/>
            </w:tcBorders>
            <w:noWrap/>
          </w:tcPr>
          <w:p w14:paraId="1DE4E553" w14:textId="58D1BB4E" w:rsidR="00B174F8" w:rsidRPr="00E85AF1" w:rsidRDefault="00B174F8" w:rsidP="004D1B5E">
            <w:pPr>
              <w:rPr>
                <w:rFonts w:eastAsia="Times New Roman" w:cs="Times New Roman"/>
                <w:lang w:eastAsia="cs-CZ"/>
              </w:rPr>
            </w:pPr>
          </w:p>
        </w:tc>
        <w:tc>
          <w:tcPr>
            <w:tcW w:w="1022" w:type="dxa"/>
            <w:tcBorders>
              <w:top w:val="nil"/>
              <w:left w:val="nil"/>
              <w:bottom w:val="nil"/>
              <w:right w:val="nil"/>
            </w:tcBorders>
            <w:noWrap/>
          </w:tcPr>
          <w:p w14:paraId="713E6AF4" w14:textId="77777777" w:rsidR="00B174F8" w:rsidRPr="00E85AF1" w:rsidRDefault="00B174F8" w:rsidP="004D1B5E">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196" w:type="dxa"/>
            <w:tcBorders>
              <w:top w:val="nil"/>
              <w:left w:val="nil"/>
              <w:bottom w:val="nil"/>
              <w:right w:val="nil"/>
            </w:tcBorders>
            <w:noWrap/>
          </w:tcPr>
          <w:p w14:paraId="029A0FA0" w14:textId="77777777" w:rsidR="00B174F8" w:rsidRPr="00E85AF1" w:rsidRDefault="00B174F8" w:rsidP="004D1B5E">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311" w:type="dxa"/>
            <w:tcBorders>
              <w:top w:val="nil"/>
              <w:left w:val="nil"/>
              <w:bottom w:val="nil"/>
              <w:right w:val="nil"/>
            </w:tcBorders>
            <w:noWrap/>
          </w:tcPr>
          <w:p w14:paraId="6B561FB3" w14:textId="77777777" w:rsidR="00B174F8" w:rsidRPr="002B4621" w:rsidRDefault="00B174F8" w:rsidP="004D1B5E">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p>
        </w:tc>
        <w:tc>
          <w:tcPr>
            <w:tcW w:w="1626" w:type="dxa"/>
            <w:tcBorders>
              <w:top w:val="nil"/>
              <w:left w:val="nil"/>
              <w:bottom w:val="nil"/>
            </w:tcBorders>
            <w:noWrap/>
          </w:tcPr>
          <w:p w14:paraId="620B072B" w14:textId="77777777" w:rsidR="00B174F8" w:rsidRPr="002B4621" w:rsidRDefault="00B174F8" w:rsidP="004D1B5E">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p>
        </w:tc>
      </w:tr>
      <w:tr w:rsidR="00B174F8" w:rsidRPr="00E85AF1" w14:paraId="06DD9F47" w14:textId="77777777" w:rsidTr="007A5AEB">
        <w:trPr>
          <w:trHeight w:val="255"/>
        </w:trPr>
        <w:tc>
          <w:tcPr>
            <w:cnfStyle w:val="001000000000" w:firstRow="0" w:lastRow="0" w:firstColumn="1" w:lastColumn="0" w:oddVBand="0" w:evenVBand="0" w:oddHBand="0" w:evenHBand="0" w:firstRowFirstColumn="0" w:firstRowLastColumn="0" w:lastRowFirstColumn="0" w:lastRowLastColumn="0"/>
            <w:tcW w:w="3537" w:type="dxa"/>
            <w:gridSpan w:val="2"/>
            <w:tcBorders>
              <w:top w:val="nil"/>
              <w:bottom w:val="nil"/>
              <w:right w:val="nil"/>
            </w:tcBorders>
            <w:noWrap/>
            <w:hideMark/>
          </w:tcPr>
          <w:p w14:paraId="2B23C458" w14:textId="77777777" w:rsidR="00B174F8" w:rsidRPr="00E85AF1" w:rsidRDefault="00B174F8" w:rsidP="004D1B5E">
            <w:pPr>
              <w:rPr>
                <w:rFonts w:eastAsia="Times New Roman" w:cs="Times New Roman"/>
                <w:lang w:eastAsia="cs-CZ"/>
              </w:rPr>
            </w:pPr>
            <w:r w:rsidRPr="00E85AF1">
              <w:rPr>
                <w:rFonts w:eastAsia="Times New Roman" w:cs="Times New Roman"/>
                <w:lang w:eastAsia="cs-CZ"/>
              </w:rPr>
              <w:t>hod………hodina</w:t>
            </w:r>
          </w:p>
        </w:tc>
        <w:tc>
          <w:tcPr>
            <w:tcW w:w="1022" w:type="dxa"/>
            <w:tcBorders>
              <w:top w:val="nil"/>
              <w:left w:val="nil"/>
              <w:bottom w:val="nil"/>
              <w:right w:val="nil"/>
            </w:tcBorders>
            <w:noWrap/>
            <w:hideMark/>
          </w:tcPr>
          <w:p w14:paraId="16303053" w14:textId="77777777" w:rsidR="00B174F8" w:rsidRPr="00E85AF1" w:rsidRDefault="00B174F8" w:rsidP="004D1B5E">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196" w:type="dxa"/>
            <w:tcBorders>
              <w:top w:val="nil"/>
              <w:left w:val="nil"/>
              <w:bottom w:val="nil"/>
              <w:right w:val="nil"/>
            </w:tcBorders>
            <w:noWrap/>
            <w:hideMark/>
          </w:tcPr>
          <w:p w14:paraId="51BA9726" w14:textId="77777777" w:rsidR="00B174F8" w:rsidRPr="00E85AF1" w:rsidRDefault="00B174F8" w:rsidP="004D1B5E">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311" w:type="dxa"/>
            <w:tcBorders>
              <w:top w:val="nil"/>
              <w:left w:val="nil"/>
              <w:bottom w:val="nil"/>
              <w:right w:val="nil"/>
            </w:tcBorders>
            <w:noWrap/>
            <w:hideMark/>
          </w:tcPr>
          <w:p w14:paraId="7E457314" w14:textId="77777777" w:rsidR="00B174F8" w:rsidRPr="002B4621" w:rsidRDefault="00B174F8" w:rsidP="004D1B5E">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p>
        </w:tc>
        <w:tc>
          <w:tcPr>
            <w:tcW w:w="1626" w:type="dxa"/>
            <w:tcBorders>
              <w:top w:val="nil"/>
              <w:left w:val="nil"/>
              <w:bottom w:val="nil"/>
            </w:tcBorders>
            <w:noWrap/>
            <w:hideMark/>
          </w:tcPr>
          <w:p w14:paraId="495CC425" w14:textId="77777777" w:rsidR="00B174F8" w:rsidRPr="002B4621" w:rsidRDefault="00B174F8" w:rsidP="004D1B5E">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p>
        </w:tc>
      </w:tr>
    </w:tbl>
    <w:p w14:paraId="1435FF12" w14:textId="76870304" w:rsidR="007106CF" w:rsidRDefault="007106CF">
      <w:pPr>
        <w:spacing w:before="0" w:after="240"/>
        <w:jc w:val="left"/>
        <w:rPr>
          <w:highlight w:val="green"/>
        </w:rPr>
      </w:pPr>
      <w:r>
        <w:rPr>
          <w:highlight w:val="green"/>
        </w:rPr>
        <w:br w:type="page"/>
      </w:r>
    </w:p>
    <w:p w14:paraId="24A82AA6" w14:textId="77777777" w:rsidR="007106CF" w:rsidRDefault="007106CF" w:rsidP="007106CF">
      <w:pPr>
        <w:pStyle w:val="Nadpisbezsl1-1"/>
      </w:pPr>
      <w:r>
        <w:lastRenderedPageBreak/>
        <w:t>Příloha č. 4</w:t>
      </w:r>
    </w:p>
    <w:p w14:paraId="6278DE8C" w14:textId="77777777" w:rsidR="007106CF" w:rsidRDefault="007106CF" w:rsidP="007106CF">
      <w:pPr>
        <w:widowControl w:val="0"/>
        <w:tabs>
          <w:tab w:val="left" w:pos="1105"/>
        </w:tabs>
        <w:spacing w:before="0" w:after="60" w:line="216" w:lineRule="exact"/>
        <w:jc w:val="left"/>
        <w:rPr>
          <w:rFonts w:asciiTheme="majorHAnsi" w:hAnsiTheme="majorHAnsi"/>
          <w:b/>
          <w:sz w:val="20"/>
          <w:szCs w:val="20"/>
        </w:rPr>
      </w:pPr>
      <w:r>
        <w:rPr>
          <w:rFonts w:asciiTheme="majorHAnsi" w:hAnsiTheme="majorHAnsi"/>
          <w:b/>
          <w:sz w:val="20"/>
          <w:szCs w:val="20"/>
        </w:rPr>
        <w:t>Seznam poddodavatelů</w:t>
      </w:r>
    </w:p>
    <w:p w14:paraId="51FE7C32" w14:textId="77777777" w:rsidR="007106CF" w:rsidRPr="00C36549" w:rsidRDefault="007106CF" w:rsidP="007106CF">
      <w:pPr>
        <w:spacing w:before="40" w:after="40" w:line="240" w:lineRule="auto"/>
      </w:pPr>
    </w:p>
    <w:tbl>
      <w:tblPr>
        <w:tblStyle w:val="Mkatabulky3"/>
        <w:tblW w:w="8860" w:type="dxa"/>
        <w:tblLook w:val="04A0" w:firstRow="1" w:lastRow="0" w:firstColumn="1" w:lastColumn="0" w:noHBand="0" w:noVBand="1"/>
      </w:tblPr>
      <w:tblGrid>
        <w:gridCol w:w="2774"/>
        <w:gridCol w:w="3129"/>
        <w:gridCol w:w="2957"/>
      </w:tblGrid>
      <w:tr w:rsidR="007106CF" w:rsidRPr="00C36549" w14:paraId="28B63ADA" w14:textId="77777777" w:rsidTr="00E91B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AEF741D" w14:textId="77777777" w:rsidR="007106CF" w:rsidRPr="00C36549" w:rsidRDefault="007106CF" w:rsidP="00E91B2E">
            <w:pPr>
              <w:spacing w:before="40" w:after="40"/>
              <w:jc w:val="left"/>
              <w:rPr>
                <w:b/>
              </w:rPr>
            </w:pPr>
            <w:r w:rsidRPr="00C36549">
              <w:rPr>
                <w:b/>
              </w:rPr>
              <w:t>IDENTIFIKACE PODDODAVATELE</w:t>
            </w:r>
          </w:p>
          <w:p w14:paraId="3F46503B" w14:textId="77777777" w:rsidR="007106CF" w:rsidRPr="00C36549" w:rsidRDefault="007106CF" w:rsidP="00E91B2E">
            <w:pPr>
              <w:spacing w:before="40" w:after="40"/>
              <w:jc w:val="left"/>
              <w:rPr>
                <w:b/>
              </w:rPr>
            </w:pPr>
            <w:r w:rsidRPr="00C36549">
              <w:rPr>
                <w:b/>
              </w:rPr>
              <w:t>(obchodní firma, sídlo a IČO)</w:t>
            </w:r>
          </w:p>
        </w:tc>
        <w:tc>
          <w:tcPr>
            <w:tcW w:w="3129" w:type="dxa"/>
          </w:tcPr>
          <w:p w14:paraId="0780BD28" w14:textId="77777777" w:rsidR="007106CF" w:rsidRPr="00C36549" w:rsidRDefault="007106CF" w:rsidP="00E91B2E">
            <w:pPr>
              <w:spacing w:before="40" w:after="40"/>
              <w:jc w:val="center"/>
              <w:cnfStyle w:val="100000000000" w:firstRow="1" w:lastRow="0" w:firstColumn="0" w:lastColumn="0" w:oddVBand="0" w:evenVBand="0" w:oddHBand="0" w:evenHBand="0" w:firstRowFirstColumn="0" w:firstRowLastColumn="0" w:lastRowFirstColumn="0" w:lastRowLastColumn="0"/>
              <w:rPr>
                <w:b/>
              </w:rPr>
            </w:pPr>
            <w:r w:rsidRPr="00C36549">
              <w:rPr>
                <w:b/>
              </w:rPr>
              <w:t>VĚCNÝ ROZSAH PODDODÁVKY</w:t>
            </w:r>
          </w:p>
        </w:tc>
        <w:tc>
          <w:tcPr>
            <w:tcW w:w="2957" w:type="dxa"/>
          </w:tcPr>
          <w:p w14:paraId="70E55336" w14:textId="77777777" w:rsidR="007106CF" w:rsidRPr="00C36549" w:rsidRDefault="007106CF" w:rsidP="00E91B2E">
            <w:pPr>
              <w:spacing w:before="40" w:after="40"/>
              <w:jc w:val="center"/>
              <w:cnfStyle w:val="100000000000" w:firstRow="1" w:lastRow="0" w:firstColumn="0" w:lastColumn="0" w:oddVBand="0" w:evenVBand="0" w:oddHBand="0" w:evenHBand="0" w:firstRowFirstColumn="0" w:firstRowLastColumn="0" w:lastRowFirstColumn="0" w:lastRowLastColumn="0"/>
              <w:rPr>
                <w:b/>
                <w:highlight w:val="yellow"/>
              </w:rPr>
            </w:pPr>
            <w:r w:rsidRPr="00C36549">
              <w:rPr>
                <w:b/>
              </w:rPr>
              <w:t>HODNOTA PODDODÁVKY V % Z CELKOVÉ CENY DÍLA</w:t>
            </w:r>
          </w:p>
        </w:tc>
      </w:tr>
      <w:tr w:rsidR="007106CF" w:rsidRPr="00C36549" w14:paraId="4AF5DFCF" w14:textId="77777777" w:rsidTr="00E91B2E">
        <w:tc>
          <w:tcPr>
            <w:cnfStyle w:val="001000000000" w:firstRow="0" w:lastRow="0" w:firstColumn="1" w:lastColumn="0" w:oddVBand="0" w:evenVBand="0" w:oddHBand="0" w:evenHBand="0" w:firstRowFirstColumn="0" w:firstRowLastColumn="0" w:lastRowFirstColumn="0" w:lastRowLastColumn="0"/>
            <w:tcW w:w="2774" w:type="dxa"/>
          </w:tcPr>
          <w:p w14:paraId="71FC76F6" w14:textId="77777777" w:rsidR="007106CF" w:rsidRPr="00C36549" w:rsidRDefault="007106CF" w:rsidP="00E91B2E">
            <w:pPr>
              <w:spacing w:before="40" w:after="40"/>
            </w:pPr>
            <w:r>
              <w:rPr>
                <w:highlight w:val="yellow"/>
              </w:rPr>
              <w:fldChar w:fldCharType="begin">
                <w:ffData>
                  <w:name w:val="Text16"/>
                  <w:enabled/>
                  <w:calcOnExit w:val="0"/>
                  <w:textInput>
                    <w:default w:val="&quot;[VLOŽÍ POSKYTOVATEL]&quot;"/>
                  </w:textInput>
                </w:ffData>
              </w:fldChar>
            </w:r>
            <w:bookmarkStart w:id="16" w:name="Text16"/>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bookmarkEnd w:id="16"/>
          </w:p>
        </w:tc>
        <w:tc>
          <w:tcPr>
            <w:tcW w:w="3129" w:type="dxa"/>
          </w:tcPr>
          <w:p w14:paraId="7D6CBD4A" w14:textId="77777777" w:rsidR="007106CF" w:rsidRPr="00C36549" w:rsidRDefault="007106CF" w:rsidP="00E91B2E">
            <w:pPr>
              <w:spacing w:before="40" w:after="40"/>
              <w:jc w:val="left"/>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c>
          <w:tcPr>
            <w:tcW w:w="2957" w:type="dxa"/>
          </w:tcPr>
          <w:p w14:paraId="4FA6BEE3" w14:textId="77777777" w:rsidR="007106CF" w:rsidRPr="00C36549" w:rsidRDefault="007106CF" w:rsidP="00E91B2E">
            <w:pPr>
              <w:spacing w:before="40" w:after="40"/>
              <w:jc w:val="center"/>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r>
      <w:tr w:rsidR="007106CF" w:rsidRPr="00C36549" w14:paraId="34FC9A3D" w14:textId="77777777" w:rsidTr="00E91B2E">
        <w:tc>
          <w:tcPr>
            <w:cnfStyle w:val="001000000000" w:firstRow="0" w:lastRow="0" w:firstColumn="1" w:lastColumn="0" w:oddVBand="0" w:evenVBand="0" w:oddHBand="0" w:evenHBand="0" w:firstRowFirstColumn="0" w:firstRowLastColumn="0" w:lastRowFirstColumn="0" w:lastRowLastColumn="0"/>
            <w:tcW w:w="2774" w:type="dxa"/>
          </w:tcPr>
          <w:p w14:paraId="5597DDC4" w14:textId="77777777" w:rsidR="007106CF" w:rsidRPr="00C36549" w:rsidRDefault="007106CF" w:rsidP="00E91B2E">
            <w:pPr>
              <w:spacing w:before="40" w:after="4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c>
          <w:tcPr>
            <w:tcW w:w="3129" w:type="dxa"/>
          </w:tcPr>
          <w:p w14:paraId="3E2392AD" w14:textId="77777777" w:rsidR="007106CF" w:rsidRPr="00C36549" w:rsidRDefault="007106CF" w:rsidP="00E91B2E">
            <w:pPr>
              <w:spacing w:before="40" w:after="40"/>
              <w:jc w:val="left"/>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c>
          <w:tcPr>
            <w:tcW w:w="2957" w:type="dxa"/>
          </w:tcPr>
          <w:p w14:paraId="75BED4F4" w14:textId="77777777" w:rsidR="007106CF" w:rsidRPr="00C36549" w:rsidRDefault="007106CF" w:rsidP="00E91B2E">
            <w:pPr>
              <w:spacing w:before="40" w:after="40"/>
              <w:jc w:val="center"/>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r>
      <w:tr w:rsidR="007106CF" w:rsidRPr="00C36549" w14:paraId="29F59DD0" w14:textId="77777777" w:rsidTr="00E91B2E">
        <w:tc>
          <w:tcPr>
            <w:cnfStyle w:val="001000000000" w:firstRow="0" w:lastRow="0" w:firstColumn="1" w:lastColumn="0" w:oddVBand="0" w:evenVBand="0" w:oddHBand="0" w:evenHBand="0" w:firstRowFirstColumn="0" w:firstRowLastColumn="0" w:lastRowFirstColumn="0" w:lastRowLastColumn="0"/>
            <w:tcW w:w="2774" w:type="dxa"/>
          </w:tcPr>
          <w:p w14:paraId="59B5EAE7" w14:textId="77777777" w:rsidR="007106CF" w:rsidRPr="00C36549" w:rsidRDefault="007106CF" w:rsidP="00E91B2E">
            <w:pPr>
              <w:spacing w:before="40" w:after="4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c>
          <w:tcPr>
            <w:tcW w:w="3129" w:type="dxa"/>
          </w:tcPr>
          <w:p w14:paraId="33018A78" w14:textId="77777777" w:rsidR="007106CF" w:rsidRPr="00C36549" w:rsidRDefault="007106CF" w:rsidP="00E91B2E">
            <w:pPr>
              <w:spacing w:before="40" w:after="40"/>
              <w:jc w:val="left"/>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c>
          <w:tcPr>
            <w:tcW w:w="2957" w:type="dxa"/>
          </w:tcPr>
          <w:p w14:paraId="5D29DC4F" w14:textId="77777777" w:rsidR="007106CF" w:rsidRPr="00C36549" w:rsidRDefault="007106CF" w:rsidP="00E91B2E">
            <w:pPr>
              <w:spacing w:before="40" w:after="40"/>
              <w:jc w:val="center"/>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r>
    </w:tbl>
    <w:p w14:paraId="348BBA79" w14:textId="77777777" w:rsidR="007106CF" w:rsidRDefault="007106CF" w:rsidP="00354B96">
      <w:pPr>
        <w:spacing w:before="0"/>
      </w:pPr>
    </w:p>
    <w:p w14:paraId="7607B9C1" w14:textId="216E182D" w:rsidR="007106CF" w:rsidRDefault="007106CF">
      <w:pPr>
        <w:spacing w:before="0" w:after="240"/>
        <w:jc w:val="left"/>
      </w:pPr>
      <w:r>
        <w:br w:type="page"/>
      </w:r>
    </w:p>
    <w:p w14:paraId="46C8EBAE" w14:textId="77777777" w:rsidR="007106CF" w:rsidRDefault="007106CF" w:rsidP="007106CF">
      <w:pPr>
        <w:pStyle w:val="Nadpisbezsl1-1"/>
      </w:pPr>
      <w:r>
        <w:lastRenderedPageBreak/>
        <w:t>Příloha č. 5</w:t>
      </w:r>
    </w:p>
    <w:p w14:paraId="25065B56" w14:textId="77777777" w:rsidR="007106CF" w:rsidRDefault="007106CF" w:rsidP="007106CF">
      <w:pPr>
        <w:widowControl w:val="0"/>
        <w:tabs>
          <w:tab w:val="left" w:pos="1105"/>
        </w:tabs>
        <w:spacing w:before="0" w:after="60" w:line="216" w:lineRule="exact"/>
        <w:jc w:val="left"/>
        <w:rPr>
          <w:rFonts w:asciiTheme="majorHAnsi" w:hAnsiTheme="majorHAnsi"/>
          <w:b/>
          <w:sz w:val="20"/>
          <w:szCs w:val="20"/>
        </w:rPr>
      </w:pPr>
      <w:r>
        <w:rPr>
          <w:rFonts w:asciiTheme="majorHAnsi" w:hAnsiTheme="majorHAnsi"/>
          <w:b/>
          <w:sz w:val="20"/>
          <w:szCs w:val="20"/>
        </w:rPr>
        <w:t>Seznam realizačního týmu</w:t>
      </w:r>
    </w:p>
    <w:p w14:paraId="7FEAC602" w14:textId="77777777" w:rsidR="007106CF" w:rsidRDefault="007106CF" w:rsidP="007106CF">
      <w:pPr>
        <w:spacing w:before="0"/>
        <w:rPr>
          <w:highlight w:val="yellow"/>
        </w:rPr>
      </w:pPr>
    </w:p>
    <w:p w14:paraId="6CBB3DC6" w14:textId="4A77EE62" w:rsidR="007106CF" w:rsidRPr="00C36549" w:rsidRDefault="007106CF" w:rsidP="007106CF">
      <w:pPr>
        <w:keepNext/>
        <w:keepLines/>
        <w:pBdr>
          <w:top w:val="single" w:sz="12" w:space="3" w:color="00A1E0" w:themeColor="accent3"/>
        </w:pBdr>
        <w:suppressAutoHyphens/>
        <w:spacing w:before="0" w:after="60"/>
        <w:rPr>
          <w:rFonts w:asciiTheme="majorHAnsi" w:hAnsiTheme="majorHAnsi"/>
          <w:b/>
        </w:rPr>
      </w:pPr>
      <w:r>
        <w:rPr>
          <w:rFonts w:asciiTheme="majorHAnsi" w:hAnsiTheme="majorHAnsi"/>
          <w:b/>
        </w:rPr>
        <w:t>Podpora technického dozoru</w:t>
      </w:r>
      <w:r w:rsidR="007A5AEB">
        <w:rPr>
          <w:rFonts w:asciiTheme="majorHAnsi" w:hAnsiTheme="majorHAnsi"/>
          <w:b/>
        </w:rPr>
        <w:t xml:space="preserve"> 1</w:t>
      </w:r>
    </w:p>
    <w:tbl>
      <w:tblPr>
        <w:tblStyle w:val="Mkatabulky1"/>
        <w:tblW w:w="8868" w:type="dxa"/>
        <w:tblLook w:val="04A0" w:firstRow="1" w:lastRow="0" w:firstColumn="1" w:lastColumn="0" w:noHBand="0" w:noVBand="1"/>
      </w:tblPr>
      <w:tblGrid>
        <w:gridCol w:w="3056"/>
        <w:gridCol w:w="5812"/>
      </w:tblGrid>
      <w:tr w:rsidR="007106CF" w:rsidRPr="00C36549" w14:paraId="61A683B7" w14:textId="77777777" w:rsidTr="00E91B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3DC94B" w14:textId="77777777" w:rsidR="007106CF" w:rsidRPr="00C36549" w:rsidRDefault="007106CF" w:rsidP="00E91B2E">
            <w:pPr>
              <w:spacing w:before="40" w:after="40"/>
              <w:rPr>
                <w:b/>
              </w:rPr>
            </w:pPr>
            <w:r w:rsidRPr="00C36549">
              <w:rPr>
                <w:b/>
              </w:rPr>
              <w:t>Jméno a příjmení</w:t>
            </w:r>
          </w:p>
        </w:tc>
        <w:tc>
          <w:tcPr>
            <w:tcW w:w="5812" w:type="dxa"/>
          </w:tcPr>
          <w:p w14:paraId="6B601F88" w14:textId="77777777" w:rsidR="007106CF" w:rsidRPr="00C36549" w:rsidRDefault="007106CF" w:rsidP="00E91B2E">
            <w:pPr>
              <w:spacing w:before="40" w:after="40"/>
              <w:cnfStyle w:val="100000000000" w:firstRow="1"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r>
      <w:tr w:rsidR="007106CF" w:rsidRPr="00C36549" w14:paraId="43BEC9A2" w14:textId="77777777" w:rsidTr="00E91B2E">
        <w:tc>
          <w:tcPr>
            <w:cnfStyle w:val="001000000000" w:firstRow="0" w:lastRow="0" w:firstColumn="1" w:lastColumn="0" w:oddVBand="0" w:evenVBand="0" w:oddHBand="0" w:evenHBand="0" w:firstRowFirstColumn="0" w:firstRowLastColumn="0" w:lastRowFirstColumn="0" w:lastRowLastColumn="0"/>
            <w:tcW w:w="3056" w:type="dxa"/>
          </w:tcPr>
          <w:p w14:paraId="4C17DF1E" w14:textId="77777777" w:rsidR="007106CF" w:rsidRPr="00C36549" w:rsidRDefault="007106CF" w:rsidP="00E91B2E">
            <w:pPr>
              <w:spacing w:before="40" w:after="40"/>
            </w:pPr>
            <w:r w:rsidRPr="00C36549">
              <w:t>Adresa</w:t>
            </w:r>
          </w:p>
        </w:tc>
        <w:tc>
          <w:tcPr>
            <w:tcW w:w="5812" w:type="dxa"/>
          </w:tcPr>
          <w:p w14:paraId="4AD7615B" w14:textId="77777777" w:rsidR="007106CF" w:rsidRPr="00C36549" w:rsidRDefault="007106CF" w:rsidP="00E91B2E">
            <w:pPr>
              <w:spacing w:before="40" w:after="40"/>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r>
      <w:tr w:rsidR="007106CF" w:rsidRPr="00C36549" w14:paraId="5F4E57AC" w14:textId="77777777" w:rsidTr="00E91B2E">
        <w:tc>
          <w:tcPr>
            <w:cnfStyle w:val="001000000000" w:firstRow="0" w:lastRow="0" w:firstColumn="1" w:lastColumn="0" w:oddVBand="0" w:evenVBand="0" w:oddHBand="0" w:evenHBand="0" w:firstRowFirstColumn="0" w:firstRowLastColumn="0" w:lastRowFirstColumn="0" w:lastRowLastColumn="0"/>
            <w:tcW w:w="3056" w:type="dxa"/>
          </w:tcPr>
          <w:p w14:paraId="094A2312" w14:textId="77777777" w:rsidR="007106CF" w:rsidRPr="00C36549" w:rsidRDefault="007106CF" w:rsidP="00E91B2E">
            <w:pPr>
              <w:spacing w:before="40" w:after="40"/>
            </w:pPr>
            <w:r w:rsidRPr="00C36549">
              <w:t>E-mail</w:t>
            </w:r>
          </w:p>
        </w:tc>
        <w:tc>
          <w:tcPr>
            <w:tcW w:w="5812" w:type="dxa"/>
          </w:tcPr>
          <w:p w14:paraId="7C302D7F" w14:textId="77777777" w:rsidR="007106CF" w:rsidRPr="00C36549" w:rsidRDefault="007106CF" w:rsidP="00E91B2E">
            <w:pPr>
              <w:spacing w:before="40" w:after="40"/>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r>
      <w:tr w:rsidR="007106CF" w:rsidRPr="00C36549" w14:paraId="708E83EC" w14:textId="77777777" w:rsidTr="00E91B2E">
        <w:tc>
          <w:tcPr>
            <w:cnfStyle w:val="001000000000" w:firstRow="0" w:lastRow="0" w:firstColumn="1" w:lastColumn="0" w:oddVBand="0" w:evenVBand="0" w:oddHBand="0" w:evenHBand="0" w:firstRowFirstColumn="0" w:firstRowLastColumn="0" w:lastRowFirstColumn="0" w:lastRowLastColumn="0"/>
            <w:tcW w:w="3056" w:type="dxa"/>
          </w:tcPr>
          <w:p w14:paraId="5B86491C" w14:textId="77777777" w:rsidR="007106CF" w:rsidRPr="00C36549" w:rsidRDefault="007106CF" w:rsidP="00E91B2E">
            <w:pPr>
              <w:spacing w:before="40" w:after="40"/>
            </w:pPr>
            <w:r w:rsidRPr="00C36549">
              <w:t>Telefon</w:t>
            </w:r>
          </w:p>
        </w:tc>
        <w:tc>
          <w:tcPr>
            <w:tcW w:w="5812" w:type="dxa"/>
          </w:tcPr>
          <w:p w14:paraId="49AF9907" w14:textId="77777777" w:rsidR="007106CF" w:rsidRPr="00C36549" w:rsidRDefault="007106CF" w:rsidP="00E91B2E">
            <w:pPr>
              <w:spacing w:before="40" w:after="40"/>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r>
    </w:tbl>
    <w:p w14:paraId="17A241F4" w14:textId="77777777" w:rsidR="007106CF" w:rsidRDefault="007106CF" w:rsidP="00354B96">
      <w:pPr>
        <w:spacing w:before="0"/>
      </w:pPr>
    </w:p>
    <w:p w14:paraId="5A1FCE0D" w14:textId="5A7E1ECE" w:rsidR="007A5AEB" w:rsidRPr="00C36549" w:rsidRDefault="007A5AEB" w:rsidP="007A5AEB">
      <w:pPr>
        <w:keepNext/>
        <w:keepLines/>
        <w:pBdr>
          <w:top w:val="single" w:sz="12" w:space="3" w:color="00A1E0" w:themeColor="accent3"/>
        </w:pBdr>
        <w:suppressAutoHyphens/>
        <w:spacing w:before="0" w:after="60"/>
        <w:rPr>
          <w:rFonts w:asciiTheme="majorHAnsi" w:hAnsiTheme="majorHAnsi"/>
          <w:b/>
        </w:rPr>
      </w:pPr>
      <w:r w:rsidRPr="007A5AEB">
        <w:rPr>
          <w:rFonts w:asciiTheme="majorHAnsi" w:hAnsiTheme="majorHAnsi"/>
          <w:b/>
          <w:highlight w:val="green"/>
        </w:rPr>
        <w:t>Podpora technického dozoru 2</w:t>
      </w:r>
    </w:p>
    <w:tbl>
      <w:tblPr>
        <w:tblStyle w:val="Mkatabulky1"/>
        <w:tblW w:w="8868" w:type="dxa"/>
        <w:tblLook w:val="04A0" w:firstRow="1" w:lastRow="0" w:firstColumn="1" w:lastColumn="0" w:noHBand="0" w:noVBand="1"/>
      </w:tblPr>
      <w:tblGrid>
        <w:gridCol w:w="3056"/>
        <w:gridCol w:w="5812"/>
      </w:tblGrid>
      <w:tr w:rsidR="007A5AEB" w:rsidRPr="00C36549" w14:paraId="2351BEC8" w14:textId="77777777" w:rsidTr="000B30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30A09E" w14:textId="77777777" w:rsidR="007A5AEB" w:rsidRPr="00C36549" w:rsidRDefault="007A5AEB" w:rsidP="000B3045">
            <w:pPr>
              <w:spacing w:before="40" w:after="40"/>
              <w:rPr>
                <w:b/>
              </w:rPr>
            </w:pPr>
            <w:r w:rsidRPr="00C36549">
              <w:rPr>
                <w:b/>
              </w:rPr>
              <w:t>Jméno a příjmení</w:t>
            </w:r>
          </w:p>
        </w:tc>
        <w:tc>
          <w:tcPr>
            <w:tcW w:w="5812" w:type="dxa"/>
          </w:tcPr>
          <w:p w14:paraId="118E835A" w14:textId="77777777" w:rsidR="007A5AEB" w:rsidRPr="00C36549" w:rsidRDefault="007A5AEB" w:rsidP="000B3045">
            <w:pPr>
              <w:spacing w:before="40" w:after="40"/>
              <w:cnfStyle w:val="100000000000" w:firstRow="1"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r>
      <w:tr w:rsidR="007A5AEB" w:rsidRPr="00C36549" w14:paraId="324168C0" w14:textId="77777777" w:rsidTr="000B3045">
        <w:tc>
          <w:tcPr>
            <w:cnfStyle w:val="001000000000" w:firstRow="0" w:lastRow="0" w:firstColumn="1" w:lastColumn="0" w:oddVBand="0" w:evenVBand="0" w:oddHBand="0" w:evenHBand="0" w:firstRowFirstColumn="0" w:firstRowLastColumn="0" w:lastRowFirstColumn="0" w:lastRowLastColumn="0"/>
            <w:tcW w:w="3056" w:type="dxa"/>
          </w:tcPr>
          <w:p w14:paraId="1210C325" w14:textId="77777777" w:rsidR="007A5AEB" w:rsidRPr="00C36549" w:rsidRDefault="007A5AEB" w:rsidP="000B3045">
            <w:pPr>
              <w:spacing w:before="40" w:after="40"/>
            </w:pPr>
            <w:r w:rsidRPr="00C36549">
              <w:t>Adresa</w:t>
            </w:r>
          </w:p>
        </w:tc>
        <w:tc>
          <w:tcPr>
            <w:tcW w:w="5812" w:type="dxa"/>
          </w:tcPr>
          <w:p w14:paraId="281B16AB" w14:textId="77777777" w:rsidR="007A5AEB" w:rsidRPr="00C36549" w:rsidRDefault="007A5AEB" w:rsidP="000B3045">
            <w:pPr>
              <w:spacing w:before="40" w:after="40"/>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r>
      <w:tr w:rsidR="007A5AEB" w:rsidRPr="00C36549" w14:paraId="416B2A3E" w14:textId="77777777" w:rsidTr="000B3045">
        <w:tc>
          <w:tcPr>
            <w:cnfStyle w:val="001000000000" w:firstRow="0" w:lastRow="0" w:firstColumn="1" w:lastColumn="0" w:oddVBand="0" w:evenVBand="0" w:oddHBand="0" w:evenHBand="0" w:firstRowFirstColumn="0" w:firstRowLastColumn="0" w:lastRowFirstColumn="0" w:lastRowLastColumn="0"/>
            <w:tcW w:w="3056" w:type="dxa"/>
          </w:tcPr>
          <w:p w14:paraId="125C644C" w14:textId="77777777" w:rsidR="007A5AEB" w:rsidRPr="00C36549" w:rsidRDefault="007A5AEB" w:rsidP="000B3045">
            <w:pPr>
              <w:spacing w:before="40" w:after="40"/>
            </w:pPr>
            <w:r w:rsidRPr="00C36549">
              <w:t>E-mail</w:t>
            </w:r>
          </w:p>
        </w:tc>
        <w:tc>
          <w:tcPr>
            <w:tcW w:w="5812" w:type="dxa"/>
          </w:tcPr>
          <w:p w14:paraId="7D806337" w14:textId="77777777" w:rsidR="007A5AEB" w:rsidRPr="00C36549" w:rsidRDefault="007A5AEB" w:rsidP="000B3045">
            <w:pPr>
              <w:spacing w:before="40" w:after="40"/>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r>
      <w:tr w:rsidR="007A5AEB" w:rsidRPr="00C36549" w14:paraId="754FA9CD" w14:textId="77777777" w:rsidTr="000B3045">
        <w:tc>
          <w:tcPr>
            <w:cnfStyle w:val="001000000000" w:firstRow="0" w:lastRow="0" w:firstColumn="1" w:lastColumn="0" w:oddVBand="0" w:evenVBand="0" w:oddHBand="0" w:evenHBand="0" w:firstRowFirstColumn="0" w:firstRowLastColumn="0" w:lastRowFirstColumn="0" w:lastRowLastColumn="0"/>
            <w:tcW w:w="3056" w:type="dxa"/>
          </w:tcPr>
          <w:p w14:paraId="474070B4" w14:textId="77777777" w:rsidR="007A5AEB" w:rsidRPr="00C36549" w:rsidRDefault="007A5AEB" w:rsidP="000B3045">
            <w:pPr>
              <w:spacing w:before="40" w:after="40"/>
            </w:pPr>
            <w:r w:rsidRPr="00C36549">
              <w:t>Telefon</w:t>
            </w:r>
          </w:p>
        </w:tc>
        <w:tc>
          <w:tcPr>
            <w:tcW w:w="5812" w:type="dxa"/>
          </w:tcPr>
          <w:p w14:paraId="0E307D9D" w14:textId="77777777" w:rsidR="007A5AEB" w:rsidRPr="00C36549" w:rsidRDefault="007A5AEB" w:rsidP="000B3045">
            <w:pPr>
              <w:spacing w:before="40" w:after="40"/>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r>
    </w:tbl>
    <w:p w14:paraId="79EB64B1" w14:textId="77777777" w:rsidR="007A5AEB" w:rsidRDefault="007A5AEB">
      <w:pPr>
        <w:spacing w:before="0" w:after="240"/>
        <w:jc w:val="left"/>
      </w:pPr>
    </w:p>
    <w:p w14:paraId="2260DD92" w14:textId="01B52DD6" w:rsidR="007A5AEB" w:rsidRPr="00C36549" w:rsidRDefault="007A5AEB" w:rsidP="007A5AEB">
      <w:pPr>
        <w:keepNext/>
        <w:keepLines/>
        <w:pBdr>
          <w:top w:val="single" w:sz="12" w:space="3" w:color="00A1E0" w:themeColor="accent3"/>
        </w:pBdr>
        <w:suppressAutoHyphens/>
        <w:spacing w:before="0" w:after="60"/>
        <w:rPr>
          <w:rFonts w:asciiTheme="majorHAnsi" w:hAnsiTheme="majorHAnsi"/>
          <w:b/>
        </w:rPr>
      </w:pPr>
      <w:r w:rsidRPr="007A5AEB">
        <w:rPr>
          <w:rFonts w:asciiTheme="majorHAnsi" w:hAnsiTheme="majorHAnsi"/>
          <w:b/>
          <w:highlight w:val="green"/>
        </w:rPr>
        <w:t>Podpora technického dozoru 3</w:t>
      </w:r>
    </w:p>
    <w:tbl>
      <w:tblPr>
        <w:tblStyle w:val="Mkatabulky1"/>
        <w:tblW w:w="8868" w:type="dxa"/>
        <w:tblLook w:val="04A0" w:firstRow="1" w:lastRow="0" w:firstColumn="1" w:lastColumn="0" w:noHBand="0" w:noVBand="1"/>
      </w:tblPr>
      <w:tblGrid>
        <w:gridCol w:w="3056"/>
        <w:gridCol w:w="5812"/>
      </w:tblGrid>
      <w:tr w:rsidR="007A5AEB" w:rsidRPr="00C36549" w14:paraId="7B158BCE" w14:textId="77777777" w:rsidTr="000B30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20FFAE" w14:textId="77777777" w:rsidR="007A5AEB" w:rsidRPr="00C36549" w:rsidRDefault="007A5AEB" w:rsidP="000B3045">
            <w:pPr>
              <w:spacing w:before="40" w:after="40"/>
              <w:rPr>
                <w:b/>
              </w:rPr>
            </w:pPr>
            <w:r w:rsidRPr="00C36549">
              <w:rPr>
                <w:b/>
              </w:rPr>
              <w:t>Jméno a příjmení</w:t>
            </w:r>
          </w:p>
        </w:tc>
        <w:tc>
          <w:tcPr>
            <w:tcW w:w="5812" w:type="dxa"/>
          </w:tcPr>
          <w:p w14:paraId="01FDA7A8" w14:textId="77777777" w:rsidR="007A5AEB" w:rsidRPr="00C36549" w:rsidRDefault="007A5AEB" w:rsidP="000B3045">
            <w:pPr>
              <w:spacing w:before="40" w:after="40"/>
              <w:cnfStyle w:val="100000000000" w:firstRow="1"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r>
      <w:tr w:rsidR="007A5AEB" w:rsidRPr="00C36549" w14:paraId="37631E1E" w14:textId="77777777" w:rsidTr="000B3045">
        <w:tc>
          <w:tcPr>
            <w:cnfStyle w:val="001000000000" w:firstRow="0" w:lastRow="0" w:firstColumn="1" w:lastColumn="0" w:oddVBand="0" w:evenVBand="0" w:oddHBand="0" w:evenHBand="0" w:firstRowFirstColumn="0" w:firstRowLastColumn="0" w:lastRowFirstColumn="0" w:lastRowLastColumn="0"/>
            <w:tcW w:w="3056" w:type="dxa"/>
          </w:tcPr>
          <w:p w14:paraId="04A14B63" w14:textId="77777777" w:rsidR="007A5AEB" w:rsidRPr="00C36549" w:rsidRDefault="007A5AEB" w:rsidP="000B3045">
            <w:pPr>
              <w:spacing w:before="40" w:after="40"/>
            </w:pPr>
            <w:r w:rsidRPr="00C36549">
              <w:t>Adresa</w:t>
            </w:r>
          </w:p>
        </w:tc>
        <w:tc>
          <w:tcPr>
            <w:tcW w:w="5812" w:type="dxa"/>
          </w:tcPr>
          <w:p w14:paraId="3AD5CE96" w14:textId="77777777" w:rsidR="007A5AEB" w:rsidRPr="00C36549" w:rsidRDefault="007A5AEB" w:rsidP="000B3045">
            <w:pPr>
              <w:spacing w:before="40" w:after="40"/>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r>
      <w:tr w:rsidR="007A5AEB" w:rsidRPr="00C36549" w14:paraId="2AA7665C" w14:textId="77777777" w:rsidTr="000B3045">
        <w:tc>
          <w:tcPr>
            <w:cnfStyle w:val="001000000000" w:firstRow="0" w:lastRow="0" w:firstColumn="1" w:lastColumn="0" w:oddVBand="0" w:evenVBand="0" w:oddHBand="0" w:evenHBand="0" w:firstRowFirstColumn="0" w:firstRowLastColumn="0" w:lastRowFirstColumn="0" w:lastRowLastColumn="0"/>
            <w:tcW w:w="3056" w:type="dxa"/>
          </w:tcPr>
          <w:p w14:paraId="708745A1" w14:textId="77777777" w:rsidR="007A5AEB" w:rsidRPr="00C36549" w:rsidRDefault="007A5AEB" w:rsidP="000B3045">
            <w:pPr>
              <w:spacing w:before="40" w:after="40"/>
            </w:pPr>
            <w:r w:rsidRPr="00C36549">
              <w:t>E-mail</w:t>
            </w:r>
          </w:p>
        </w:tc>
        <w:tc>
          <w:tcPr>
            <w:tcW w:w="5812" w:type="dxa"/>
          </w:tcPr>
          <w:p w14:paraId="10871E70" w14:textId="77777777" w:rsidR="007A5AEB" w:rsidRPr="00C36549" w:rsidRDefault="007A5AEB" w:rsidP="000B3045">
            <w:pPr>
              <w:spacing w:before="40" w:after="40"/>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r>
      <w:tr w:rsidR="007A5AEB" w:rsidRPr="00C36549" w14:paraId="097281DB" w14:textId="77777777" w:rsidTr="000B3045">
        <w:tc>
          <w:tcPr>
            <w:cnfStyle w:val="001000000000" w:firstRow="0" w:lastRow="0" w:firstColumn="1" w:lastColumn="0" w:oddVBand="0" w:evenVBand="0" w:oddHBand="0" w:evenHBand="0" w:firstRowFirstColumn="0" w:firstRowLastColumn="0" w:lastRowFirstColumn="0" w:lastRowLastColumn="0"/>
            <w:tcW w:w="3056" w:type="dxa"/>
          </w:tcPr>
          <w:p w14:paraId="730EAFAF" w14:textId="77777777" w:rsidR="007A5AEB" w:rsidRPr="00C36549" w:rsidRDefault="007A5AEB" w:rsidP="000B3045">
            <w:pPr>
              <w:spacing w:before="40" w:after="40"/>
            </w:pPr>
            <w:r w:rsidRPr="00C36549">
              <w:t>Telefon</w:t>
            </w:r>
          </w:p>
        </w:tc>
        <w:tc>
          <w:tcPr>
            <w:tcW w:w="5812" w:type="dxa"/>
          </w:tcPr>
          <w:p w14:paraId="1576CBBB" w14:textId="77777777" w:rsidR="007A5AEB" w:rsidRPr="00C36549" w:rsidRDefault="007A5AEB" w:rsidP="000B3045">
            <w:pPr>
              <w:spacing w:before="40" w:after="40"/>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r>
    </w:tbl>
    <w:p w14:paraId="6328360B" w14:textId="5682D5EE" w:rsidR="00D40223" w:rsidRDefault="00D40223">
      <w:pPr>
        <w:spacing w:before="0" w:after="240"/>
        <w:jc w:val="left"/>
      </w:pPr>
      <w:r>
        <w:br w:type="page"/>
      </w:r>
    </w:p>
    <w:p w14:paraId="31432EEA" w14:textId="77777777" w:rsidR="00D40223" w:rsidRDefault="00D40223" w:rsidP="00D40223">
      <w:pPr>
        <w:pStyle w:val="Nadpisbezsl1-1"/>
      </w:pPr>
      <w:r>
        <w:lastRenderedPageBreak/>
        <w:t>Příloha č. 6</w:t>
      </w:r>
    </w:p>
    <w:p w14:paraId="796B9E5F" w14:textId="77777777" w:rsidR="00D40223" w:rsidRDefault="00D40223" w:rsidP="00D40223">
      <w:pPr>
        <w:widowControl w:val="0"/>
        <w:tabs>
          <w:tab w:val="left" w:pos="1105"/>
        </w:tabs>
        <w:spacing w:before="0" w:after="60" w:line="216" w:lineRule="exact"/>
        <w:jc w:val="left"/>
        <w:rPr>
          <w:rFonts w:asciiTheme="majorHAnsi" w:hAnsiTheme="majorHAnsi"/>
          <w:b/>
          <w:sz w:val="20"/>
          <w:szCs w:val="20"/>
        </w:rPr>
      </w:pPr>
      <w:r>
        <w:rPr>
          <w:rFonts w:asciiTheme="majorHAnsi" w:hAnsiTheme="majorHAnsi"/>
          <w:b/>
          <w:sz w:val="20"/>
          <w:szCs w:val="20"/>
        </w:rPr>
        <w:t>Plná moc</w:t>
      </w:r>
    </w:p>
    <w:p w14:paraId="6CF772AD" w14:textId="77777777" w:rsidR="00D40223" w:rsidRPr="00354B96" w:rsidRDefault="00D40223" w:rsidP="00354B96">
      <w:pPr>
        <w:spacing w:before="0"/>
      </w:pPr>
    </w:p>
    <w:sectPr w:rsidR="00D40223" w:rsidRPr="00354B96"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88F8E6" w14:textId="77777777" w:rsidR="008263B8" w:rsidRDefault="008263B8" w:rsidP="00962258">
      <w:pPr>
        <w:spacing w:after="0" w:line="240" w:lineRule="auto"/>
      </w:pPr>
      <w:r>
        <w:separator/>
      </w:r>
    </w:p>
  </w:endnote>
  <w:endnote w:type="continuationSeparator" w:id="0">
    <w:p w14:paraId="1D5DF0CA" w14:textId="77777777" w:rsidR="008263B8" w:rsidRDefault="008263B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1475FB5F"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729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17298">
            <w:rPr>
              <w:rStyle w:val="slostrnky"/>
              <w:noProof/>
            </w:rPr>
            <w:t>14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25DA8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0840B4"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66DA5B3B"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729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17298">
            <w:rPr>
              <w:rStyle w:val="slostrnky"/>
              <w:noProof/>
            </w:rPr>
            <w:t>14</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9EF5A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ED335D"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0F0866" w14:textId="77777777" w:rsidR="008263B8" w:rsidRDefault="008263B8" w:rsidP="00962258">
      <w:pPr>
        <w:spacing w:after="0" w:line="240" w:lineRule="auto"/>
      </w:pPr>
      <w:r>
        <w:separator/>
      </w:r>
    </w:p>
  </w:footnote>
  <w:footnote w:type="continuationSeparator" w:id="0">
    <w:p w14:paraId="43DDB135" w14:textId="77777777" w:rsidR="008263B8" w:rsidRDefault="008263B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EC43CD"/>
    <w:multiLevelType w:val="hybridMultilevel"/>
    <w:tmpl w:val="96604CAE"/>
    <w:lvl w:ilvl="0" w:tplc="0C346FE0">
      <w:start w:val="1"/>
      <w:numFmt w:val="bullet"/>
      <w:lvlText w:val=""/>
      <w:lvlJc w:val="left"/>
      <w:pPr>
        <w:ind w:left="720" w:hanging="360"/>
      </w:pPr>
      <w:rPr>
        <w:rFonts w:ascii="Symbol" w:hAnsi="Symbol"/>
      </w:rPr>
    </w:lvl>
    <w:lvl w:ilvl="1" w:tplc="587C2210">
      <w:start w:val="1"/>
      <w:numFmt w:val="bullet"/>
      <w:lvlText w:val=""/>
      <w:lvlJc w:val="left"/>
      <w:pPr>
        <w:ind w:left="720" w:hanging="360"/>
      </w:pPr>
      <w:rPr>
        <w:rFonts w:ascii="Symbol" w:hAnsi="Symbol"/>
      </w:rPr>
    </w:lvl>
    <w:lvl w:ilvl="2" w:tplc="2614495A">
      <w:start w:val="1"/>
      <w:numFmt w:val="bullet"/>
      <w:lvlText w:val=""/>
      <w:lvlJc w:val="left"/>
      <w:pPr>
        <w:ind w:left="720" w:hanging="360"/>
      </w:pPr>
      <w:rPr>
        <w:rFonts w:ascii="Symbol" w:hAnsi="Symbol"/>
      </w:rPr>
    </w:lvl>
    <w:lvl w:ilvl="3" w:tplc="56AA23BE">
      <w:start w:val="1"/>
      <w:numFmt w:val="bullet"/>
      <w:lvlText w:val=""/>
      <w:lvlJc w:val="left"/>
      <w:pPr>
        <w:ind w:left="720" w:hanging="360"/>
      </w:pPr>
      <w:rPr>
        <w:rFonts w:ascii="Symbol" w:hAnsi="Symbol"/>
      </w:rPr>
    </w:lvl>
    <w:lvl w:ilvl="4" w:tplc="A8BA64A0">
      <w:start w:val="1"/>
      <w:numFmt w:val="bullet"/>
      <w:lvlText w:val=""/>
      <w:lvlJc w:val="left"/>
      <w:pPr>
        <w:ind w:left="720" w:hanging="360"/>
      </w:pPr>
      <w:rPr>
        <w:rFonts w:ascii="Symbol" w:hAnsi="Symbol"/>
      </w:rPr>
    </w:lvl>
    <w:lvl w:ilvl="5" w:tplc="AD02A528">
      <w:start w:val="1"/>
      <w:numFmt w:val="bullet"/>
      <w:lvlText w:val=""/>
      <w:lvlJc w:val="left"/>
      <w:pPr>
        <w:ind w:left="720" w:hanging="360"/>
      </w:pPr>
      <w:rPr>
        <w:rFonts w:ascii="Symbol" w:hAnsi="Symbol"/>
      </w:rPr>
    </w:lvl>
    <w:lvl w:ilvl="6" w:tplc="A3A6A0B6">
      <w:start w:val="1"/>
      <w:numFmt w:val="bullet"/>
      <w:lvlText w:val=""/>
      <w:lvlJc w:val="left"/>
      <w:pPr>
        <w:ind w:left="720" w:hanging="360"/>
      </w:pPr>
      <w:rPr>
        <w:rFonts w:ascii="Symbol" w:hAnsi="Symbol"/>
      </w:rPr>
    </w:lvl>
    <w:lvl w:ilvl="7" w:tplc="13D8BF5C">
      <w:start w:val="1"/>
      <w:numFmt w:val="bullet"/>
      <w:lvlText w:val=""/>
      <w:lvlJc w:val="left"/>
      <w:pPr>
        <w:ind w:left="720" w:hanging="360"/>
      </w:pPr>
      <w:rPr>
        <w:rFonts w:ascii="Symbol" w:hAnsi="Symbol"/>
      </w:rPr>
    </w:lvl>
    <w:lvl w:ilvl="8" w:tplc="D7520FCE">
      <w:start w:val="1"/>
      <w:numFmt w:val="bullet"/>
      <w:lvlText w:val=""/>
      <w:lvlJc w:val="left"/>
      <w:pPr>
        <w:ind w:left="720" w:hanging="360"/>
      </w:pPr>
      <w:rPr>
        <w:rFonts w:ascii="Symbol" w:hAnsi="Symbol"/>
      </w:rPr>
    </w:lvl>
  </w:abstractNum>
  <w:abstractNum w:abstractNumId="2" w15:restartNumberingAfterBreak="0">
    <w:nsid w:val="11A512FD"/>
    <w:multiLevelType w:val="multilevel"/>
    <w:tmpl w:val="32BA59B0"/>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A88582A"/>
    <w:multiLevelType w:val="multilevel"/>
    <w:tmpl w:val="4F8E88A8"/>
    <w:lvl w:ilvl="0">
      <w:start w:val="1"/>
      <w:numFmt w:val="decimal"/>
      <w:lvlText w:val="%1"/>
      <w:lvlJc w:val="left"/>
      <w:rPr>
        <w:rFonts w:ascii="Verdana" w:eastAsia="Verdana" w:hAnsi="Verdana" w:cs="Verdana"/>
        <w:b/>
        <w:bCs/>
        <w:i w:val="0"/>
        <w:iCs w:val="0"/>
        <w:smallCaps w:val="0"/>
        <w:strike w:val="0"/>
        <w:color w:val="000000"/>
        <w:spacing w:val="0"/>
        <w:w w:val="100"/>
        <w:position w:val="0"/>
        <w:sz w:val="18"/>
        <w:szCs w:val="18"/>
        <w:u w:val="none"/>
        <w:lang w:val="cs-CZ" w:eastAsia="cs-CZ" w:bidi="cs-CZ"/>
      </w:rPr>
    </w:lvl>
    <w:lvl w:ilvl="1">
      <w:start w:val="2"/>
      <w:numFmt w:val="decimal"/>
      <w:lvlText w:val="%1.%2"/>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F76403"/>
    <w:multiLevelType w:val="multilevel"/>
    <w:tmpl w:val="0D34D660"/>
    <w:numStyleLink w:val="ListBulletmultilevel"/>
  </w:abstractNum>
  <w:abstractNum w:abstractNumId="7"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E3D1F92"/>
    <w:multiLevelType w:val="multilevel"/>
    <w:tmpl w:val="CB68118E"/>
    <w:lvl w:ilvl="0">
      <w:start w:val="2"/>
      <w:numFmt w:val="decimal"/>
      <w:lvlText w:val="2.%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3852661"/>
    <w:multiLevelType w:val="multilevel"/>
    <w:tmpl w:val="3546422C"/>
    <w:lvl w:ilvl="0">
      <w:start w:val="2"/>
      <w:numFmt w:val="decimal"/>
      <w:lvlText w:val="4.%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0503A0"/>
    <w:multiLevelType w:val="multilevel"/>
    <w:tmpl w:val="87985314"/>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4070991"/>
    <w:multiLevelType w:val="multilevel"/>
    <w:tmpl w:val="CABE99FC"/>
    <w:numStyleLink w:val="ListNumbermultilevel"/>
  </w:abstractNum>
  <w:num w:numId="1" w16cid:durableId="1216307859">
    <w:abstractNumId w:val="4"/>
  </w:num>
  <w:num w:numId="2" w16cid:durableId="1435050890">
    <w:abstractNumId w:val="0"/>
  </w:num>
  <w:num w:numId="3" w16cid:durableId="1647854785">
    <w:abstractNumId w:val="6"/>
  </w:num>
  <w:num w:numId="4" w16cid:durableId="1137994490">
    <w:abstractNumId w:val="12"/>
  </w:num>
  <w:num w:numId="5" w16cid:durableId="69039784">
    <w:abstractNumId w:val="8"/>
  </w:num>
  <w:num w:numId="6" w16cid:durableId="158891278">
    <w:abstractNumId w:val="7"/>
  </w:num>
  <w:num w:numId="7" w16cid:durableId="1038165652">
    <w:abstractNumId w:val="3"/>
  </w:num>
  <w:num w:numId="8" w16cid:durableId="10963698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4186464">
    <w:abstractNumId w:val="5"/>
  </w:num>
  <w:num w:numId="10" w16cid:durableId="823424824">
    <w:abstractNumId w:val="11"/>
  </w:num>
  <w:num w:numId="11" w16cid:durableId="1889101067">
    <w:abstractNumId w:val="2"/>
  </w:num>
  <w:num w:numId="12" w16cid:durableId="766537048">
    <w:abstractNumId w:val="9"/>
  </w:num>
  <w:num w:numId="13" w16cid:durableId="1387333382">
    <w:abstractNumId w:val="10"/>
  </w:num>
  <w:num w:numId="14" w16cid:durableId="1616327408">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1757F"/>
    <w:rsid w:val="00040B7E"/>
    <w:rsid w:val="00042631"/>
    <w:rsid w:val="00072C1E"/>
    <w:rsid w:val="00073A69"/>
    <w:rsid w:val="000838F5"/>
    <w:rsid w:val="000A1088"/>
    <w:rsid w:val="000A13BC"/>
    <w:rsid w:val="000A3F85"/>
    <w:rsid w:val="000C2D37"/>
    <w:rsid w:val="000C4C0F"/>
    <w:rsid w:val="000D1A0F"/>
    <w:rsid w:val="000E23A7"/>
    <w:rsid w:val="000F4F6A"/>
    <w:rsid w:val="0010693F"/>
    <w:rsid w:val="00107E5E"/>
    <w:rsid w:val="00111F39"/>
    <w:rsid w:val="00114472"/>
    <w:rsid w:val="0013379C"/>
    <w:rsid w:val="00133826"/>
    <w:rsid w:val="001369A0"/>
    <w:rsid w:val="00141C9A"/>
    <w:rsid w:val="001550BC"/>
    <w:rsid w:val="001605B9"/>
    <w:rsid w:val="00170EC5"/>
    <w:rsid w:val="001747C1"/>
    <w:rsid w:val="00183915"/>
    <w:rsid w:val="00184743"/>
    <w:rsid w:val="0019476C"/>
    <w:rsid w:val="001A27EA"/>
    <w:rsid w:val="001C00AA"/>
    <w:rsid w:val="001E3789"/>
    <w:rsid w:val="001F32C9"/>
    <w:rsid w:val="001F7617"/>
    <w:rsid w:val="00207DF5"/>
    <w:rsid w:val="0022396D"/>
    <w:rsid w:val="00247F51"/>
    <w:rsid w:val="002624E1"/>
    <w:rsid w:val="00265DFD"/>
    <w:rsid w:val="00280E07"/>
    <w:rsid w:val="00297F9D"/>
    <w:rsid w:val="002A6874"/>
    <w:rsid w:val="002B11D9"/>
    <w:rsid w:val="002C31BF"/>
    <w:rsid w:val="002C6CF8"/>
    <w:rsid w:val="002D08B1"/>
    <w:rsid w:val="002D23BD"/>
    <w:rsid w:val="002E0CD7"/>
    <w:rsid w:val="002F28A1"/>
    <w:rsid w:val="003013FA"/>
    <w:rsid w:val="003071BD"/>
    <w:rsid w:val="00321172"/>
    <w:rsid w:val="00341DCF"/>
    <w:rsid w:val="003452CE"/>
    <w:rsid w:val="00354B96"/>
    <w:rsid w:val="003557CB"/>
    <w:rsid w:val="00357BC6"/>
    <w:rsid w:val="00364455"/>
    <w:rsid w:val="003956C6"/>
    <w:rsid w:val="003A4D59"/>
    <w:rsid w:val="003B39EC"/>
    <w:rsid w:val="003D12BD"/>
    <w:rsid w:val="003D703A"/>
    <w:rsid w:val="003E082D"/>
    <w:rsid w:val="003F20D8"/>
    <w:rsid w:val="004178E9"/>
    <w:rsid w:val="00441430"/>
    <w:rsid w:val="00450F07"/>
    <w:rsid w:val="00453CD3"/>
    <w:rsid w:val="00460660"/>
    <w:rsid w:val="00486107"/>
    <w:rsid w:val="00487EC8"/>
    <w:rsid w:val="00491827"/>
    <w:rsid w:val="00492DAB"/>
    <w:rsid w:val="00493B1B"/>
    <w:rsid w:val="00494F81"/>
    <w:rsid w:val="004A519A"/>
    <w:rsid w:val="004A6222"/>
    <w:rsid w:val="004B330C"/>
    <w:rsid w:val="004B348C"/>
    <w:rsid w:val="004C4399"/>
    <w:rsid w:val="004C728D"/>
    <w:rsid w:val="004C787C"/>
    <w:rsid w:val="004D207B"/>
    <w:rsid w:val="004E143C"/>
    <w:rsid w:val="004E1498"/>
    <w:rsid w:val="004E1ED9"/>
    <w:rsid w:val="004E2F1D"/>
    <w:rsid w:val="004E3A53"/>
    <w:rsid w:val="004E7B39"/>
    <w:rsid w:val="004F4B9B"/>
    <w:rsid w:val="004F5497"/>
    <w:rsid w:val="00503B7A"/>
    <w:rsid w:val="00511AB9"/>
    <w:rsid w:val="00517984"/>
    <w:rsid w:val="00522467"/>
    <w:rsid w:val="00523EA7"/>
    <w:rsid w:val="00527421"/>
    <w:rsid w:val="005333B4"/>
    <w:rsid w:val="00537B7A"/>
    <w:rsid w:val="00553375"/>
    <w:rsid w:val="005736B7"/>
    <w:rsid w:val="00575E5A"/>
    <w:rsid w:val="00586CF5"/>
    <w:rsid w:val="00592757"/>
    <w:rsid w:val="00597E84"/>
    <w:rsid w:val="005B7506"/>
    <w:rsid w:val="005B76DD"/>
    <w:rsid w:val="005D5624"/>
    <w:rsid w:val="005E7A24"/>
    <w:rsid w:val="005F1404"/>
    <w:rsid w:val="00600050"/>
    <w:rsid w:val="00602E1E"/>
    <w:rsid w:val="00604869"/>
    <w:rsid w:val="0060520C"/>
    <w:rsid w:val="006062F9"/>
    <w:rsid w:val="0061068E"/>
    <w:rsid w:val="00617298"/>
    <w:rsid w:val="006203C3"/>
    <w:rsid w:val="00635610"/>
    <w:rsid w:val="0063745A"/>
    <w:rsid w:val="0065212A"/>
    <w:rsid w:val="00660AD3"/>
    <w:rsid w:val="00677B7F"/>
    <w:rsid w:val="00681E37"/>
    <w:rsid w:val="006A5570"/>
    <w:rsid w:val="006A689C"/>
    <w:rsid w:val="006B3D79"/>
    <w:rsid w:val="006C7697"/>
    <w:rsid w:val="006D7AFE"/>
    <w:rsid w:val="006E0578"/>
    <w:rsid w:val="006E314D"/>
    <w:rsid w:val="006E3E36"/>
    <w:rsid w:val="006E6E61"/>
    <w:rsid w:val="006F36CD"/>
    <w:rsid w:val="006F7CD7"/>
    <w:rsid w:val="00702628"/>
    <w:rsid w:val="00705D26"/>
    <w:rsid w:val="007061F8"/>
    <w:rsid w:val="007106CF"/>
    <w:rsid w:val="00710723"/>
    <w:rsid w:val="00722ABF"/>
    <w:rsid w:val="00723ED1"/>
    <w:rsid w:val="0072631F"/>
    <w:rsid w:val="0073691C"/>
    <w:rsid w:val="00743525"/>
    <w:rsid w:val="00744CF6"/>
    <w:rsid w:val="007510DD"/>
    <w:rsid w:val="00756EFE"/>
    <w:rsid w:val="0076286B"/>
    <w:rsid w:val="00766846"/>
    <w:rsid w:val="0077673A"/>
    <w:rsid w:val="00777E1C"/>
    <w:rsid w:val="007846E1"/>
    <w:rsid w:val="007A0C04"/>
    <w:rsid w:val="007A27FA"/>
    <w:rsid w:val="007A5AEB"/>
    <w:rsid w:val="007B570C"/>
    <w:rsid w:val="007C3AC0"/>
    <w:rsid w:val="007C589B"/>
    <w:rsid w:val="007E4A6E"/>
    <w:rsid w:val="007F328C"/>
    <w:rsid w:val="007F3CD3"/>
    <w:rsid w:val="007F56A7"/>
    <w:rsid w:val="0080071E"/>
    <w:rsid w:val="00807DD0"/>
    <w:rsid w:val="00810E9B"/>
    <w:rsid w:val="008124E5"/>
    <w:rsid w:val="00814328"/>
    <w:rsid w:val="00821F81"/>
    <w:rsid w:val="008263B8"/>
    <w:rsid w:val="00854789"/>
    <w:rsid w:val="0086114C"/>
    <w:rsid w:val="008659F3"/>
    <w:rsid w:val="008819E9"/>
    <w:rsid w:val="00886D4B"/>
    <w:rsid w:val="00895406"/>
    <w:rsid w:val="008A3568"/>
    <w:rsid w:val="008B24C9"/>
    <w:rsid w:val="008D03B9"/>
    <w:rsid w:val="008E1E86"/>
    <w:rsid w:val="008F18D6"/>
    <w:rsid w:val="008F3BC6"/>
    <w:rsid w:val="008F7DFE"/>
    <w:rsid w:val="00904780"/>
    <w:rsid w:val="00907746"/>
    <w:rsid w:val="00922385"/>
    <w:rsid w:val="009223DF"/>
    <w:rsid w:val="00936091"/>
    <w:rsid w:val="00940D8A"/>
    <w:rsid w:val="00950C1F"/>
    <w:rsid w:val="00962258"/>
    <w:rsid w:val="009678B7"/>
    <w:rsid w:val="009833E1"/>
    <w:rsid w:val="00984D92"/>
    <w:rsid w:val="00985507"/>
    <w:rsid w:val="00991599"/>
    <w:rsid w:val="00992D9C"/>
    <w:rsid w:val="00996CB8"/>
    <w:rsid w:val="009A0078"/>
    <w:rsid w:val="009A396A"/>
    <w:rsid w:val="009B14A9"/>
    <w:rsid w:val="009B2E97"/>
    <w:rsid w:val="009C651E"/>
    <w:rsid w:val="009D3556"/>
    <w:rsid w:val="009E07F4"/>
    <w:rsid w:val="009E4AEE"/>
    <w:rsid w:val="009F392E"/>
    <w:rsid w:val="00A02EE7"/>
    <w:rsid w:val="00A06EE1"/>
    <w:rsid w:val="00A07644"/>
    <w:rsid w:val="00A25248"/>
    <w:rsid w:val="00A44435"/>
    <w:rsid w:val="00A52B36"/>
    <w:rsid w:val="00A6177B"/>
    <w:rsid w:val="00A63FD5"/>
    <w:rsid w:val="00A66136"/>
    <w:rsid w:val="00A6738F"/>
    <w:rsid w:val="00A850B7"/>
    <w:rsid w:val="00AA4CBB"/>
    <w:rsid w:val="00AA65FA"/>
    <w:rsid w:val="00AA7351"/>
    <w:rsid w:val="00AB53C9"/>
    <w:rsid w:val="00AB6759"/>
    <w:rsid w:val="00AD056F"/>
    <w:rsid w:val="00AD6731"/>
    <w:rsid w:val="00AE74AE"/>
    <w:rsid w:val="00B035F2"/>
    <w:rsid w:val="00B15D0D"/>
    <w:rsid w:val="00B174F8"/>
    <w:rsid w:val="00B34A8A"/>
    <w:rsid w:val="00B354A6"/>
    <w:rsid w:val="00B4599F"/>
    <w:rsid w:val="00B66E16"/>
    <w:rsid w:val="00B75EE1"/>
    <w:rsid w:val="00B77481"/>
    <w:rsid w:val="00B8518B"/>
    <w:rsid w:val="00BB184D"/>
    <w:rsid w:val="00BB202D"/>
    <w:rsid w:val="00BC3B69"/>
    <w:rsid w:val="00BD5311"/>
    <w:rsid w:val="00BD7E91"/>
    <w:rsid w:val="00BF21C6"/>
    <w:rsid w:val="00BF5E64"/>
    <w:rsid w:val="00C02D0A"/>
    <w:rsid w:val="00C03A6E"/>
    <w:rsid w:val="00C12CB0"/>
    <w:rsid w:val="00C25494"/>
    <w:rsid w:val="00C31C15"/>
    <w:rsid w:val="00C44F6A"/>
    <w:rsid w:val="00C46EB4"/>
    <w:rsid w:val="00C47AE3"/>
    <w:rsid w:val="00C916C5"/>
    <w:rsid w:val="00CD1FC4"/>
    <w:rsid w:val="00CE287A"/>
    <w:rsid w:val="00CF484D"/>
    <w:rsid w:val="00D07EFE"/>
    <w:rsid w:val="00D21061"/>
    <w:rsid w:val="00D37189"/>
    <w:rsid w:val="00D40223"/>
    <w:rsid w:val="00D4108E"/>
    <w:rsid w:val="00D45DE0"/>
    <w:rsid w:val="00D6163D"/>
    <w:rsid w:val="00D61CD5"/>
    <w:rsid w:val="00D831A3"/>
    <w:rsid w:val="00D85C5B"/>
    <w:rsid w:val="00DB03B5"/>
    <w:rsid w:val="00DB295F"/>
    <w:rsid w:val="00DC75F3"/>
    <w:rsid w:val="00DD46F3"/>
    <w:rsid w:val="00DE04E2"/>
    <w:rsid w:val="00DE56F2"/>
    <w:rsid w:val="00DF116D"/>
    <w:rsid w:val="00DF12E7"/>
    <w:rsid w:val="00E01D6E"/>
    <w:rsid w:val="00E174B0"/>
    <w:rsid w:val="00E26235"/>
    <w:rsid w:val="00E2730E"/>
    <w:rsid w:val="00E64568"/>
    <w:rsid w:val="00E73DA0"/>
    <w:rsid w:val="00EA345D"/>
    <w:rsid w:val="00EB104F"/>
    <w:rsid w:val="00EC0CDA"/>
    <w:rsid w:val="00ED14BD"/>
    <w:rsid w:val="00EE40E9"/>
    <w:rsid w:val="00EF1804"/>
    <w:rsid w:val="00EF66C8"/>
    <w:rsid w:val="00F0533E"/>
    <w:rsid w:val="00F076A0"/>
    <w:rsid w:val="00F1048D"/>
    <w:rsid w:val="00F12DEC"/>
    <w:rsid w:val="00F1715C"/>
    <w:rsid w:val="00F310F8"/>
    <w:rsid w:val="00F35939"/>
    <w:rsid w:val="00F45607"/>
    <w:rsid w:val="00F659EB"/>
    <w:rsid w:val="00F664E5"/>
    <w:rsid w:val="00F81B99"/>
    <w:rsid w:val="00F86BA6"/>
    <w:rsid w:val="00F969C4"/>
    <w:rsid w:val="00FC6389"/>
    <w:rsid w:val="00FC6C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6"/>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nhideWhenUsed/>
    <w:qFormat/>
    <w:rsid w:val="00141C9A"/>
    <w:pPr>
      <w:numPr>
        <w:ilvl w:val="1"/>
        <w:numId w:val="6"/>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nhideWhenUsed/>
    <w:qFormat/>
    <w:rsid w:val="00141C9A"/>
    <w:pPr>
      <w:numPr>
        <w:ilvl w:val="2"/>
        <w:numId w:val="6"/>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rsid w:val="00141C9A"/>
    <w:rPr>
      <w:rFonts w:eastAsia="Times New Roman" w:cs="Times New Roman"/>
      <w:lang w:eastAsia="cs-CZ"/>
    </w:rPr>
  </w:style>
  <w:style w:type="character" w:customStyle="1" w:styleId="Nadpis3Char">
    <w:name w:val="Nadpis 3 Char"/>
    <w:aliases w:val="1.1.1. odst. Char"/>
    <w:basedOn w:val="Standardnpsmoodstavce"/>
    <w:link w:val="Nadpis3"/>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7"/>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customStyle="1" w:styleId="Nevyeenzmnka2">
    <w:name w:val="Nevyřešená zmínka2"/>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paragraph" w:customStyle="1" w:styleId="Text1-1">
    <w:name w:val="_Text_1-1"/>
    <w:basedOn w:val="Normln"/>
    <w:link w:val="Text1-1Char"/>
    <w:rsid w:val="00681E37"/>
    <w:pPr>
      <w:spacing w:before="0"/>
    </w:pPr>
  </w:style>
  <w:style w:type="character" w:customStyle="1" w:styleId="Text1-1Char">
    <w:name w:val="_Text_1-1 Char"/>
    <w:basedOn w:val="Standardnpsmoodstavce"/>
    <w:link w:val="Text1-1"/>
    <w:rsid w:val="00681E37"/>
  </w:style>
  <w:style w:type="paragraph" w:customStyle="1" w:styleId="Text1-2">
    <w:name w:val="_Text_1-2"/>
    <w:basedOn w:val="Text1-1"/>
    <w:qFormat/>
    <w:rsid w:val="00E26235"/>
    <w:pPr>
      <w:tabs>
        <w:tab w:val="num" w:pos="360"/>
        <w:tab w:val="num" w:pos="1843"/>
      </w:tabs>
      <w:ind w:left="1729" w:hanging="652"/>
    </w:pPr>
    <w:rPr>
      <w:rFonts w:ascii="Verdana" w:hAnsi="Verdana"/>
    </w:rPr>
  </w:style>
  <w:style w:type="paragraph" w:customStyle="1" w:styleId="Nadpis1-1">
    <w:name w:val="_Nadpis_1-1"/>
    <w:basedOn w:val="Odstavecseseznamem"/>
    <w:next w:val="Normln"/>
    <w:qFormat/>
    <w:rsid w:val="00E26235"/>
    <w:pPr>
      <w:keepNext/>
      <w:tabs>
        <w:tab w:val="num" w:pos="360"/>
      </w:tabs>
      <w:spacing w:before="280"/>
      <w:jc w:val="left"/>
      <w:outlineLvl w:val="0"/>
    </w:pPr>
    <w:rPr>
      <w:rFonts w:ascii="Verdana" w:hAnsi="Verdana"/>
      <w:b/>
      <w:caps/>
      <w:sz w:val="22"/>
    </w:rPr>
  </w:style>
  <w:style w:type="table" w:customStyle="1" w:styleId="Mkatabulky2">
    <w:name w:val="Mřížka tabulky2"/>
    <w:basedOn w:val="Normlntabulka"/>
    <w:next w:val="Mkatabulky"/>
    <w:uiPriority w:val="39"/>
    <w:rsid w:val="00354B96"/>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Nadpisbezsl1-1">
    <w:name w:val="_Nadpis_bez_čísl_1-1"/>
    <w:qFormat/>
    <w:rsid w:val="00354B96"/>
    <w:pPr>
      <w:spacing w:before="240" w:after="120"/>
    </w:pPr>
    <w:rPr>
      <w:rFonts w:asciiTheme="majorHAnsi" w:hAnsiTheme="majorHAnsi"/>
      <w:b/>
      <w:caps/>
      <w:sz w:val="22"/>
    </w:rPr>
  </w:style>
  <w:style w:type="paragraph" w:customStyle="1" w:styleId="Nadpisbezsl1-2">
    <w:name w:val="_Nadpis_bez_čísl_1-2"/>
    <w:qFormat/>
    <w:rsid w:val="00354B96"/>
    <w:pPr>
      <w:spacing w:before="240" w:after="120"/>
    </w:pPr>
    <w:rPr>
      <w:rFonts w:asciiTheme="majorHAnsi" w:hAnsiTheme="majorHAnsi"/>
      <w:b/>
      <w:sz w:val="20"/>
      <w:szCs w:val="20"/>
    </w:rPr>
  </w:style>
  <w:style w:type="table" w:customStyle="1" w:styleId="Mkatabulky3">
    <w:name w:val="Mřížka tabulky3"/>
    <w:basedOn w:val="Normlntabulka"/>
    <w:next w:val="Mkatabulky"/>
    <w:rsid w:val="007106C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1">
    <w:name w:val="Mřížka tabulky1"/>
    <w:basedOn w:val="Normlntabulka"/>
    <w:next w:val="Mkatabulky"/>
    <w:uiPriority w:val="39"/>
    <w:rsid w:val="007106C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bezodsazen">
    <w:name w:val="_Text_bez_odsazení"/>
    <w:basedOn w:val="Normln"/>
    <w:link w:val="TextbezodsazenChar"/>
    <w:qFormat/>
    <w:rsid w:val="00A25248"/>
    <w:pPr>
      <w:spacing w:before="0"/>
    </w:pPr>
  </w:style>
  <w:style w:type="character" w:customStyle="1" w:styleId="TextbezodsazenChar">
    <w:name w:val="_Text_bez_odsazení Char"/>
    <w:basedOn w:val="Standardnpsmoodstavce"/>
    <w:link w:val="Textbezodsazen"/>
    <w:rsid w:val="00A252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Users\Jirowetz\AppData\Local\Microsoft\Windows\INetCache\Content.Outlook\0OT9TH1Y\&#160;http:\typdok.tu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83C1E7-B99F-4FAD-BD35-1F0634821B9C}">
  <ds:schemaRefs>
    <ds:schemaRef ds:uri="http://schemas.openxmlformats.org/officeDocument/2006/bibliography"/>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4330</Words>
  <Characters>25550</Characters>
  <Application>Microsoft Office Word</Application>
  <DocSecurity>0</DocSecurity>
  <Lines>212</Lines>
  <Paragraphs>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Löwová Monika, Bc.</cp:lastModifiedBy>
  <cp:revision>3</cp:revision>
  <cp:lastPrinted>2017-11-28T17:18:00Z</cp:lastPrinted>
  <dcterms:created xsi:type="dcterms:W3CDTF">2024-09-09T07:22:00Z</dcterms:created>
  <dcterms:modified xsi:type="dcterms:W3CDTF">2024-09-12T05:29:00Z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