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0347D79E" w:rsidR="00784660" w:rsidRPr="002E157C" w:rsidRDefault="00784660" w:rsidP="007B1317">
      <w:pPr>
        <w:pStyle w:val="Titul2"/>
        <w:ind w:right="-144"/>
      </w:pPr>
      <w:r w:rsidRPr="002E157C">
        <w:t xml:space="preserve">Název zakázky: </w:t>
      </w:r>
      <w:bookmarkStart w:id="0" w:name="OLE_LINK1"/>
      <w:sdt>
        <w:sdtPr>
          <w:alias w:val="Název akce - VYplnit pole - přenese se do zápatí"/>
          <w:tag w:val="Název akce"/>
          <w:id w:val="1889687308"/>
          <w:placeholder>
            <w:docPart w:val="83E19BE864684B2D98FD2EC1DF857CC6"/>
          </w:placeholder>
          <w:text/>
        </w:sdtPr>
        <w:sdtContent>
          <w:r w:rsidR="00C3009A" w:rsidRPr="00687891">
            <w:t>„Areál HZS Nymburk“</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1D55ECBE"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610E9F">
        <w:rPr>
          <w:rFonts w:ascii="Verdana" w:hAnsi="Verdana" w:cs="Arial"/>
          <w:sz w:val="18"/>
          <w:szCs w:val="18"/>
        </w:rPr>
        <w:t xml:space="preserve"> Ing. Martin Velát</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610E9F">
        <w:rPr>
          <w:rFonts w:ascii="Verdana" w:hAnsi="Verdana" w:cs="Arial"/>
          <w:sz w:val="18"/>
          <w:szCs w:val="18"/>
        </w:rPr>
        <w:t xml:space="preserve"> +420 702 118 765</w:t>
      </w:r>
      <w:r w:rsidR="006A7423" w:rsidRPr="002E157C">
        <w:rPr>
          <w:rFonts w:ascii="Verdana" w:hAnsi="Verdana" w:cs="Arial"/>
          <w:sz w:val="18"/>
          <w:szCs w:val="18"/>
        </w:rPr>
        <w:t>, e-mail:</w:t>
      </w:r>
      <w:r w:rsidR="00610E9F">
        <w:rPr>
          <w:rFonts w:ascii="Verdana" w:hAnsi="Verdana" w:cs="Arial"/>
          <w:sz w:val="18"/>
          <w:szCs w:val="18"/>
        </w:rPr>
        <w:t xml:space="preserve"> Velat@spravazeleznic.cz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000000"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[VLOŽÍ </w:t>
      </w:r>
      <w:r w:rsidR="00667FAA" w:rsidRPr="002E157C">
        <w:t>OBJEDNATEL</w:t>
      </w:r>
      <w:r w:rsidRPr="002E157C">
        <w:t xml:space="preserve">] </w:t>
      </w:r>
    </w:p>
    <w:p w14:paraId="055205A0" w14:textId="15B8E06D" w:rsidR="00402AE0" w:rsidRPr="002E157C" w:rsidRDefault="00402AE0" w:rsidP="00402AE0">
      <w:pPr>
        <w:pStyle w:val="Textbezodsazen"/>
        <w:spacing w:after="0" w:line="280" w:lineRule="exact"/>
      </w:pPr>
      <w:r>
        <w:t xml:space="preserve">číslo jednací: </w:t>
      </w:r>
      <w:r w:rsidR="00D2565F" w:rsidRPr="002E157C">
        <w:t>[VLOŽÍ OBJEDNATEL]</w:t>
      </w:r>
    </w:p>
    <w:p w14:paraId="7EE1A2D2" w14:textId="03406E98" w:rsidR="00784660" w:rsidRPr="002E157C" w:rsidRDefault="009A013E" w:rsidP="00734C0E">
      <w:pPr>
        <w:pStyle w:val="Textbezodsazen"/>
        <w:spacing w:line="280" w:lineRule="exact"/>
      </w:pPr>
      <w:r w:rsidRPr="009C18BF">
        <w:rPr>
          <w:rFonts w:cs="Verdana"/>
        </w:rPr>
        <w:t>ISPROFOND / Sub. ISPROFIN:</w:t>
      </w:r>
      <w:r>
        <w:rPr>
          <w:rFonts w:cs="Verdana"/>
        </w:rPr>
        <w:tab/>
      </w:r>
      <w:r>
        <w:rPr>
          <w:rFonts w:cs="Arial"/>
        </w:rPr>
        <w:t>5213520063/5213520063</w:t>
      </w:r>
    </w:p>
    <w:p w14:paraId="313050B2" w14:textId="77777777" w:rsidR="001A0268" w:rsidRPr="002E157C" w:rsidRDefault="001A0268" w:rsidP="00862F1D">
      <w:pPr>
        <w:suppressAutoHyphens/>
        <w:ind w:left="1985"/>
        <w:rPr>
          <w:rFonts w:ascii="Verdana" w:hAnsi="Verdana" w:cs="Arial"/>
          <w:sz w:val="18"/>
          <w:szCs w:val="18"/>
        </w:rPr>
      </w:pPr>
    </w:p>
    <w:p w14:paraId="259480A0" w14:textId="1A832FB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805DB">
        <w:rPr>
          <w:rFonts w:ascii="Verdana" w:hAnsi="Verdana" w:cs="Arial"/>
          <w:b/>
          <w:bCs/>
          <w:sz w:val="18"/>
          <w:szCs w:val="18"/>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lastRenderedPageBreak/>
        <w:t xml:space="preserve">zastoupená </w:t>
      </w:r>
      <w:r w:rsidR="001805DB" w:rsidRPr="001805DB">
        <w:rPr>
          <w:rFonts w:ascii="Verdana" w:hAnsi="Verdana" w:cs="Arial"/>
          <w:b/>
          <w:bCs/>
          <w:sz w:val="18"/>
          <w:szCs w:val="18"/>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 xml:space="preserve">[VLOŽÍ </w:t>
      </w:r>
      <w:r w:rsidR="00667FAA" w:rsidRPr="002E157C">
        <w:rPr>
          <w:rStyle w:val="Tun"/>
        </w:rPr>
        <w:t>ZHOTOVITEL</w:t>
      </w:r>
      <w:r w:rsidRPr="002E157C">
        <w:rPr>
          <w:rStyle w:val="Tun"/>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3DEFA290"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w:t>
      </w:r>
      <w:r w:rsidR="00D013A7">
        <w:rPr>
          <w:rFonts w:ascii="Verdana" w:hAnsi="Verdana" w:cs="Arial"/>
          <w:sz w:val="18"/>
          <w:szCs w:val="18"/>
        </w:rPr>
        <w:t xml:space="preserve"> </w:t>
      </w:r>
      <w:r w:rsidR="0051225C" w:rsidRPr="002E157C">
        <w:rPr>
          <w:rFonts w:ascii="Verdana" w:hAnsi="Verdana" w:cs="Arial"/>
          <w:sz w:val="18"/>
          <w:szCs w:val="18"/>
        </w:rPr>
        <w:t xml:space="preserve">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2D2B4E3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442AB654" w:rsidR="000B6F15" w:rsidRPr="008D17EA" w:rsidRDefault="0077538D" w:rsidP="00686B43">
      <w:pPr>
        <w:suppressAutoHyphens/>
        <w:spacing w:line="280" w:lineRule="exact"/>
        <w:ind w:left="539" w:hanging="539"/>
        <w:jc w:val="both"/>
        <w:rPr>
          <w:rFonts w:ascii="Verdana" w:hAnsi="Verdana" w:cs="Arial"/>
          <w:strike/>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TDS a zajištění níže uvedené služby při realizaci stavby </w:t>
      </w:r>
      <w:r w:rsidR="00D769D3" w:rsidRPr="00020812">
        <w:rPr>
          <w:rFonts w:ascii="Verdana" w:hAnsi="Verdana" w:cs="Arial"/>
          <w:sz w:val="18"/>
          <w:szCs w:val="18"/>
        </w:rPr>
        <w:t>„</w:t>
      </w:r>
      <w:r w:rsidR="00020812" w:rsidRPr="00020812">
        <w:rPr>
          <w:rFonts w:ascii="Verdana" w:hAnsi="Verdana" w:cs="Arial"/>
          <w:sz w:val="18"/>
          <w:szCs w:val="18"/>
        </w:rPr>
        <w:t>Areál HZS Nymburk</w:t>
      </w:r>
      <w:r w:rsidR="00CA1936" w:rsidRPr="00020812">
        <w:rPr>
          <w:rFonts w:ascii="Verdana" w:hAnsi="Verdana" w:cs="Arial"/>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020812">
        <w:rPr>
          <w:rFonts w:ascii="Verdana" w:hAnsi="Verdana" w:cs="Arial"/>
          <w:sz w:val="18"/>
          <w:szCs w:val="18"/>
        </w:rPr>
        <w:t>Termín</w:t>
      </w:r>
      <w:r w:rsidR="00AD32C6" w:rsidRPr="00020812">
        <w:rPr>
          <w:rFonts w:ascii="Verdana" w:hAnsi="Verdana" w:cs="Arial"/>
          <w:sz w:val="18"/>
          <w:szCs w:val="18"/>
        </w:rPr>
        <w:t xml:space="preserve"> </w:t>
      </w:r>
      <w:r w:rsidR="00020812">
        <w:rPr>
          <w:rFonts w:ascii="Verdana" w:hAnsi="Verdana" w:cs="Arial"/>
          <w:sz w:val="18"/>
          <w:szCs w:val="18"/>
        </w:rPr>
        <w:t xml:space="preserve">ukončení </w:t>
      </w:r>
      <w:r w:rsidR="00AD32C6" w:rsidRPr="00020812">
        <w:rPr>
          <w:rFonts w:ascii="Verdana" w:hAnsi="Verdana" w:cs="Arial"/>
          <w:sz w:val="18"/>
          <w:szCs w:val="18"/>
        </w:rPr>
        <w:t>realizace stavby</w:t>
      </w:r>
      <w:r w:rsidR="00020812">
        <w:rPr>
          <w:rFonts w:ascii="Verdana" w:hAnsi="Verdana" w:cs="Arial"/>
          <w:sz w:val="18"/>
          <w:szCs w:val="18"/>
        </w:rPr>
        <w:t xml:space="preserve"> se předpokládá na</w:t>
      </w:r>
      <w:r w:rsidR="00AD32C6" w:rsidRPr="00020812">
        <w:rPr>
          <w:rFonts w:ascii="Verdana" w:hAnsi="Verdana" w:cs="Arial"/>
          <w:sz w:val="18"/>
          <w:szCs w:val="18"/>
        </w:rPr>
        <w:t xml:space="preserve"> </w:t>
      </w:r>
      <w:r w:rsidR="00020812">
        <w:rPr>
          <w:rFonts w:ascii="Verdana" w:hAnsi="Verdana" w:cs="Arial"/>
          <w:sz w:val="18"/>
          <w:szCs w:val="18"/>
        </w:rPr>
        <w:t>06/2025</w:t>
      </w:r>
      <w:r w:rsidR="00CC3415">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0FA830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30B6CC62"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4DE42A4B"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Zadávací dokumentace v</w:t>
      </w:r>
      <w:r w:rsidR="00870ED3">
        <w:rPr>
          <w:rFonts w:ascii="Verdana" w:hAnsi="Verdana" w:cs="Arial"/>
          <w:sz w:val="18"/>
          <w:szCs w:val="18"/>
        </w:rPr>
        <w:t xml:space="preserve"> </w:t>
      </w:r>
      <w:r w:rsidRPr="002E157C">
        <w:rPr>
          <w:rFonts w:ascii="Verdana" w:hAnsi="Verdana" w:cs="Arial"/>
          <w:sz w:val="18"/>
          <w:szCs w:val="18"/>
        </w:rPr>
        <w:t xml:space="preserve">rozsahu: </w:t>
      </w:r>
    </w:p>
    <w:p w14:paraId="79139E7D" w14:textId="56E5840C" w:rsidR="00CB78AC" w:rsidRPr="002E157C" w:rsidRDefault="00CB78AC" w:rsidP="00205216">
      <w:pPr>
        <w:numPr>
          <w:ilvl w:val="0"/>
          <w:numId w:val="5"/>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843F24">
        <w:rPr>
          <w:rFonts w:ascii="Verdana" w:hAnsi="Verdana" w:cs="Arial"/>
          <w:sz w:val="18"/>
          <w:szCs w:val="18"/>
        </w:rPr>
        <w:t xml:space="preserve">7242/2024-SŽ-SSZ-OVZ </w:t>
      </w:r>
      <w:r w:rsidRPr="002E157C">
        <w:rPr>
          <w:rFonts w:ascii="Verdana" w:hAnsi="Verdana" w:cs="Arial"/>
          <w:sz w:val="18"/>
          <w:szCs w:val="18"/>
        </w:rPr>
        <w:t xml:space="preserve">ze dne </w:t>
      </w:r>
      <w:r w:rsidR="00D94818">
        <w:rPr>
          <w:rFonts w:ascii="Verdana" w:hAnsi="Verdana" w:cs="Arial"/>
          <w:sz w:val="18"/>
          <w:szCs w:val="18"/>
        </w:rPr>
        <w:t>17.04.2024</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65425E1D"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w:t>
      </w:r>
      <w:r w:rsidR="00A94627">
        <w:rPr>
          <w:rFonts w:ascii="Verdana" w:hAnsi="Verdana" w:cs="Arial"/>
          <w:sz w:val="18"/>
          <w:szCs w:val="18"/>
        </w:rPr>
        <w:t xml:space="preserve"> </w:t>
      </w:r>
      <w:r w:rsidR="0043066D" w:rsidRPr="002E157C">
        <w:rPr>
          <w:rFonts w:ascii="Verdana" w:hAnsi="Verdana" w:cs="Arial"/>
          <w:sz w:val="18"/>
          <w:szCs w:val="18"/>
        </w:rPr>
        <w:t>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6BFBFA97"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w:t>
      </w:r>
      <w:r w:rsidR="00922CEA">
        <w:rPr>
          <w:rFonts w:ascii="Verdana" w:hAnsi="Verdana"/>
          <w:sz w:val="18"/>
          <w:szCs w:val="18"/>
        </w:rPr>
        <w:t xml:space="preserve"> </w:t>
      </w:r>
      <w:r w:rsidRPr="002E157C">
        <w:rPr>
          <w:rFonts w:ascii="Verdana" w:hAnsi="Verdana"/>
          <w:sz w:val="18"/>
          <w:szCs w:val="18"/>
        </w:rPr>
        <w:t>platném znění</w:t>
      </w:r>
    </w:p>
    <w:p w14:paraId="77C098F0" w14:textId="0710B9B7"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w:t>
      </w:r>
      <w:r w:rsidR="00922CEA">
        <w:rPr>
          <w:rFonts w:ascii="Verdana" w:hAnsi="Verdana" w:cs="Arial"/>
          <w:sz w:val="18"/>
          <w:szCs w:val="18"/>
        </w:rPr>
        <w:t xml:space="preserve"> </w:t>
      </w:r>
      <w:r w:rsidR="0053637C" w:rsidRPr="002E157C">
        <w:rPr>
          <w:rFonts w:ascii="Verdana" w:hAnsi="Verdana" w:cs="Arial"/>
          <w:sz w:val="18"/>
          <w:szCs w:val="18"/>
        </w:rPr>
        <w:t>platném znění</w:t>
      </w:r>
    </w:p>
    <w:p w14:paraId="32B81E02" w14:textId="410A8B0E"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w:t>
      </w:r>
      <w:r w:rsidR="000E66ED">
        <w:rPr>
          <w:rFonts w:ascii="Verdana" w:hAnsi="Verdana" w:cs="Arial"/>
          <w:sz w:val="18"/>
          <w:szCs w:val="18"/>
        </w:rPr>
        <w:t xml:space="preserve"> </w:t>
      </w:r>
      <w:r w:rsidRPr="002E157C">
        <w:rPr>
          <w:rFonts w:ascii="Verdana" w:hAnsi="Verdana" w:cs="Arial"/>
          <w:sz w:val="18"/>
          <w:szCs w:val="18"/>
        </w:rPr>
        <w:t>platném znění</w:t>
      </w:r>
    </w:p>
    <w:p w14:paraId="033D7FA1" w14:textId="0EB209F5"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0C7CA86C"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w:t>
      </w:r>
      <w:r w:rsidR="00922CEA">
        <w:rPr>
          <w:rFonts w:ascii="Verdana" w:hAnsi="Verdana" w:cs="Arial"/>
          <w:sz w:val="18"/>
          <w:szCs w:val="18"/>
        </w:rPr>
        <w:t xml:space="preserve"> </w:t>
      </w:r>
      <w:r w:rsidRPr="002E157C">
        <w:rPr>
          <w:rFonts w:ascii="Verdana" w:hAnsi="Verdana" w:cs="Arial"/>
          <w:sz w:val="18"/>
          <w:szCs w:val="18"/>
        </w:rPr>
        <w:t>příslušných kapitolách   TKP staveb a v</w:t>
      </w:r>
      <w:r w:rsidR="00922CEA">
        <w:rPr>
          <w:rFonts w:ascii="Verdana" w:hAnsi="Verdana" w:cs="Arial"/>
          <w:sz w:val="18"/>
          <w:szCs w:val="18"/>
        </w:rPr>
        <w:t xml:space="preserve"> </w:t>
      </w:r>
      <w:r w:rsidRPr="002E157C">
        <w:rPr>
          <w:rFonts w:ascii="Verdana" w:hAnsi="Verdana" w:cs="Arial"/>
          <w:sz w:val="18"/>
          <w:szCs w:val="18"/>
        </w:rPr>
        <w:t>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500B9DB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w:t>
      </w:r>
      <w:r w:rsidR="00E21B9D" w:rsidRPr="002E157C">
        <w:rPr>
          <w:rFonts w:ascii="Verdana" w:hAnsi="Verdana" w:cs="Arial"/>
          <w:sz w:val="18"/>
          <w:szCs w:val="18"/>
        </w:rPr>
        <w:lastRenderedPageBreak/>
        <w:t xml:space="preserve">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253DC50E"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w:t>
      </w:r>
      <w:r w:rsidR="00D26EBD" w:rsidRPr="002E157C">
        <w:rPr>
          <w:rFonts w:ascii="Verdana" w:hAnsi="Verdana" w:cs="Arial"/>
          <w:sz w:val="18"/>
          <w:szCs w:val="18"/>
        </w:rPr>
        <w:t xml:space="preserve"> 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r w:rsidR="00DE3A24">
        <w:rPr>
          <w:rFonts w:ascii="Verdana" w:hAnsi="Verdana" w:cs="Arial"/>
          <w:sz w:val="18"/>
          <w:szCs w:val="18"/>
        </w:rPr>
        <w:t xml:space="preserve"> včetně valorizace</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33548DA1"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42463714"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w:t>
      </w:r>
      <w:r w:rsidR="00DE3A24">
        <w:rPr>
          <w:rFonts w:ascii="Verdana" w:hAnsi="Verdana" w:cs="Arial"/>
          <w:sz w:val="18"/>
          <w:szCs w:val="18"/>
        </w:rPr>
        <w:t>předpoklad 06/2026</w:t>
      </w:r>
      <w:r w:rsidRPr="002E157C">
        <w:rPr>
          <w:rFonts w:ascii="Verdana" w:hAnsi="Verdana" w:cs="Arial"/>
          <w:sz w:val="18"/>
          <w:szCs w:val="18"/>
        </w:rPr>
        <w:t xml:space="preserve"> </w:t>
      </w:r>
    </w:p>
    <w:p w14:paraId="75AC956A" w14:textId="71DEB549"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817F73" w:rsidRPr="00817F73">
        <w:rPr>
          <w:rFonts w:ascii="Verdana" w:hAnsi="Verdana" w:cs="Arial"/>
          <w:sz w:val="18"/>
          <w:szCs w:val="18"/>
        </w:rPr>
        <w:t>Areál HZS Nymburk</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7379F310"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řílohou č. 1 a č. 2.</w:t>
      </w:r>
    </w:p>
    <w:p w14:paraId="74D84730" w14:textId="3CC28592"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w:t>
      </w:r>
      <w:r w:rsidR="009B64EE" w:rsidRPr="002E157C">
        <w:rPr>
          <w:rFonts w:ascii="Verdana" w:hAnsi="Verdana" w:cs="Arial"/>
          <w:sz w:val="18"/>
          <w:szCs w:val="18"/>
        </w:rPr>
        <w:lastRenderedPageBreak/>
        <w:t>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4125C7F8"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C1256E">
        <w:rPr>
          <w:rFonts w:ascii="Verdana" w:hAnsi="Verdana" w:cs="Arial"/>
          <w:sz w:val="18"/>
          <w:szCs w:val="18"/>
        </w:rPr>
        <w:t>Ing. Martin Velát</w:t>
      </w:r>
      <w:r w:rsidR="000F6C09" w:rsidRPr="002E157C">
        <w:rPr>
          <w:rFonts w:ascii="Verdana" w:hAnsi="Verdana" w:cs="Arial"/>
          <w:sz w:val="18"/>
          <w:szCs w:val="18"/>
        </w:rPr>
        <w:t>,</w:t>
      </w:r>
      <w:r w:rsidRPr="002E157C">
        <w:rPr>
          <w:rFonts w:ascii="Verdana" w:hAnsi="Verdana" w:cs="Arial"/>
          <w:sz w:val="18"/>
          <w:szCs w:val="18"/>
        </w:rPr>
        <w:t xml:space="preserve"> GSM: </w:t>
      </w:r>
      <w:r w:rsidR="00C1256E">
        <w:rPr>
          <w:rFonts w:ascii="Verdana" w:hAnsi="Verdana" w:cs="Arial"/>
          <w:sz w:val="18"/>
          <w:szCs w:val="18"/>
        </w:rPr>
        <w:t>+420 702 118 765</w:t>
      </w:r>
      <w:r w:rsidRPr="002E157C">
        <w:rPr>
          <w:rFonts w:ascii="Verdana" w:hAnsi="Verdana" w:cs="Arial"/>
          <w:sz w:val="18"/>
          <w:szCs w:val="18"/>
        </w:rPr>
        <w:t xml:space="preserve">, e-mail: </w:t>
      </w:r>
      <w:r w:rsidR="00C1256E">
        <w:rPr>
          <w:rFonts w:ascii="Verdana" w:hAnsi="Verdana" w:cs="Arial"/>
          <w:sz w:val="18"/>
          <w:szCs w:val="18"/>
        </w:rPr>
        <w:t>Velat@spravazeleznic.cz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075840E3"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21737E8C"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w:t>
      </w:r>
      <w:r w:rsidR="00DD5C77">
        <w:rPr>
          <w:rFonts w:ascii="Verdana" w:hAnsi="Verdana" w:cs="Arial"/>
          <w:sz w:val="18"/>
          <w:szCs w:val="18"/>
        </w:rPr>
        <w:t>c</w:t>
      </w:r>
      <w:r w:rsidR="00056944" w:rsidRPr="00056944">
        <w:rPr>
          <w:rFonts w:ascii="Verdana" w:hAnsi="Verdana" w:cs="Arial"/>
          <w:sz w:val="18"/>
          <w:szCs w:val="18"/>
        </w:rPr>
        <w:t xml:space="preserve"> s datem zdanitelného plnění poslední pracovní den v daném měsíci/čtvrtletí,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lastRenderedPageBreak/>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10%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085F30F1"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6A553E26"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1D1DF45C"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FB36C1">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2BAD50F3"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w:t>
      </w:r>
      <w:r w:rsidR="005E7A59" w:rsidRPr="002E157C">
        <w:rPr>
          <w:rFonts w:ascii="Verdana" w:hAnsi="Verdana" w:cs="Arial"/>
          <w:sz w:val="18"/>
          <w:szCs w:val="18"/>
        </w:rPr>
        <w:lastRenderedPageBreak/>
        <w:t xml:space="preserve">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4B24942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w:t>
      </w:r>
      <w:r w:rsidR="00B730CA">
        <w:rPr>
          <w:rFonts w:ascii="Verdana" w:hAnsi="Verdana" w:cs="Arial"/>
          <w:sz w:val="18"/>
          <w:szCs w:val="18"/>
        </w:rPr>
        <w:t xml:space="preserve">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lastRenderedPageBreak/>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0664956E"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1805DB">
        <w:rPr>
          <w:rFonts w:ascii="Verdana" w:hAnsi="Verdana" w:cs="Arial"/>
          <w:b/>
          <w:bCs/>
          <w:sz w:val="18"/>
          <w:szCs w:val="18"/>
        </w:rPr>
        <w:t>"[VLOŽÍ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w:t>
      </w:r>
      <w:r w:rsidRPr="00BA5CAF">
        <w:rPr>
          <w:rFonts w:ascii="Verdana" w:hAnsi="Verdana" w:cs="Arial"/>
          <w:bCs/>
          <w:sz w:val="18"/>
          <w:szCs w:val="18"/>
        </w:rPr>
        <w:lastRenderedPageBreak/>
        <w:t xml:space="preserve">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308591B1"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4B1E9F2F"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3B197162"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w:t>
      </w:r>
      <w:r w:rsidR="00C06D4D">
        <w:rPr>
          <w:rFonts w:ascii="Verdana" w:hAnsi="Verdana" w:cs="Arial"/>
          <w:sz w:val="18"/>
          <w:szCs w:val="18"/>
        </w:rPr>
        <w:t xml:space="preserve"> </w:t>
      </w:r>
      <w:r w:rsidRPr="00DF30A2">
        <w:rPr>
          <w:rFonts w:ascii="Verdana" w:hAnsi="Verdana" w:cs="Arial"/>
          <w:sz w:val="18"/>
          <w:szCs w:val="18"/>
        </w:rPr>
        <w:t>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5F7D36C5"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1805DB">
        <w:rPr>
          <w:rFonts w:ascii="Verdana" w:hAnsi="Verdana" w:cs="Arial"/>
          <w:b/>
          <w:bCs/>
          <w:sz w:val="18"/>
          <w:szCs w:val="18"/>
        </w:rPr>
        <w:t>[VLOŽÍ ZHOTOVITEL]</w:t>
      </w:r>
      <w:r w:rsidR="001805DB">
        <w:rPr>
          <w:rFonts w:ascii="Verdana" w:hAnsi="Verdana" w:cs="Arial"/>
          <w:b/>
          <w:bCs/>
          <w:sz w:val="18"/>
          <w:szCs w:val="18"/>
        </w:rPr>
        <w:t>.</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1A8D1C63"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4A7D0554"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23A49A1"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06D4D">
        <w:rPr>
          <w:rFonts w:ascii="Verdana" w:hAnsi="Verdana" w:cs="Arial"/>
          <w:bCs/>
          <w:sz w:val="18"/>
          <w:szCs w:val="18"/>
        </w:rPr>
        <w:t xml:space="preserve">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w:t>
      </w:r>
      <w:r w:rsidR="00C12D0D" w:rsidRPr="002E157C">
        <w:rPr>
          <w:rFonts w:ascii="Verdana" w:hAnsi="Verdana" w:cs="Arial"/>
          <w:bCs/>
          <w:sz w:val="18"/>
          <w:szCs w:val="18"/>
        </w:rPr>
        <w:lastRenderedPageBreak/>
        <w:t xml:space="preserve">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2B70C7E"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Článek 16 - Z</w:t>
      </w:r>
      <w:r w:rsidR="0027677C" w:rsidRPr="002E157C">
        <w:rPr>
          <w:rFonts w:ascii="Verdana" w:hAnsi="Verdana"/>
          <w:sz w:val="20"/>
          <w:szCs w:val="18"/>
          <w:u w:val="single"/>
        </w:rPr>
        <w:t>ávěrečná ustanovení</w:t>
      </w:r>
    </w:p>
    <w:p w14:paraId="18C9DB05" w14:textId="6CA0B70E"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lastRenderedPageBreak/>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AF680F3" w14:textId="6DE0366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4D93BA26" w14:textId="16F79167"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291DAE9" w14:textId="618E3960"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83C0AAB" w14:textId="3699561E"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389801C" w14:textId="530262B7" w:rsidR="005F0257" w:rsidRDefault="005F0257">
      <w:pPr>
        <w:rPr>
          <w:rFonts w:ascii="Verdana" w:hAnsi="Verdana" w:cs="Arial"/>
          <w:b/>
          <w:bCs/>
          <w:sz w:val="18"/>
          <w:szCs w:val="18"/>
        </w:rPr>
      </w:pPr>
      <w:r>
        <w:rPr>
          <w:rFonts w:ascii="Verdana" w:hAnsi="Verdana" w:cs="Arial"/>
          <w:b/>
          <w:bCs/>
          <w:sz w:val="18"/>
          <w:szCs w:val="18"/>
        </w:rPr>
        <w:br w:type="page"/>
      </w: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59F8BAE1" w14:textId="77777777" w:rsidR="005F0257" w:rsidRPr="002E157C" w:rsidRDefault="005F0257" w:rsidP="003F4C79">
      <w:pPr>
        <w:tabs>
          <w:tab w:val="left" w:pos="567"/>
        </w:tabs>
        <w:suppressAutoHyphens/>
        <w:spacing w:line="280" w:lineRule="exact"/>
        <w:ind w:left="567"/>
        <w:jc w:val="both"/>
        <w:rPr>
          <w:rFonts w:ascii="Verdana" w:hAnsi="Verdana"/>
          <w:b/>
          <w:sz w:val="20"/>
          <w:szCs w:val="19"/>
        </w:rPr>
      </w:pPr>
    </w:p>
    <w:p w14:paraId="6A30DC0E" w14:textId="6FB0BC14" w:rsidR="005F0257" w:rsidRDefault="005F0257">
      <w:pPr>
        <w:rPr>
          <w:rFonts w:ascii="Verdana" w:hAnsi="Verdana"/>
          <w:b/>
          <w:sz w:val="20"/>
          <w:szCs w:val="19"/>
        </w:rPr>
      </w:pPr>
      <w:r>
        <w:rPr>
          <w:rFonts w:ascii="Verdana" w:hAnsi="Verdana"/>
          <w:b/>
          <w:sz w:val="20"/>
          <w:szCs w:val="19"/>
        </w:rPr>
        <w:br w:type="page"/>
      </w: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r w:rsidRPr="001805DB">
        <w:rPr>
          <w:rFonts w:ascii="Verdana" w:hAnsi="Verdana" w:cs="Arial"/>
          <w:b/>
          <w:bCs/>
          <w:sz w:val="18"/>
          <w:szCs w:val="18"/>
        </w:rPr>
        <w:t>"[VLOŽÍ ZHOTOVITEL]"</w:t>
      </w:r>
    </w:p>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lastRenderedPageBreak/>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77777777"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77777777" w:rsidR="00205216" w:rsidRDefault="00205216" w:rsidP="00205216">
      <w:pPr>
        <w:pStyle w:val="Odstavecseseznamem"/>
        <w:numPr>
          <w:ilvl w:val="0"/>
          <w:numId w:val="11"/>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p>
    <w:p w14:paraId="5C29C39A"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4941D7F7"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2157B3"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1.6 Ukáží-li se prohlášení Zhotovitele dle odstavce 1.1 této Přílohy jako nepravdivá nebo poruší-li Zhotovitel svou oznamovací povinnost dle odstavce 1.3 nebo některou z povinností dle </w:t>
      </w:r>
      <w:r>
        <w:rPr>
          <w:rFonts w:ascii="Verdana" w:hAnsi="Verdana" w:cs="Arial"/>
          <w:bCs/>
          <w:sz w:val="19"/>
          <w:szCs w:val="19"/>
        </w:rPr>
        <w:lastRenderedPageBreak/>
        <w:t>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E73C84">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E1F7BF" w14:textId="77777777" w:rsidR="00E73C84" w:rsidRDefault="00E73C84">
      <w:r>
        <w:separator/>
      </w:r>
    </w:p>
  </w:endnote>
  <w:endnote w:type="continuationSeparator" w:id="0">
    <w:p w14:paraId="33FCF39F" w14:textId="77777777" w:rsidR="00E73C84" w:rsidRDefault="00E73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61B1217E"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5E105D">
            <w:rPr>
              <w:rStyle w:val="slostrnky"/>
              <w:noProof/>
              <w:sz w:val="16"/>
            </w:rPr>
            <w:t>22</w:t>
          </w:r>
          <w:r w:rsidRPr="002E157C">
            <w:rPr>
              <w:rStyle w:val="slostrnky"/>
              <w:sz w:val="16"/>
            </w:rPr>
            <w:fldChar w:fldCharType="end"/>
          </w:r>
        </w:p>
      </w:tc>
      <w:tc>
        <w:tcPr>
          <w:tcW w:w="0" w:type="auto"/>
          <w:vAlign w:val="bottom"/>
        </w:tcPr>
        <w:p w14:paraId="0F8F3302" w14:textId="4EF5E03B" w:rsidR="00B755E5" w:rsidRPr="002E157C" w:rsidRDefault="00B755E5" w:rsidP="00936A82">
          <w:pPr>
            <w:pStyle w:val="Zpatvlevo"/>
          </w:pPr>
          <w:r w:rsidRPr="002E157C">
            <w:t>„</w:t>
          </w:r>
          <w:r w:rsidR="00347E38" w:rsidRPr="00347E38">
            <w:t>Areál HZS Nymburk</w:t>
          </w:r>
          <w:r w:rsidRPr="002E157C">
            <w:t>"</w:t>
          </w:r>
        </w:p>
        <w:p w14:paraId="6B63C051" w14:textId="51038842" w:rsidR="00B755E5" w:rsidRPr="00640531" w:rsidRDefault="00B755E5" w:rsidP="00936A82">
          <w:pPr>
            <w:pStyle w:val="Zpatvlevo"/>
          </w:pPr>
          <w:r w:rsidRPr="002E157C">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6A7731AE" w:rsidR="00B755E5" w:rsidRPr="008E1902" w:rsidRDefault="002C234B" w:rsidP="008E1902">
    <w:pPr>
      <w:pStyle w:val="Zpat"/>
      <w:rPr>
        <w:rFonts w:ascii="Verdana" w:hAnsi="Verdana"/>
        <w:sz w:val="12"/>
        <w:szCs w:val="12"/>
      </w:rPr>
    </w:pPr>
    <w:r w:rsidRPr="004C7962">
      <w:rPr>
        <w:noProof/>
      </w:rPr>
      <w:drawing>
        <wp:inline distT="0" distB="0" distL="0" distR="0" wp14:anchorId="79B9C416" wp14:editId="66A48510">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1A6C43" w14:textId="77777777" w:rsidR="00E73C84" w:rsidRDefault="00E73C84">
      <w:r>
        <w:separator/>
      </w:r>
    </w:p>
  </w:footnote>
  <w:footnote w:type="continuationSeparator" w:id="0">
    <w:p w14:paraId="76AF0DCA" w14:textId="77777777" w:rsidR="00E73C84" w:rsidRDefault="00E73C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8"/>
  </w:num>
  <w:num w:numId="2" w16cid:durableId="1004551940">
    <w:abstractNumId w:val="7"/>
  </w:num>
  <w:num w:numId="3" w16cid:durableId="1077630905">
    <w:abstractNumId w:val="6"/>
  </w:num>
  <w:num w:numId="4" w16cid:durableId="1898737050">
    <w:abstractNumId w:val="0"/>
  </w:num>
  <w:num w:numId="5" w16cid:durableId="917712663">
    <w:abstractNumId w:val="2"/>
  </w:num>
  <w:num w:numId="6" w16cid:durableId="1228760440">
    <w:abstractNumId w:val="10"/>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0812"/>
    <w:rsid w:val="00021000"/>
    <w:rsid w:val="00021567"/>
    <w:rsid w:val="00031071"/>
    <w:rsid w:val="00031620"/>
    <w:rsid w:val="00033A17"/>
    <w:rsid w:val="00034E29"/>
    <w:rsid w:val="00040544"/>
    <w:rsid w:val="00046F12"/>
    <w:rsid w:val="00047FB6"/>
    <w:rsid w:val="0005097B"/>
    <w:rsid w:val="00051570"/>
    <w:rsid w:val="00052AD0"/>
    <w:rsid w:val="00053771"/>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66ED"/>
    <w:rsid w:val="000E738D"/>
    <w:rsid w:val="000E794C"/>
    <w:rsid w:val="000F171C"/>
    <w:rsid w:val="000F30BA"/>
    <w:rsid w:val="000F51CC"/>
    <w:rsid w:val="000F624D"/>
    <w:rsid w:val="000F69FF"/>
    <w:rsid w:val="000F6C09"/>
    <w:rsid w:val="00100AB3"/>
    <w:rsid w:val="00102804"/>
    <w:rsid w:val="00103044"/>
    <w:rsid w:val="00113332"/>
    <w:rsid w:val="001155DF"/>
    <w:rsid w:val="00122D39"/>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34B"/>
    <w:rsid w:val="002C2449"/>
    <w:rsid w:val="002C2D95"/>
    <w:rsid w:val="002C2F26"/>
    <w:rsid w:val="002C36EA"/>
    <w:rsid w:val="002C440C"/>
    <w:rsid w:val="002C4E04"/>
    <w:rsid w:val="002C5542"/>
    <w:rsid w:val="002C5993"/>
    <w:rsid w:val="002D0C15"/>
    <w:rsid w:val="002D2352"/>
    <w:rsid w:val="002D2D3E"/>
    <w:rsid w:val="002D3939"/>
    <w:rsid w:val="002D4E39"/>
    <w:rsid w:val="002D7B81"/>
    <w:rsid w:val="002E157C"/>
    <w:rsid w:val="002E1BE1"/>
    <w:rsid w:val="002E7069"/>
    <w:rsid w:val="002E76B5"/>
    <w:rsid w:val="002E7A98"/>
    <w:rsid w:val="002F33DD"/>
    <w:rsid w:val="00303B60"/>
    <w:rsid w:val="00305E68"/>
    <w:rsid w:val="003065DF"/>
    <w:rsid w:val="0031014C"/>
    <w:rsid w:val="00311CEB"/>
    <w:rsid w:val="00313B4C"/>
    <w:rsid w:val="00317334"/>
    <w:rsid w:val="00317630"/>
    <w:rsid w:val="00322FED"/>
    <w:rsid w:val="00323941"/>
    <w:rsid w:val="003243E6"/>
    <w:rsid w:val="00325E23"/>
    <w:rsid w:val="00330598"/>
    <w:rsid w:val="00332EFB"/>
    <w:rsid w:val="0033438B"/>
    <w:rsid w:val="00334910"/>
    <w:rsid w:val="00337871"/>
    <w:rsid w:val="00341A58"/>
    <w:rsid w:val="0034571B"/>
    <w:rsid w:val="00347715"/>
    <w:rsid w:val="00347E38"/>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95F"/>
    <w:rsid w:val="003A2EE2"/>
    <w:rsid w:val="003A344D"/>
    <w:rsid w:val="003A564B"/>
    <w:rsid w:val="003A5DFE"/>
    <w:rsid w:val="003A6A40"/>
    <w:rsid w:val="003B1B75"/>
    <w:rsid w:val="003B3C98"/>
    <w:rsid w:val="003B502D"/>
    <w:rsid w:val="003B67C3"/>
    <w:rsid w:val="003D07F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4DB3"/>
    <w:rsid w:val="0053637C"/>
    <w:rsid w:val="00536EA7"/>
    <w:rsid w:val="00537B89"/>
    <w:rsid w:val="0054076F"/>
    <w:rsid w:val="005421E7"/>
    <w:rsid w:val="0054282F"/>
    <w:rsid w:val="005472BD"/>
    <w:rsid w:val="00552C9F"/>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80"/>
    <w:rsid w:val="00595AC5"/>
    <w:rsid w:val="005972D9"/>
    <w:rsid w:val="005A1B4E"/>
    <w:rsid w:val="005A23E6"/>
    <w:rsid w:val="005A29B6"/>
    <w:rsid w:val="005A32E4"/>
    <w:rsid w:val="005A3EE2"/>
    <w:rsid w:val="005A4250"/>
    <w:rsid w:val="005A5E9C"/>
    <w:rsid w:val="005A6FDC"/>
    <w:rsid w:val="005B3BC8"/>
    <w:rsid w:val="005B5064"/>
    <w:rsid w:val="005C62FC"/>
    <w:rsid w:val="005C6E85"/>
    <w:rsid w:val="005D3B14"/>
    <w:rsid w:val="005D4A66"/>
    <w:rsid w:val="005D4E6E"/>
    <w:rsid w:val="005E105D"/>
    <w:rsid w:val="005E1C08"/>
    <w:rsid w:val="005E2397"/>
    <w:rsid w:val="005E4DAA"/>
    <w:rsid w:val="005E57C4"/>
    <w:rsid w:val="005E5868"/>
    <w:rsid w:val="005E7A59"/>
    <w:rsid w:val="005F0257"/>
    <w:rsid w:val="005F0E10"/>
    <w:rsid w:val="005F1EEE"/>
    <w:rsid w:val="005F6BC7"/>
    <w:rsid w:val="005F7845"/>
    <w:rsid w:val="00601517"/>
    <w:rsid w:val="00602581"/>
    <w:rsid w:val="00602E97"/>
    <w:rsid w:val="006037C1"/>
    <w:rsid w:val="006040EF"/>
    <w:rsid w:val="00605197"/>
    <w:rsid w:val="006061AC"/>
    <w:rsid w:val="00610E9F"/>
    <w:rsid w:val="006129E4"/>
    <w:rsid w:val="006133FF"/>
    <w:rsid w:val="00614C04"/>
    <w:rsid w:val="006177DC"/>
    <w:rsid w:val="00620629"/>
    <w:rsid w:val="00621F24"/>
    <w:rsid w:val="00627365"/>
    <w:rsid w:val="006302E8"/>
    <w:rsid w:val="0063095A"/>
    <w:rsid w:val="006313CF"/>
    <w:rsid w:val="00631592"/>
    <w:rsid w:val="0063544D"/>
    <w:rsid w:val="00640242"/>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891"/>
    <w:rsid w:val="00687DBD"/>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116"/>
    <w:rsid w:val="006E0C47"/>
    <w:rsid w:val="006E3BCE"/>
    <w:rsid w:val="006E64E3"/>
    <w:rsid w:val="006E755D"/>
    <w:rsid w:val="006F3BFC"/>
    <w:rsid w:val="006F44CE"/>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3B4C"/>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17F73"/>
    <w:rsid w:val="008209F6"/>
    <w:rsid w:val="00821147"/>
    <w:rsid w:val="008211BE"/>
    <w:rsid w:val="0082183A"/>
    <w:rsid w:val="00821D2A"/>
    <w:rsid w:val="008251FD"/>
    <w:rsid w:val="00832DB5"/>
    <w:rsid w:val="00834BAF"/>
    <w:rsid w:val="00835A72"/>
    <w:rsid w:val="00842F63"/>
    <w:rsid w:val="00843F24"/>
    <w:rsid w:val="008442F7"/>
    <w:rsid w:val="00846CAC"/>
    <w:rsid w:val="008552A3"/>
    <w:rsid w:val="00855CCB"/>
    <w:rsid w:val="00857863"/>
    <w:rsid w:val="008604D0"/>
    <w:rsid w:val="00862196"/>
    <w:rsid w:val="00862F1D"/>
    <w:rsid w:val="00863980"/>
    <w:rsid w:val="008663EB"/>
    <w:rsid w:val="00870290"/>
    <w:rsid w:val="00870ED3"/>
    <w:rsid w:val="008715F1"/>
    <w:rsid w:val="00873851"/>
    <w:rsid w:val="00886234"/>
    <w:rsid w:val="00887D4B"/>
    <w:rsid w:val="00890DC1"/>
    <w:rsid w:val="00892000"/>
    <w:rsid w:val="00896295"/>
    <w:rsid w:val="00896669"/>
    <w:rsid w:val="00896A12"/>
    <w:rsid w:val="008A02DE"/>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EA"/>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2CE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67CF4"/>
    <w:rsid w:val="00970380"/>
    <w:rsid w:val="00972C39"/>
    <w:rsid w:val="0098014F"/>
    <w:rsid w:val="0098269D"/>
    <w:rsid w:val="00983B84"/>
    <w:rsid w:val="009855C6"/>
    <w:rsid w:val="00986529"/>
    <w:rsid w:val="0098714E"/>
    <w:rsid w:val="00987F1F"/>
    <w:rsid w:val="00993A73"/>
    <w:rsid w:val="00995A63"/>
    <w:rsid w:val="00996F8C"/>
    <w:rsid w:val="009A013E"/>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2B8B"/>
    <w:rsid w:val="00A441A9"/>
    <w:rsid w:val="00A45338"/>
    <w:rsid w:val="00A46716"/>
    <w:rsid w:val="00A46CEE"/>
    <w:rsid w:val="00A47336"/>
    <w:rsid w:val="00A47C2F"/>
    <w:rsid w:val="00A50FF1"/>
    <w:rsid w:val="00A51526"/>
    <w:rsid w:val="00A52FC7"/>
    <w:rsid w:val="00A57015"/>
    <w:rsid w:val="00A603B8"/>
    <w:rsid w:val="00A62AB8"/>
    <w:rsid w:val="00A63250"/>
    <w:rsid w:val="00A63650"/>
    <w:rsid w:val="00A650D6"/>
    <w:rsid w:val="00A66F93"/>
    <w:rsid w:val="00A67804"/>
    <w:rsid w:val="00A705EF"/>
    <w:rsid w:val="00A717F8"/>
    <w:rsid w:val="00A737A0"/>
    <w:rsid w:val="00A801D7"/>
    <w:rsid w:val="00A8172C"/>
    <w:rsid w:val="00A81965"/>
    <w:rsid w:val="00A82EC8"/>
    <w:rsid w:val="00A853AA"/>
    <w:rsid w:val="00A92925"/>
    <w:rsid w:val="00A94627"/>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14D"/>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0CA"/>
    <w:rsid w:val="00B73680"/>
    <w:rsid w:val="00B7555E"/>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6D4D"/>
    <w:rsid w:val="00C07BF4"/>
    <w:rsid w:val="00C10155"/>
    <w:rsid w:val="00C108B6"/>
    <w:rsid w:val="00C10B08"/>
    <w:rsid w:val="00C11028"/>
    <w:rsid w:val="00C1256E"/>
    <w:rsid w:val="00C12CFF"/>
    <w:rsid w:val="00C12D0D"/>
    <w:rsid w:val="00C1529C"/>
    <w:rsid w:val="00C156BE"/>
    <w:rsid w:val="00C15A6E"/>
    <w:rsid w:val="00C22BF1"/>
    <w:rsid w:val="00C25010"/>
    <w:rsid w:val="00C26BFB"/>
    <w:rsid w:val="00C27DC8"/>
    <w:rsid w:val="00C3009A"/>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68FD"/>
    <w:rsid w:val="00CB78AC"/>
    <w:rsid w:val="00CC01FA"/>
    <w:rsid w:val="00CC1763"/>
    <w:rsid w:val="00CC3415"/>
    <w:rsid w:val="00CC34ED"/>
    <w:rsid w:val="00CC582F"/>
    <w:rsid w:val="00CC64EA"/>
    <w:rsid w:val="00CC7D5A"/>
    <w:rsid w:val="00CD07DD"/>
    <w:rsid w:val="00CD2157"/>
    <w:rsid w:val="00CD4F20"/>
    <w:rsid w:val="00CD4F90"/>
    <w:rsid w:val="00CD6BE9"/>
    <w:rsid w:val="00CD6DB4"/>
    <w:rsid w:val="00CE1CD2"/>
    <w:rsid w:val="00CE4754"/>
    <w:rsid w:val="00CE5A15"/>
    <w:rsid w:val="00CE5EA6"/>
    <w:rsid w:val="00CE6AEE"/>
    <w:rsid w:val="00CE71DA"/>
    <w:rsid w:val="00CE7B4B"/>
    <w:rsid w:val="00CF0975"/>
    <w:rsid w:val="00CF2E4E"/>
    <w:rsid w:val="00CF3F79"/>
    <w:rsid w:val="00CF51D7"/>
    <w:rsid w:val="00CF5B1A"/>
    <w:rsid w:val="00CF74E2"/>
    <w:rsid w:val="00CF7C3D"/>
    <w:rsid w:val="00D00187"/>
    <w:rsid w:val="00D00B00"/>
    <w:rsid w:val="00D013A7"/>
    <w:rsid w:val="00D01695"/>
    <w:rsid w:val="00D02593"/>
    <w:rsid w:val="00D04DA1"/>
    <w:rsid w:val="00D05603"/>
    <w:rsid w:val="00D1733E"/>
    <w:rsid w:val="00D207BE"/>
    <w:rsid w:val="00D2196B"/>
    <w:rsid w:val="00D2264D"/>
    <w:rsid w:val="00D23663"/>
    <w:rsid w:val="00D2565F"/>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818"/>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5C77"/>
    <w:rsid w:val="00DD6448"/>
    <w:rsid w:val="00DD6EE2"/>
    <w:rsid w:val="00DE0343"/>
    <w:rsid w:val="00DE2629"/>
    <w:rsid w:val="00DE3A24"/>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283E"/>
    <w:rsid w:val="00E44BDF"/>
    <w:rsid w:val="00E452DB"/>
    <w:rsid w:val="00E46F07"/>
    <w:rsid w:val="00E55592"/>
    <w:rsid w:val="00E56002"/>
    <w:rsid w:val="00E56E2A"/>
    <w:rsid w:val="00E57415"/>
    <w:rsid w:val="00E607BB"/>
    <w:rsid w:val="00E62189"/>
    <w:rsid w:val="00E62B6E"/>
    <w:rsid w:val="00E62D1E"/>
    <w:rsid w:val="00E73C84"/>
    <w:rsid w:val="00E77C11"/>
    <w:rsid w:val="00E83560"/>
    <w:rsid w:val="00E86101"/>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217"/>
    <w:rsid w:val="00EC43AC"/>
    <w:rsid w:val="00EC5501"/>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6C1"/>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43610"/>
    <w:rsid w:val="00252E98"/>
    <w:rsid w:val="002D4217"/>
    <w:rsid w:val="002E62C8"/>
    <w:rsid w:val="00372F43"/>
    <w:rsid w:val="003C0A70"/>
    <w:rsid w:val="003C2C13"/>
    <w:rsid w:val="004E62D9"/>
    <w:rsid w:val="004F5C51"/>
    <w:rsid w:val="00507BA9"/>
    <w:rsid w:val="005A2A81"/>
    <w:rsid w:val="005C0539"/>
    <w:rsid w:val="005D7D24"/>
    <w:rsid w:val="005F5FD7"/>
    <w:rsid w:val="00636012"/>
    <w:rsid w:val="00655775"/>
    <w:rsid w:val="006A311E"/>
    <w:rsid w:val="006E6D94"/>
    <w:rsid w:val="006F43C6"/>
    <w:rsid w:val="00707222"/>
    <w:rsid w:val="00771A8F"/>
    <w:rsid w:val="007749AF"/>
    <w:rsid w:val="008644DC"/>
    <w:rsid w:val="00864D84"/>
    <w:rsid w:val="00881D70"/>
    <w:rsid w:val="008C2F26"/>
    <w:rsid w:val="008D7458"/>
    <w:rsid w:val="00920586"/>
    <w:rsid w:val="009826B2"/>
    <w:rsid w:val="00B306BC"/>
    <w:rsid w:val="00B41DBF"/>
    <w:rsid w:val="00B845B8"/>
    <w:rsid w:val="00C37097"/>
    <w:rsid w:val="00C55CB0"/>
    <w:rsid w:val="00C56320"/>
    <w:rsid w:val="00CB3262"/>
    <w:rsid w:val="00DA1ABA"/>
    <w:rsid w:val="00E20449"/>
    <w:rsid w:val="00EC37FA"/>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22</Pages>
  <Words>8224</Words>
  <Characters>48523</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24</cp:revision>
  <cp:lastPrinted>2019-05-15T11:03:00Z</cp:lastPrinted>
  <dcterms:created xsi:type="dcterms:W3CDTF">2024-04-12T11:08:00Z</dcterms:created>
  <dcterms:modified xsi:type="dcterms:W3CDTF">2024-04-18T07:42:00Z</dcterms:modified>
</cp:coreProperties>
</file>