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3B119BB3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AC2802">
        <w:rPr>
          <w:rFonts w:ascii="Verdana" w:hAnsi="Verdana" w:cstheme="minorHAnsi"/>
          <w:b/>
          <w:bCs/>
          <w:sz w:val="18"/>
          <w:szCs w:val="18"/>
        </w:rPr>
        <w:t>„Dodávka vybraných OOPP pro OŘ Plzeň v roce 2024-2026“</w:t>
      </w:r>
      <w:r w:rsidR="00AC2802" w:rsidRPr="006564BB">
        <w:rPr>
          <w:rFonts w:ascii="Verdana" w:hAnsi="Verdana" w:cstheme="minorHAnsi"/>
          <w:sz w:val="18"/>
          <w:szCs w:val="18"/>
        </w:rPr>
        <w:t xml:space="preserve">, </w:t>
      </w:r>
      <w:r w:rsidR="00AD3797"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AC2802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AC2802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AC2802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AC280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AC280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AC280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AC280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AC280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AC280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AC280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AC280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AC280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2824648">
    <w:abstractNumId w:val="4"/>
  </w:num>
  <w:num w:numId="2" w16cid:durableId="1226063952">
    <w:abstractNumId w:val="1"/>
  </w:num>
  <w:num w:numId="3" w16cid:durableId="608632873">
    <w:abstractNumId w:val="2"/>
  </w:num>
  <w:num w:numId="4" w16cid:durableId="298845860">
    <w:abstractNumId w:val="3"/>
  </w:num>
  <w:num w:numId="5" w16cid:durableId="581260737">
    <w:abstractNumId w:val="0"/>
  </w:num>
  <w:num w:numId="6" w16cid:durableId="15779345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C2802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E4F50C-BCC3-4A61-B2E2-2B1A579DB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59EB80-259C-4B14-A263-A3605FAAF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244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20</cp:revision>
  <cp:lastPrinted>2018-03-26T11:24:00Z</cp:lastPrinted>
  <dcterms:created xsi:type="dcterms:W3CDTF">2018-12-07T16:23:00Z</dcterms:created>
  <dcterms:modified xsi:type="dcterms:W3CDTF">2024-02-14T09:30:00Z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