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AF4" w:rsidRDefault="00292FB1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2A6A2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A6A25" w:rsidRPr="002A6A25">
        <w:rPr>
          <w:rFonts w:asciiTheme="majorHAnsi" w:eastAsia="Times New Roman" w:hAnsiTheme="majorHAnsi" w:cs="Times New Roman"/>
          <w:lang w:eastAsia="cs-CZ"/>
        </w:rPr>
        <w:t>6</w:t>
      </w:r>
      <w:r w:rsidR="004C5AF4" w:rsidRPr="002A6A2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3B0220" w:rsidRPr="00646F3D" w:rsidRDefault="003B0220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646F3D">
        <w:rPr>
          <w:rFonts w:asciiTheme="majorHAnsi" w:eastAsia="Times New Roman" w:hAnsiTheme="majorHAnsi" w:cs="Times New Roman"/>
          <w:b/>
          <w:u w:val="single"/>
          <w:lang w:eastAsia="cs-CZ"/>
        </w:rPr>
        <w:t>Vzorové náležitosti dílčí smlouvy</w:t>
      </w:r>
      <w:bookmarkStart w:id="4" w:name="_GoBack"/>
      <w:bookmarkEnd w:id="4"/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5" w:name="_Toc520232050"/>
      <w:bookmarkStart w:id="6" w:name="_Toc520293740"/>
      <w:bookmarkStart w:id="7" w:name="_Toc520728086"/>
      <w:bookmarkStart w:id="8" w:name="_Toc532481150"/>
      <w:bookmarkStart w:id="9" w:name="_Toc532487110"/>
      <w:bookmarkStart w:id="10" w:name="_Ref371016389"/>
      <w:bookmarkStart w:id="11" w:name="_Ref371016420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Specifikace plněNí</w:t>
      </w:r>
      <w:bookmarkEnd w:id="5"/>
      <w:bookmarkEnd w:id="6"/>
      <w:bookmarkEnd w:id="7"/>
      <w:bookmarkEnd w:id="8"/>
      <w:bookmarkEnd w:id="9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Předmětem této Dílčí smlouvy je provedení Modifikace Software v souladu a za dalších podmínek dle přílohy č. 1 k této Dílčí smlouvě. Účelem provedení takové Modifikace je: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Součástí Plnění dle této Dílčí smlouvy je dále: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20293741"/>
      <w:bookmarkStart w:id="13" w:name="_Toc520728087"/>
      <w:bookmarkStart w:id="14" w:name="_Toc532481151"/>
      <w:bookmarkStart w:id="15" w:name="_Toc532487111"/>
      <w:bookmarkStart w:id="16" w:name="_Toc52023205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Cena</w:t>
      </w:r>
      <w:bookmarkEnd w:id="12"/>
      <w:bookmarkEnd w:id="13"/>
      <w:bookmarkEnd w:id="14"/>
      <w:bookmarkEnd w:id="15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Zhotoviteli náleží za provedení této Dílčí smlouvy Cena v celkové výši 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]: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7" w:name="_Toc520293742"/>
      <w:bookmarkStart w:id="18" w:name="_Toc520728088"/>
      <w:bookmarkStart w:id="19" w:name="_Toc532481152"/>
      <w:bookmarkStart w:id="20" w:name="_Toc53248711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Časový harmonogram</w:t>
      </w:r>
      <w:bookmarkEnd w:id="16"/>
      <w:bookmarkEnd w:id="17"/>
      <w:bookmarkEnd w:id="18"/>
      <w:bookmarkEnd w:id="19"/>
      <w:bookmarkEnd w:id="20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21" w:name="_Toc520728089"/>
      <w:bookmarkStart w:id="22" w:name="_Toc532481153"/>
      <w:bookmarkStart w:id="23" w:name="_Toc532487113"/>
      <w:bookmarkStart w:id="24" w:name="_Toc520232053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 je povinen provést Plnění dle této Dílčí smlouvy v souladu s tímto Harmonogramem:</w:t>
      </w:r>
      <w:bookmarkEnd w:id="21"/>
      <w:bookmarkEnd w:id="22"/>
      <w:bookmarkEnd w:id="23"/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1739"/>
        <w:gridCol w:w="1738"/>
        <w:gridCol w:w="1738"/>
        <w:gridCol w:w="1738"/>
        <w:gridCol w:w="1739"/>
      </w:tblGrid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5" w:name="_Toc520728090"/>
            <w:bookmarkStart w:id="26" w:name="_Toc532481154"/>
            <w:bookmarkStart w:id="27" w:name="_Toc53248711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Část Plnění</w:t>
            </w:r>
            <w:bookmarkEnd w:id="25"/>
            <w:bookmarkEnd w:id="26"/>
            <w:bookmarkEnd w:id="27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8" w:name="_Toc520728091"/>
            <w:bookmarkStart w:id="29" w:name="_Toc532481155"/>
            <w:bookmarkStart w:id="30" w:name="_Toc53248711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Stručný popis</w:t>
            </w:r>
            <w:bookmarkEnd w:id="28"/>
            <w:bookmarkEnd w:id="29"/>
            <w:bookmarkEnd w:id="30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1" w:name="_Toc520728092"/>
            <w:bookmarkStart w:id="32" w:name="_Toc532481156"/>
            <w:bookmarkStart w:id="33" w:name="_Toc53248711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zahájení</w:t>
            </w:r>
            <w:bookmarkEnd w:id="31"/>
            <w:bookmarkEnd w:id="32"/>
            <w:bookmarkEnd w:id="33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4" w:name="_Toc520728093"/>
            <w:bookmarkStart w:id="35" w:name="_Toc532481157"/>
            <w:bookmarkStart w:id="36" w:name="_Toc53248711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provedení</w:t>
            </w:r>
            <w:bookmarkEnd w:id="34"/>
            <w:bookmarkEnd w:id="35"/>
            <w:bookmarkEnd w:id="36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7" w:name="_Toc520728094"/>
            <w:bookmarkStart w:id="38" w:name="_Toc532481158"/>
            <w:bookmarkStart w:id="39" w:name="_Toc53248711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Poznámka</w:t>
            </w:r>
            <w:bookmarkEnd w:id="37"/>
            <w:bookmarkEnd w:id="38"/>
            <w:bookmarkEnd w:id="39"/>
          </w:p>
        </w:tc>
      </w:tr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0" w:name="_Toc520728095"/>
            <w:bookmarkStart w:id="41" w:name="_Toc532481159"/>
            <w:bookmarkStart w:id="42" w:name="_Toc532487119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0"/>
            <w:bookmarkEnd w:id="41"/>
            <w:bookmarkEnd w:id="42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3" w:name="_Toc520728096"/>
            <w:bookmarkStart w:id="44" w:name="_Toc532481160"/>
            <w:bookmarkStart w:id="45" w:name="_Toc532487120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3"/>
            <w:bookmarkEnd w:id="44"/>
            <w:bookmarkEnd w:id="45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6" w:name="_Toc520728097"/>
            <w:bookmarkStart w:id="47" w:name="_Toc532481161"/>
            <w:bookmarkStart w:id="48" w:name="_Toc532487121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6"/>
            <w:bookmarkEnd w:id="47"/>
            <w:bookmarkEnd w:id="48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9" w:name="_Toc520728098"/>
            <w:bookmarkStart w:id="50" w:name="_Toc532481162"/>
            <w:bookmarkStart w:id="51" w:name="_Toc532487122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9"/>
            <w:bookmarkEnd w:id="50"/>
            <w:bookmarkEnd w:id="51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2" w:name="_Toc520728099"/>
            <w:bookmarkStart w:id="53" w:name="_Toc532481163"/>
            <w:bookmarkStart w:id="54" w:name="_Toc532487123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2"/>
            <w:bookmarkEnd w:id="53"/>
            <w:bookmarkEnd w:id="54"/>
          </w:p>
        </w:tc>
      </w:tr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5" w:name="_Toc520728100"/>
            <w:bookmarkStart w:id="56" w:name="_Toc532481164"/>
            <w:bookmarkStart w:id="57" w:name="_Toc53248712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5"/>
            <w:bookmarkEnd w:id="56"/>
            <w:bookmarkEnd w:id="57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8" w:name="_Toc520728101"/>
            <w:bookmarkStart w:id="59" w:name="_Toc532481165"/>
            <w:bookmarkStart w:id="60" w:name="_Toc53248712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8"/>
            <w:bookmarkEnd w:id="59"/>
            <w:bookmarkEnd w:id="60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1" w:name="_Toc520728102"/>
            <w:bookmarkStart w:id="62" w:name="_Toc532481166"/>
            <w:bookmarkStart w:id="63" w:name="_Toc53248712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1"/>
            <w:bookmarkEnd w:id="62"/>
            <w:bookmarkEnd w:id="63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4" w:name="_Toc520728103"/>
            <w:bookmarkStart w:id="65" w:name="_Toc532481167"/>
            <w:bookmarkStart w:id="66" w:name="_Toc53248712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4"/>
            <w:bookmarkEnd w:id="65"/>
            <w:bookmarkEnd w:id="66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7" w:name="_Toc520728104"/>
            <w:bookmarkStart w:id="68" w:name="_Toc532481168"/>
            <w:bookmarkStart w:id="69" w:name="_Toc53248712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7"/>
            <w:bookmarkEnd w:id="68"/>
            <w:bookmarkEnd w:id="69"/>
          </w:p>
        </w:tc>
      </w:tr>
    </w:tbl>
    <w:p w:rsidR="003B0220" w:rsidRPr="000E5CAE" w:rsidRDefault="003B0220" w:rsidP="003B0220">
      <w:pPr>
        <w:spacing w:before="120" w:after="120" w:line="240" w:lineRule="auto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70" w:name="_Toc520728105"/>
      <w:bookmarkStart w:id="71" w:name="_Toc532481169"/>
      <w:bookmarkStart w:id="72" w:name="_Toc532487129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T = okamžik nabytí účinnosti Dílčí smlouvy.</w:t>
      </w:r>
      <w:bookmarkEnd w:id="70"/>
      <w:bookmarkEnd w:id="71"/>
      <w:bookmarkEnd w:id="72"/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3" w:name="_Toc520293744"/>
      <w:bookmarkStart w:id="74" w:name="_Toc519940699"/>
      <w:bookmarkStart w:id="75" w:name="_Toc519959122"/>
      <w:bookmarkStart w:id="76" w:name="_Toc519940700"/>
      <w:bookmarkStart w:id="77" w:name="_Toc519959123"/>
      <w:bookmarkStart w:id="78" w:name="_Toc519940706"/>
      <w:bookmarkStart w:id="79" w:name="_Toc519959129"/>
      <w:bookmarkStart w:id="80" w:name="_Toc519940707"/>
      <w:bookmarkStart w:id="81" w:name="_Toc519959130"/>
      <w:bookmarkStart w:id="82" w:name="_Toc519940708"/>
      <w:bookmarkStart w:id="83" w:name="_Toc519959131"/>
      <w:bookmarkStart w:id="84" w:name="_Toc519940713"/>
      <w:bookmarkStart w:id="85" w:name="_Toc519959136"/>
      <w:bookmarkStart w:id="86" w:name="_Toc519940714"/>
      <w:bookmarkStart w:id="87" w:name="_Toc519959137"/>
      <w:bookmarkStart w:id="88" w:name="_Toc519940715"/>
      <w:bookmarkStart w:id="89" w:name="_Toc519959138"/>
      <w:bookmarkStart w:id="90" w:name="_Toc515618133"/>
      <w:bookmarkStart w:id="91" w:name="_Toc517860032"/>
      <w:bookmarkStart w:id="92" w:name="_Toc517956413"/>
      <w:bookmarkStart w:id="93" w:name="_Toc519517002"/>
      <w:bookmarkStart w:id="94" w:name="_Toc519525581"/>
      <w:bookmarkStart w:id="95" w:name="_Toc519940718"/>
      <w:bookmarkStart w:id="96" w:name="_Toc519959141"/>
      <w:bookmarkStart w:id="97" w:name="_Toc520232055"/>
      <w:bookmarkStart w:id="98" w:name="_Toc520293746"/>
      <w:bookmarkStart w:id="99" w:name="_Toc520728107"/>
      <w:bookmarkStart w:id="100" w:name="_Toc532481171"/>
      <w:bookmarkStart w:id="101" w:name="_Toc532487131"/>
      <w:bookmarkEnd w:id="10"/>
      <w:bookmarkEnd w:id="11"/>
      <w:bookmarkEnd w:id="2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 xml:space="preserve">Zhotovitel je v rámci Plnění této Dílčí smlouvy provést rovněž Školení uživatelů/administrátorů a to za následujících podmínek: 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Školení bude trvat osm (8) hodin;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v rámci Školení proškolí Zhotovitel až 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 xml:space="preserve">] uživatelů; 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místem provádění Školení je 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].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Školení bude probíhat na poslední aktuální verzi Modifikace umístěné na Testovacím prostředí.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bCs/>
          <w:i/>
          <w:iCs/>
          <w:highlight w:val="yellow"/>
        </w:rPr>
        <w:t>OBJEDNATEL DOPLNÍ DALŠÍ PODMÍNKY PROVÁDĚNÍ ŠKOLENÍ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Další požadavky objednatele</w:t>
      </w:r>
    </w:p>
    <w:p w:rsidR="003B0220" w:rsidRPr="000E5CAE" w:rsidRDefault="003B0220" w:rsidP="003B022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JE MOŽNÉ ROZPRACOVAT DLE POTŘEB OBJEDNATELE VE VZTAHU KE KONKRÉTNÍ VEŘEJNÉ ZAKÁZCE</w:t>
      </w:r>
      <w:r w:rsidRPr="000E5CAE">
        <w:rPr>
          <w:rFonts w:asciiTheme="majorHAnsi" w:eastAsia="Times New Roman" w:hAnsiTheme="majorHAnsi" w:cs="Arial"/>
          <w:bCs/>
          <w:iCs/>
          <w:highlight w:val="yellow"/>
        </w:rPr>
        <w:t>.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bookmarkEnd w:id="0"/>
    <w:bookmarkEnd w:id="1"/>
    <w:bookmarkEnd w:id="2"/>
    <w:bookmarkEnd w:id="3"/>
    <w:p w:rsidR="003B0220" w:rsidRPr="003B0220" w:rsidRDefault="003B0220" w:rsidP="003B0220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3B0220" w:rsidRPr="003B0220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691" w:rsidRDefault="00A57691" w:rsidP="00962258">
      <w:pPr>
        <w:spacing w:after="0" w:line="240" w:lineRule="auto"/>
      </w:pPr>
      <w:r>
        <w:separator/>
      </w:r>
    </w:p>
  </w:endnote>
  <w:endnote w:type="continuationSeparator" w:id="0">
    <w:p w:rsidR="00A57691" w:rsidRDefault="00A576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56C" w:rsidRDefault="00B665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65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65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665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691" w:rsidRDefault="00A57691" w:rsidP="00962258">
      <w:pPr>
        <w:spacing w:after="0" w:line="240" w:lineRule="auto"/>
      </w:pPr>
      <w:r>
        <w:separator/>
      </w:r>
    </w:p>
  </w:footnote>
  <w:footnote w:type="continuationSeparator" w:id="0">
    <w:p w:rsidR="00A57691" w:rsidRDefault="00A576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56C" w:rsidRDefault="00B66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72C1E"/>
    <w:rsid w:val="00083A04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207A23"/>
    <w:rsid w:val="00207DF5"/>
    <w:rsid w:val="00280E07"/>
    <w:rsid w:val="00292FB1"/>
    <w:rsid w:val="002A2C36"/>
    <w:rsid w:val="002A6A25"/>
    <w:rsid w:val="002C31BF"/>
    <w:rsid w:val="002D08B1"/>
    <w:rsid w:val="002E0CD7"/>
    <w:rsid w:val="00341DCF"/>
    <w:rsid w:val="00357BC6"/>
    <w:rsid w:val="003956C6"/>
    <w:rsid w:val="003B0220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6F3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97B83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442"/>
    <w:rsid w:val="009E07F4"/>
    <w:rsid w:val="009F392E"/>
    <w:rsid w:val="00A57691"/>
    <w:rsid w:val="00A6177B"/>
    <w:rsid w:val="00A66136"/>
    <w:rsid w:val="00AA4CBB"/>
    <w:rsid w:val="00AA65FA"/>
    <w:rsid w:val="00AA7351"/>
    <w:rsid w:val="00AD056F"/>
    <w:rsid w:val="00AD6731"/>
    <w:rsid w:val="00B15D0D"/>
    <w:rsid w:val="00B6656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452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9B181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locked/>
    <w:rsid w:val="003B0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29DA7-A545-44E2-B1E9-0390D3A1C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0A3059-9D83-4D55-9911-52790F81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11</cp:revision>
  <cp:lastPrinted>2017-11-28T17:18:00Z</cp:lastPrinted>
  <dcterms:created xsi:type="dcterms:W3CDTF">2020-02-20T06:55:00Z</dcterms:created>
  <dcterms:modified xsi:type="dcterms:W3CDTF">2023-11-14T10:37:00Z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