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AEA05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301421" w:rsidRPr="00301421">
        <w:rPr>
          <w:rFonts w:ascii="Verdana" w:hAnsi="Verdana" w:cstheme="minorHAnsi"/>
          <w:b/>
          <w:sz w:val="18"/>
          <w:szCs w:val="18"/>
        </w:rPr>
        <w:t>Nákup silnoproudého materiálu pro údržbu a opravy 2023/2024</w:t>
      </w:r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01421">
        <w:rPr>
          <w:rFonts w:ascii="Verdana" w:hAnsi="Verdana"/>
          <w:sz w:val="18"/>
          <w:szCs w:val="18"/>
        </w:rPr>
      </w:r>
      <w:r w:rsidR="003014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01421">
        <w:rPr>
          <w:rFonts w:ascii="Verdana" w:hAnsi="Verdana"/>
          <w:sz w:val="18"/>
          <w:szCs w:val="18"/>
        </w:rPr>
      </w:r>
      <w:r w:rsidR="003014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F613B0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0142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0142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01421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12A5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C6A6A8-FEBD-438F-BBFB-DE8E54B3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2018-11-26T13:16:00Z</dcterms:created>
  <dcterms:modified xsi:type="dcterms:W3CDTF">2023-08-29T05:04:00Z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