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proofErr w:type="gramStart"/>
      <w:r w:rsidRPr="006564BB">
        <w:rPr>
          <w:rFonts w:ascii="Verdana" w:hAnsi="Verdana" w:cstheme="minorHAnsi"/>
          <w:sz w:val="18"/>
          <w:szCs w:val="18"/>
        </w:rPr>
        <w:t>Právní</w:t>
      </w:r>
      <w:proofErr w:type="gramEnd"/>
      <w:r w:rsidRPr="006564BB">
        <w:rPr>
          <w:rFonts w:ascii="Verdana" w:hAnsi="Verdana" w:cstheme="minorHAnsi"/>
          <w:sz w:val="18"/>
          <w:szCs w:val="18"/>
        </w:rPr>
        <w:t xml:space="preserve">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 xml:space="preserve">Klikněte </w:t>
          </w:r>
          <w:proofErr w:type="gramStart"/>
          <w:r w:rsidR="000619EB" w:rsidRPr="006564BB">
            <w:rPr>
              <w:rStyle w:val="Zstupntext"/>
              <w:rFonts w:ascii="Verdana" w:hAnsi="Verdana" w:cstheme="minorHAnsi"/>
              <w:sz w:val="18"/>
              <w:szCs w:val="18"/>
            </w:rPr>
            <w:t>sem a zadejte</w:t>
          </w:r>
          <w:proofErr w:type="gramEnd"/>
          <w:r w:rsidR="000619EB" w:rsidRPr="006564BB">
            <w:rPr>
              <w:rStyle w:val="Zstupntext"/>
              <w:rFonts w:ascii="Verdana" w:hAnsi="Verdana" w:cstheme="minorHAnsi"/>
              <w:sz w:val="18"/>
              <w:szCs w:val="18"/>
            </w:rPr>
            <w:t xml:space="preserve"> text.</w:t>
          </w:r>
        </w:sdtContent>
      </w:sdt>
    </w:p>
    <w:p w14:paraId="1FCF36DC" w14:textId="77777777" w:rsidR="007E4088" w:rsidRPr="006564BB" w:rsidRDefault="007E4088" w:rsidP="005B4BA5">
      <w:pPr>
        <w:rPr>
          <w:rFonts w:ascii="Verdana" w:hAnsi="Verdana" w:cstheme="minorHAnsi"/>
          <w:sz w:val="18"/>
          <w:szCs w:val="18"/>
        </w:rPr>
      </w:pPr>
    </w:p>
    <w:p w14:paraId="1FCF3701" w14:textId="13FC7F2F"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9D13C9">
        <w:rPr>
          <w:rFonts w:ascii="Verdana" w:hAnsi="Verdana"/>
          <w:b/>
          <w:sz w:val="18"/>
          <w:szCs w:val="18"/>
        </w:rPr>
        <w:t>„</w:t>
      </w:r>
      <w:r w:rsidR="009D13C9">
        <w:rPr>
          <w:rFonts w:ascii="Verdana" w:hAnsi="Verdana" w:cs="Calibri"/>
          <w:b/>
          <w:sz w:val="18"/>
          <w:szCs w:val="18"/>
        </w:rPr>
        <w:t>Dodávka pracovního nářadí pro údržbu ŽDC – 2023-2024“</w:t>
      </w:r>
      <w:bookmarkStart w:id="0" w:name="_GoBack"/>
      <w:bookmarkEnd w:id="0"/>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106B"/>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96637"/>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D13C9"/>
    <w:rsid w:val="009E23B6"/>
    <w:rsid w:val="009F321F"/>
    <w:rsid w:val="00A06926"/>
    <w:rsid w:val="00A15109"/>
    <w:rsid w:val="00A17DCD"/>
    <w:rsid w:val="00A217AF"/>
    <w:rsid w:val="00A26AB5"/>
    <w:rsid w:val="00A52FEC"/>
    <w:rsid w:val="00A55423"/>
    <w:rsid w:val="00A558DE"/>
    <w:rsid w:val="00A614B0"/>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3.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4.xml><?xml version="1.0" encoding="utf-8"?>
<ds:datastoreItem xmlns:ds="http://schemas.openxmlformats.org/officeDocument/2006/customXml" ds:itemID="{C763D60D-B58D-4B4D-A6B6-12DD78757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326</Words>
  <Characters>1917</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2239</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Bauer Michal</cp:lastModifiedBy>
  <cp:revision>7</cp:revision>
  <cp:lastPrinted>2018-03-26T11:24:00Z</cp:lastPrinted>
  <dcterms:created xsi:type="dcterms:W3CDTF">2023-06-05T11:49:00Z</dcterms:created>
  <dcterms:modified xsi:type="dcterms:W3CDTF">2023-08-28T13:07:00Z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