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5E106C89"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16345B" w:rsidRPr="00287673">
        <w:rPr>
          <w:b/>
          <w:bCs/>
          <w:sz w:val="18"/>
          <w:szCs w:val="18"/>
        </w:rPr>
        <w:t>Údržba, opravy a odstraňování závad u SSZT HKR 2024</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2F7C0BBC"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Příloha 14 Výzvy k podání nabídek:</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16345B"/>
    <w:rsid w:val="003727EC"/>
    <w:rsid w:val="00385E2B"/>
    <w:rsid w:val="004B24B6"/>
    <w:rsid w:val="005333BD"/>
    <w:rsid w:val="007B65E5"/>
    <w:rsid w:val="00864C40"/>
    <w:rsid w:val="00A43973"/>
    <w:rsid w:val="00A51739"/>
    <w:rsid w:val="00BA3D18"/>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1934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7</cp:revision>
  <dcterms:created xsi:type="dcterms:W3CDTF">2022-09-06T11:06:00Z</dcterms:created>
  <dcterms:modified xsi:type="dcterms:W3CDTF">2023-08-08T12:45:00Z</dcterms:modified>
</cp:coreProperties>
</file>