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C119F">
        <w:rPr>
          <w:rFonts w:ascii="Verdana" w:eastAsia="Calibri" w:hAnsi="Verdana"/>
          <w:b/>
          <w:sz w:val="18"/>
          <w:szCs w:val="18"/>
          <w:lang w:eastAsia="en-US"/>
        </w:rPr>
        <w:t>Oprava přejezdů v úseku Bzenec přívoz - Nedakonice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C119F">
      <w:fldChar w:fldCharType="begin"/>
    </w:r>
    <w:r w:rsidR="009C119F">
      <w:instrText xml:space="preserve"> SECTIONPAGES  \* Arabic  \* MERGEFORMAT </w:instrText>
    </w:r>
    <w:r w:rsidR="009C119F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9C119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C119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C119F" w:rsidRPr="009C119F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119F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259EB3"/>
  <w15:docId w15:val="{62B129FB-7511-4147-8478-30174543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25D006-F02B-40A6-9FC1-DC6F1C951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FE179D-FCF5-41EF-B2B2-9CD7126F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2018-03-26T11:24:00Z</cp:lastPrinted>
  <dcterms:created xsi:type="dcterms:W3CDTF">2021-06-17T11:25:00Z</dcterms:created>
  <dcterms:modified xsi:type="dcterms:W3CDTF">2023-07-17T06:07:00Z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