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36849816" w:rsidR="003E784C" w:rsidRPr="003B5BED" w:rsidRDefault="003E784C" w:rsidP="00605B5A">
      <w:pPr>
        <w:pStyle w:val="TPTitul2"/>
        <w:tabs>
          <w:tab w:val="left" w:pos="703"/>
          <w:tab w:val="left" w:pos="6631"/>
        </w:tabs>
        <w:jc w:val="both"/>
      </w:pPr>
      <w:bookmarkStart w:id="0" w:name="_GoBack"/>
      <w:bookmarkEnd w:id="0"/>
    </w:p>
    <w:p w14:paraId="2463122D" w14:textId="7F9450DB"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 xml:space="preserve">Zvláštní obchodní podmínky pro </w:t>
      </w:r>
      <w:r w:rsidR="002A4E06">
        <w:rPr>
          <w:rFonts w:ascii="Verdana" w:eastAsia="Times New Roman" w:hAnsi="Verdana"/>
          <w:color w:val="FF5200"/>
          <w:spacing w:val="-6"/>
          <w:sz w:val="36"/>
          <w:szCs w:val="36"/>
        </w:rPr>
        <w:t>z</w:t>
      </w:r>
      <w:r w:rsidRPr="00ED6198">
        <w:rPr>
          <w:rFonts w:ascii="Verdana" w:eastAsia="Times New Roman" w:hAnsi="Verdana"/>
          <w:color w:val="FF5200"/>
          <w:spacing w:val="-6"/>
          <w:sz w:val="36"/>
          <w:szCs w:val="36"/>
        </w:rPr>
        <w:t>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03E78BB1"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3D6548">
          <w:rPr>
            <w:noProof/>
            <w:webHidden/>
          </w:rPr>
          <w:t>2</w:t>
        </w:r>
        <w:r w:rsidR="005F0BAE" w:rsidRPr="00ED6198">
          <w:rPr>
            <w:noProof/>
            <w:webHidden/>
          </w:rPr>
          <w:fldChar w:fldCharType="end"/>
        </w:r>
      </w:hyperlink>
    </w:p>
    <w:p w14:paraId="4D366162" w14:textId="132ED728"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sidR="003D6548">
          <w:rPr>
            <w:noProof/>
            <w:webHidden/>
          </w:rPr>
          <w:t>7</w:t>
        </w:r>
        <w:r w:rsidR="005F0BAE" w:rsidRPr="00ED6198">
          <w:rPr>
            <w:noProof/>
            <w:webHidden/>
          </w:rPr>
          <w:fldChar w:fldCharType="end"/>
        </w:r>
      </w:hyperlink>
    </w:p>
    <w:p w14:paraId="3A42CCBC" w14:textId="48D62895"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sidR="003D6548">
          <w:rPr>
            <w:noProof/>
            <w:webHidden/>
          </w:rPr>
          <w:t>7</w:t>
        </w:r>
        <w:r w:rsidR="005F0BAE" w:rsidRPr="00ED6198">
          <w:rPr>
            <w:noProof/>
            <w:webHidden/>
          </w:rPr>
          <w:fldChar w:fldCharType="end"/>
        </w:r>
      </w:hyperlink>
    </w:p>
    <w:p w14:paraId="2FB523DC" w14:textId="53EA360A"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sidR="003D6548">
          <w:rPr>
            <w:noProof/>
            <w:webHidden/>
          </w:rPr>
          <w:t>7</w:t>
        </w:r>
        <w:r w:rsidR="005F0BAE" w:rsidRPr="00ED6198">
          <w:rPr>
            <w:noProof/>
            <w:webHidden/>
          </w:rPr>
          <w:fldChar w:fldCharType="end"/>
        </w:r>
      </w:hyperlink>
    </w:p>
    <w:p w14:paraId="532D8769" w14:textId="299DD3FD"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sidR="003D6548">
          <w:rPr>
            <w:noProof/>
            <w:webHidden/>
          </w:rPr>
          <w:t>8</w:t>
        </w:r>
        <w:r w:rsidR="005F0BAE" w:rsidRPr="00ED6198">
          <w:rPr>
            <w:noProof/>
            <w:webHidden/>
          </w:rPr>
          <w:fldChar w:fldCharType="end"/>
        </w:r>
      </w:hyperlink>
    </w:p>
    <w:p w14:paraId="14B0B4D8" w14:textId="236F22BC"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sidR="003D6548">
          <w:rPr>
            <w:noProof/>
            <w:webHidden/>
          </w:rPr>
          <w:t>8</w:t>
        </w:r>
        <w:r w:rsidR="005F0BAE" w:rsidRPr="00ED6198">
          <w:rPr>
            <w:noProof/>
            <w:webHidden/>
          </w:rPr>
          <w:fldChar w:fldCharType="end"/>
        </w:r>
      </w:hyperlink>
    </w:p>
    <w:p w14:paraId="5A1672F2" w14:textId="4AA0C2C0"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sidR="003D6548">
          <w:rPr>
            <w:noProof/>
            <w:webHidden/>
          </w:rPr>
          <w:t>11</w:t>
        </w:r>
        <w:r w:rsidR="005F0BAE" w:rsidRPr="00ED6198">
          <w:rPr>
            <w:noProof/>
            <w:webHidden/>
          </w:rPr>
          <w:fldChar w:fldCharType="end"/>
        </w:r>
      </w:hyperlink>
    </w:p>
    <w:p w14:paraId="2A449BC3" w14:textId="2DB2F77E"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sidR="003D6548">
          <w:rPr>
            <w:noProof/>
            <w:webHidden/>
          </w:rPr>
          <w:t>12</w:t>
        </w:r>
        <w:r w:rsidR="005F0BAE" w:rsidRPr="00ED6198">
          <w:rPr>
            <w:noProof/>
            <w:webHidden/>
          </w:rPr>
          <w:fldChar w:fldCharType="end"/>
        </w:r>
      </w:hyperlink>
    </w:p>
    <w:p w14:paraId="25184642" w14:textId="74638CB1"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sidR="003D6548">
          <w:rPr>
            <w:noProof/>
            <w:webHidden/>
          </w:rPr>
          <w:t>13</w:t>
        </w:r>
        <w:r w:rsidR="005F0BAE" w:rsidRPr="00ED6198">
          <w:rPr>
            <w:noProof/>
            <w:webHidden/>
          </w:rPr>
          <w:fldChar w:fldCharType="end"/>
        </w:r>
      </w:hyperlink>
    </w:p>
    <w:p w14:paraId="2F4C1138" w14:textId="2694F246"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sidR="003D6548">
          <w:rPr>
            <w:noProof/>
            <w:webHidden/>
          </w:rPr>
          <w:t>13</w:t>
        </w:r>
        <w:r w:rsidR="005F0BAE" w:rsidRPr="00ED6198">
          <w:rPr>
            <w:noProof/>
            <w:webHidden/>
          </w:rPr>
          <w:fldChar w:fldCharType="end"/>
        </w:r>
      </w:hyperlink>
    </w:p>
    <w:p w14:paraId="143D5083" w14:textId="35C20C26"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sidR="003D6548">
          <w:rPr>
            <w:noProof/>
            <w:webHidden/>
          </w:rPr>
          <w:t>15</w:t>
        </w:r>
        <w:r w:rsidR="005F0BAE" w:rsidRPr="00ED6198">
          <w:rPr>
            <w:noProof/>
            <w:webHidden/>
          </w:rPr>
          <w:fldChar w:fldCharType="end"/>
        </w:r>
      </w:hyperlink>
    </w:p>
    <w:p w14:paraId="0F4669CA" w14:textId="1D1D5DBB"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sidR="003D6548">
          <w:rPr>
            <w:noProof/>
            <w:webHidden/>
          </w:rPr>
          <w:t>15</w:t>
        </w:r>
        <w:r w:rsidR="005F0BAE" w:rsidRPr="00ED6198">
          <w:rPr>
            <w:noProof/>
            <w:webHidden/>
          </w:rPr>
          <w:fldChar w:fldCharType="end"/>
        </w:r>
      </w:hyperlink>
    </w:p>
    <w:p w14:paraId="1B5526B4" w14:textId="707F4E8A"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sidR="003D6548">
          <w:rPr>
            <w:noProof/>
            <w:webHidden/>
          </w:rPr>
          <w:t>16</w:t>
        </w:r>
        <w:r w:rsidR="005F0BAE" w:rsidRPr="00ED6198">
          <w:rPr>
            <w:noProof/>
            <w:webHidden/>
          </w:rPr>
          <w:fldChar w:fldCharType="end"/>
        </w:r>
      </w:hyperlink>
    </w:p>
    <w:p w14:paraId="2CBA8356" w14:textId="7641852E"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sidR="003D6548">
          <w:rPr>
            <w:noProof/>
            <w:webHidden/>
          </w:rPr>
          <w:t>17</w:t>
        </w:r>
        <w:r w:rsidR="005F0BAE" w:rsidRPr="00ED6198">
          <w:rPr>
            <w:noProof/>
            <w:webHidden/>
          </w:rPr>
          <w:fldChar w:fldCharType="end"/>
        </w:r>
      </w:hyperlink>
    </w:p>
    <w:p w14:paraId="0A4D39B6" w14:textId="56859EF7"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sidR="003D6548">
          <w:rPr>
            <w:noProof/>
            <w:webHidden/>
          </w:rPr>
          <w:t>17</w:t>
        </w:r>
        <w:r w:rsidR="005F0BAE" w:rsidRPr="00ED6198">
          <w:rPr>
            <w:noProof/>
            <w:webHidden/>
          </w:rPr>
          <w:fldChar w:fldCharType="end"/>
        </w:r>
      </w:hyperlink>
    </w:p>
    <w:p w14:paraId="4FABA8D3" w14:textId="5D5FFE63"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sidR="003D6548">
          <w:rPr>
            <w:noProof/>
            <w:webHidden/>
          </w:rPr>
          <w:t>17</w:t>
        </w:r>
        <w:r w:rsidR="005F0BAE" w:rsidRPr="00ED6198">
          <w:rPr>
            <w:noProof/>
            <w:webHidden/>
          </w:rPr>
          <w:fldChar w:fldCharType="end"/>
        </w:r>
      </w:hyperlink>
    </w:p>
    <w:p w14:paraId="077878DA" w14:textId="411B9161"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sidR="003D6548">
          <w:rPr>
            <w:noProof/>
            <w:webHidden/>
          </w:rPr>
          <w:t>19</w:t>
        </w:r>
        <w:r w:rsidR="005F0BAE" w:rsidRPr="00ED6198">
          <w:rPr>
            <w:noProof/>
            <w:webHidden/>
          </w:rPr>
          <w:fldChar w:fldCharType="end"/>
        </w:r>
      </w:hyperlink>
    </w:p>
    <w:p w14:paraId="33C100A3" w14:textId="2BB748D4"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sidR="003D6548">
          <w:rPr>
            <w:noProof/>
            <w:webHidden/>
          </w:rPr>
          <w:t>20</w:t>
        </w:r>
        <w:r w:rsidR="005F0BAE" w:rsidRPr="00ED6198">
          <w:rPr>
            <w:noProof/>
            <w:webHidden/>
          </w:rPr>
          <w:fldChar w:fldCharType="end"/>
        </w:r>
      </w:hyperlink>
    </w:p>
    <w:p w14:paraId="0E4244F6" w14:textId="72430F9F"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sidR="003D6548">
          <w:rPr>
            <w:noProof/>
            <w:webHidden/>
          </w:rPr>
          <w:t>21</w:t>
        </w:r>
        <w:r w:rsidR="005F0BAE" w:rsidRPr="00ED6198">
          <w:rPr>
            <w:noProof/>
            <w:webHidden/>
          </w:rPr>
          <w:fldChar w:fldCharType="end"/>
        </w:r>
      </w:hyperlink>
    </w:p>
    <w:p w14:paraId="1F5C3962" w14:textId="54349660"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sidR="003D6548">
          <w:rPr>
            <w:noProof/>
            <w:webHidden/>
          </w:rPr>
          <w:t>22</w:t>
        </w:r>
        <w:r w:rsidR="005F0BAE" w:rsidRPr="00ED6198">
          <w:rPr>
            <w:noProof/>
            <w:webHidden/>
          </w:rPr>
          <w:fldChar w:fldCharType="end"/>
        </w:r>
      </w:hyperlink>
    </w:p>
    <w:p w14:paraId="301217EE" w14:textId="5C414A84"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sidR="003D6548">
          <w:rPr>
            <w:noProof/>
            <w:webHidden/>
          </w:rPr>
          <w:t>25</w:t>
        </w:r>
        <w:r w:rsidR="005F0BAE" w:rsidRPr="00ED6198">
          <w:rPr>
            <w:noProof/>
            <w:webHidden/>
          </w:rPr>
          <w:fldChar w:fldCharType="end"/>
        </w:r>
      </w:hyperlink>
    </w:p>
    <w:p w14:paraId="412CC932" w14:textId="2B010FA5" w:rsidR="005F0BAE" w:rsidRPr="00ED6198" w:rsidRDefault="002947D0">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sidR="003D6548">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w:t>
      </w:r>
      <w:proofErr w:type="spellStart"/>
      <w:r w:rsidR="00AD6A8A" w:rsidRPr="00ED6198">
        <w:t>patch</w:t>
      </w:r>
      <w:proofErr w:type="spellEnd"/>
      <w:r w:rsidR="00AD6A8A" w:rsidRPr="00ED6198">
        <w:t>“ nebo „</w:t>
      </w:r>
      <w:proofErr w:type="spellStart"/>
      <w:r w:rsidR="00AD6A8A" w:rsidRPr="00ED6198">
        <w:t>security</w:t>
      </w:r>
      <w:proofErr w:type="spellEnd"/>
      <w:r w:rsidR="00AD6A8A" w:rsidRPr="00ED6198">
        <w:t xml:space="preserve">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 xml:space="preserve">způsobem stanoveným ve Smlouvě, tj. vytvořením </w:t>
      </w:r>
      <w:proofErr w:type="spellStart"/>
      <w:r w:rsidR="00AD6A8A" w:rsidRPr="00ED6198">
        <w:t>ticketu</w:t>
      </w:r>
      <w:proofErr w:type="spellEnd"/>
      <w:r w:rsidR="00AD6A8A" w:rsidRPr="00ED6198">
        <w:t xml:space="preserve"> v </w:t>
      </w:r>
      <w:proofErr w:type="spellStart"/>
      <w:r w:rsidR="009F646D" w:rsidRPr="00ED6198">
        <w:t>Helpd</w:t>
      </w:r>
      <w:r w:rsidR="00AD6A8A" w:rsidRPr="00ED6198">
        <w:t>esku</w:t>
      </w:r>
      <w:proofErr w:type="spellEnd"/>
      <w:r w:rsidR="00AD6A8A" w:rsidRPr="00ED6198">
        <w:t xml:space="preserve">, </w:t>
      </w:r>
      <w:r w:rsidR="00420D99" w:rsidRPr="00ED6198">
        <w:t xml:space="preserve">vytěžením emailu z emailového serveru Objednatele a jeho vložením do </w:t>
      </w:r>
      <w:proofErr w:type="spellStart"/>
      <w:r w:rsidR="009F646D" w:rsidRPr="00ED6198">
        <w:t>Helpd</w:t>
      </w:r>
      <w:r w:rsidR="00420D99" w:rsidRPr="00ED6198">
        <w:t>esku</w:t>
      </w:r>
      <w:proofErr w:type="spellEnd"/>
      <w:r w:rsidR="00420D99" w:rsidRPr="00ED6198">
        <w:t xml:space="preserve"> jako </w:t>
      </w:r>
      <w:proofErr w:type="spellStart"/>
      <w:r w:rsidR="00420D99" w:rsidRPr="00ED6198">
        <w:t>ticketu</w:t>
      </w:r>
      <w:proofErr w:type="spellEnd"/>
      <w:r w:rsidR="00420D99" w:rsidRPr="00ED6198">
        <w:t xml:space="preserve">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proofErr w:type="spellStart"/>
      <w:r w:rsidR="009F646D" w:rsidRPr="00ED6198">
        <w:t>Helpd</w:t>
      </w:r>
      <w:r w:rsidR="00C70AC1" w:rsidRPr="00ED6198">
        <w:t>esk</w:t>
      </w:r>
      <w:r w:rsidR="001C63B2" w:rsidRPr="00ED6198">
        <w:t>u</w:t>
      </w:r>
      <w:proofErr w:type="spellEnd"/>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lastRenderedPageBreak/>
        <w:t>Dostupnost</w:t>
      </w:r>
      <w:r w:rsidRPr="00335BA4">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rsidRPr="00ED6198">
        <w:t>Helpd</w:t>
      </w:r>
      <w:r w:rsidR="00E055AF" w:rsidRPr="00ED6198">
        <w:t>esku</w:t>
      </w:r>
      <w:proofErr w:type="spellEnd"/>
      <w:r w:rsidR="00E055AF" w:rsidRPr="00ED6198">
        <w:t xml:space="preserve">,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112A90B9"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w:t>
      </w:r>
      <w:r w:rsidR="00925464">
        <w:t>,</w:t>
      </w:r>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w:t>
      </w:r>
      <w:proofErr w:type="spellStart"/>
      <w:r w:rsidR="00DE1BF8" w:rsidRPr="00ED6198">
        <w:t>switche</w:t>
      </w:r>
      <w:proofErr w:type="spellEnd"/>
      <w:r w:rsidR="00DE1BF8" w:rsidRPr="00ED6198">
        <w:t xml:space="preserve">, VPN linky apod.). Podrobná specifikace IT prostředí Objednatele je uvedena v Příloze Smlouvy </w:t>
      </w:r>
      <w:r w:rsidR="00637D64" w:rsidRPr="00ED6198">
        <w:rPr>
          <w:i/>
          <w:iCs/>
        </w:rPr>
        <w:t>Platforma S</w:t>
      </w:r>
      <w:r w:rsidR="00D631C9" w:rsidRPr="00ED6198">
        <w:rPr>
          <w:i/>
          <w:iCs/>
        </w:rPr>
        <w:t xml:space="preserve">právy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lastRenderedPageBreak/>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4DBE31A5" w:rsidR="009619FD" w:rsidRPr="00F1706E" w:rsidRDefault="009619FD" w:rsidP="007C38AC">
      <w:pPr>
        <w:pStyle w:val="TPText-1slovan"/>
        <w:jc w:val="both"/>
      </w:pPr>
      <w:r w:rsidRPr="00ED6198">
        <w:rPr>
          <w:b/>
          <w:bCs/>
        </w:rPr>
        <w:t xml:space="preserve">Objednatel </w:t>
      </w:r>
      <w:r w:rsidR="00413D66" w:rsidRPr="00ED6198">
        <w:t>je</w:t>
      </w:r>
      <w:r w:rsidR="00925464" w:rsidRPr="00F1706E">
        <w:t>:</w:t>
      </w:r>
      <w:r w:rsidR="00925464" w:rsidRPr="00F1706E">
        <w:rPr>
          <w:i/>
          <w:iCs/>
          <w:noProof/>
        </w:rPr>
        <w:t xml:space="preserve"> </w:t>
      </w:r>
      <w:r w:rsidR="00F1706E" w:rsidRPr="00F1706E">
        <w:t>Správa železnic, s.o., Dlážděná 1003/7, 110 00 Praha 1.</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proofErr w:type="spellStart"/>
      <w:r w:rsidR="009F646D" w:rsidRPr="00ED6198">
        <w:t>Helpd</w:t>
      </w:r>
      <w:r w:rsidR="00C17E1C" w:rsidRPr="00ED6198">
        <w:t>esk</w:t>
      </w:r>
      <w:proofErr w:type="spellEnd"/>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t xml:space="preserve">pro úroveň L1 </w:t>
      </w:r>
      <w:proofErr w:type="spellStart"/>
      <w:r w:rsidR="009F646D" w:rsidRPr="00ED6198">
        <w:t>Helpd</w:t>
      </w:r>
      <w:r w:rsidRPr="00ED6198">
        <w:t>esku</w:t>
      </w:r>
      <w:proofErr w:type="spellEnd"/>
      <w:r w:rsidRPr="00ED6198">
        <w:t xml:space="preserve">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proofErr w:type="spellStart"/>
      <w:r w:rsidR="00760734" w:rsidRPr="00ED6198">
        <w:t>Helpdesku</w:t>
      </w:r>
      <w:proofErr w:type="spellEnd"/>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proofErr w:type="spellStart"/>
      <w:r w:rsidR="00760734" w:rsidRPr="00ED6198">
        <w:t>Helpdesku</w:t>
      </w:r>
      <w:proofErr w:type="spellEnd"/>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lastRenderedPageBreak/>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proofErr w:type="spellStart"/>
      <w:r w:rsidRPr="00ED6198">
        <w:rPr>
          <w:b/>
          <w:bCs/>
        </w:rPr>
        <w:t>Recovery</w:t>
      </w:r>
      <w:proofErr w:type="spellEnd"/>
      <w:r w:rsidRPr="00ED6198">
        <w:rPr>
          <w:b/>
          <w:bCs/>
        </w:rPr>
        <w:t xml:space="preserve"> </w:t>
      </w:r>
      <w:proofErr w:type="spellStart"/>
      <w:r w:rsidRPr="00ED6198">
        <w:rPr>
          <w:b/>
          <w:bCs/>
        </w:rPr>
        <w:t>Time</w:t>
      </w:r>
      <w:proofErr w:type="spellEnd"/>
      <w:r w:rsidRPr="00ED6198">
        <w:rPr>
          <w:b/>
          <w:bCs/>
        </w:rPr>
        <w:t xml:space="preserv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proofErr w:type="spellStart"/>
      <w:r w:rsidRPr="00ED6198">
        <w:rPr>
          <w:b/>
          <w:bCs/>
        </w:rPr>
        <w:t>Help</w:t>
      </w:r>
      <w:r w:rsidR="00760734" w:rsidRPr="00ED6198">
        <w:rPr>
          <w:b/>
          <w:bCs/>
        </w:rPr>
        <w:t>d</w:t>
      </w:r>
      <w:r w:rsidR="00CF0087" w:rsidRPr="00ED6198">
        <w:rPr>
          <w:b/>
          <w:bCs/>
        </w:rPr>
        <w:t>esk</w:t>
      </w:r>
      <w:proofErr w:type="spellEnd"/>
      <w:r w:rsidR="00CF0087" w:rsidRPr="00ED6198">
        <w:rPr>
          <w:b/>
          <w:bCs/>
        </w:rPr>
        <w:t xml:space="preserve">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lastRenderedPageBreak/>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Databáze,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lastRenderedPageBreak/>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8FEB125"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925464">
        <w:rPr>
          <w:i/>
          <w:iCs/>
        </w:rPr>
        <w:t>.</w:t>
      </w:r>
    </w:p>
    <w:p w14:paraId="6788E6AB" w14:textId="50C86E02"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3D6548">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lastRenderedPageBreak/>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5AE83AEF"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3D6548">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Standardního software nebo IT prostředí Objednatele virem či jiným škodlivým kódem (</w:t>
      </w:r>
      <w:proofErr w:type="spellStart"/>
      <w:r w:rsidRPr="00ED6198">
        <w:t>malware</w:t>
      </w:r>
      <w:proofErr w:type="spellEnd"/>
      <w:r w:rsidRPr="00ED6198">
        <w:t xml:space="preserv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00CE60" w:rsidR="00283BA7" w:rsidRPr="00335BA4" w:rsidRDefault="007F3E06" w:rsidP="007C38AC">
      <w:pPr>
        <w:pStyle w:val="TPText-2slovan"/>
        <w:jc w:val="both"/>
      </w:pPr>
      <w:r w:rsidRPr="00335BA4">
        <w:lastRenderedPageBreak/>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3D6548">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535EA91D"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3D6548">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6E148194"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3D6548">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0517DD3A"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3D6548">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3D6548">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1D9C5CF1"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3D6548">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134CAED8" w14:textId="77777777" w:rsidR="00AB30AA" w:rsidRPr="00AB30AA" w:rsidRDefault="00AB30AA" w:rsidP="00AB30AA">
      <w:pPr>
        <w:pStyle w:val="Odstavecseseznamem"/>
        <w:keepNext/>
        <w:numPr>
          <w:ilvl w:val="1"/>
          <w:numId w:val="55"/>
        </w:numPr>
        <w:tabs>
          <w:tab w:val="clear" w:pos="1021"/>
        </w:tabs>
        <w:spacing w:before="120" w:after="0" w:line="240" w:lineRule="auto"/>
        <w:ind w:left="1134" w:hanging="708"/>
        <w:contextualSpacing w:val="0"/>
        <w:jc w:val="both"/>
        <w:outlineLvl w:val="1"/>
        <w:rPr>
          <w:rFonts w:ascii="Verdana" w:hAnsi="Verdana" w:cs="Arial"/>
          <w:vanish/>
          <w:sz w:val="18"/>
        </w:rPr>
      </w:pPr>
    </w:p>
    <w:p w14:paraId="18E93C98"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3CE8421B" w14:textId="10FE2A82" w:rsidR="00AA590A" w:rsidRPr="00ED6198" w:rsidRDefault="00006EA2" w:rsidP="00F8193A">
      <w:pPr>
        <w:pStyle w:val="TPText-2slovan"/>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3D6548">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w:t>
      </w:r>
      <w:r w:rsidR="00A46199" w:rsidRPr="00ED6198">
        <w:lastRenderedPageBreak/>
        <w:t xml:space="preserve">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w:t>
      </w:r>
      <w:proofErr w:type="spellStart"/>
      <w:r w:rsidR="000F0903" w:rsidRPr="00ED6198">
        <w:t>subscription</w:t>
      </w:r>
      <w:proofErr w:type="spellEnd"/>
      <w:r w:rsidR="000F0903" w:rsidRPr="00ED6198">
        <w:t>/</w:t>
      </w:r>
      <w:proofErr w:type="spellStart"/>
      <w:r w:rsidR="000F0903" w:rsidRPr="00ED6198">
        <w:t>license</w:t>
      </w:r>
      <w:proofErr w:type="spellEnd"/>
      <w:r w:rsidR="000F0903" w:rsidRPr="00ED6198">
        <w:t xml:space="preserve"> </w:t>
      </w:r>
      <w:proofErr w:type="spellStart"/>
      <w:r w:rsidR="000F0903" w:rsidRPr="00ED6198">
        <w:t>maintenance</w:t>
      </w:r>
      <w:proofErr w:type="spellEnd"/>
      <w:r w:rsidR="000F0903" w:rsidRPr="00ED6198">
        <w:t>)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 xml:space="preserve">a jeho </w:t>
      </w:r>
      <w:proofErr w:type="spellStart"/>
      <w:r w:rsidRPr="00335BA4">
        <w:t>podčlánků</w:t>
      </w:r>
      <w:proofErr w:type="spellEnd"/>
      <w:r w:rsidRPr="00335BA4">
        <w:t xml:space="preserve"> se pro Standardní Software nepoužijí.</w:t>
      </w:r>
      <w:r w:rsidR="00650E11" w:rsidRPr="00335BA4">
        <w:t xml:space="preserve"> </w:t>
      </w:r>
    </w:p>
    <w:p w14:paraId="7116C1AF" w14:textId="475B22CA" w:rsidR="007036B7" w:rsidRPr="00ED6198" w:rsidRDefault="007036B7" w:rsidP="00F8193A">
      <w:pPr>
        <w:pStyle w:val="TPText-1slovan"/>
        <w:numPr>
          <w:ilvl w:val="2"/>
          <w:numId w:val="91"/>
        </w:numPr>
        <w:jc w:val="both"/>
      </w:pPr>
      <w:bookmarkStart w:id="68" w:name="_Toc26368452"/>
      <w:bookmarkStart w:id="69" w:name="_Toc103154251"/>
      <w:bookmarkEnd w:id="68"/>
      <w:r w:rsidRPr="00ED6198">
        <w:t xml:space="preserve">Software vztahující se k </w:t>
      </w:r>
      <w:r w:rsidR="005F5289" w:rsidRPr="00ED6198">
        <w:t>Hardware</w:t>
      </w:r>
      <w:bookmarkEnd w:id="69"/>
    </w:p>
    <w:p w14:paraId="73F75210"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0956A51D"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6030CDCA" w14:textId="04213764" w:rsidR="00E01D90" w:rsidRPr="00ED6198" w:rsidRDefault="00E01D90" w:rsidP="00F8193A">
      <w:pPr>
        <w:pStyle w:val="TPText-2slovan"/>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Hardware nepoužijí.</w:t>
      </w:r>
    </w:p>
    <w:p w14:paraId="0561F681" w14:textId="5E295959" w:rsidR="005202F6" w:rsidRPr="00335BA4" w:rsidRDefault="005F0BAE" w:rsidP="00F8193A">
      <w:pPr>
        <w:pStyle w:val="TPText-1slovan"/>
        <w:numPr>
          <w:ilvl w:val="2"/>
          <w:numId w:val="92"/>
        </w:numPr>
        <w:jc w:val="both"/>
      </w:pPr>
      <w:r w:rsidRPr="00335BA4">
        <w:lastRenderedPageBreak/>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Datová vrstva – popis datové vrstvy,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okumentace a automaticky generovaná dokumentace (</w:t>
      </w:r>
      <w:proofErr w:type="spellStart"/>
      <w:r w:rsidR="0055737D" w:rsidRPr="00ED6198">
        <w:t>Javadoc</w:t>
      </w:r>
      <w:proofErr w:type="spellEnd"/>
      <w:r w:rsidR="0055737D" w:rsidRPr="00ED6198">
        <w:t xml:space="preserve">).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lastRenderedPageBreak/>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proofErr w:type="spellStart"/>
      <w:r w:rsidR="009F646D" w:rsidRPr="00ED6198">
        <w:t>Helpd</w:t>
      </w:r>
      <w:r w:rsidR="006730E8" w:rsidRPr="00ED6198">
        <w:t>esku</w:t>
      </w:r>
      <w:proofErr w:type="spellEnd"/>
      <w:r w:rsidR="006730E8" w:rsidRPr="00ED6198">
        <w:t>,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100C71C1"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3D6548">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lastRenderedPageBreak/>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proofErr w:type="spellStart"/>
      <w:r w:rsidR="009F646D" w:rsidRPr="00335BA4">
        <w:t>Helpd</w:t>
      </w:r>
      <w:r w:rsidRPr="00335BA4">
        <w:t>esk</w:t>
      </w:r>
      <w:proofErr w:type="spellEnd"/>
      <w:r w:rsidR="00B77EBD" w:rsidRPr="00335BA4">
        <w:t xml:space="preserve"> (včetně úhrady případných licenčních poplatků za </w:t>
      </w:r>
      <w:r w:rsidR="00892FA9" w:rsidRPr="00335BA4">
        <w:t xml:space="preserve">aplikaci </w:t>
      </w:r>
      <w:proofErr w:type="spellStart"/>
      <w:r w:rsidR="009F646D" w:rsidRPr="00335BA4">
        <w:t>Helpd</w:t>
      </w:r>
      <w:r w:rsidR="00B77EBD" w:rsidRPr="00335BA4">
        <w:t>esk</w:t>
      </w:r>
      <w:proofErr w:type="spellEnd"/>
      <w:r w:rsidR="00B77EBD" w:rsidRPr="00335BA4">
        <w:t>)</w:t>
      </w:r>
      <w:r w:rsidRPr="00335BA4">
        <w:t xml:space="preserve"> a udělit náležitá oprávnění k přístupu do </w:t>
      </w:r>
      <w:proofErr w:type="spellStart"/>
      <w:r w:rsidR="009F646D" w:rsidRPr="00335BA4">
        <w:t>Helpd</w:t>
      </w:r>
      <w:r w:rsidRPr="00335BA4">
        <w:t>esku</w:t>
      </w:r>
      <w:proofErr w:type="spellEnd"/>
      <w:r w:rsidRPr="00335BA4">
        <w:t xml:space="preserve">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proofErr w:type="spellStart"/>
      <w:r w:rsidR="009F646D" w:rsidRPr="00335BA4">
        <w:t>Helpd</w:t>
      </w:r>
      <w:r w:rsidR="009138D6" w:rsidRPr="00335BA4">
        <w:t>esk</w:t>
      </w:r>
      <w:proofErr w:type="spellEnd"/>
      <w:r w:rsidR="009138D6" w:rsidRPr="00335BA4">
        <w:t xml:space="preserve">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 xml:space="preserve">po celou dobu trvání Smlouvy užívat </w:t>
      </w:r>
      <w:proofErr w:type="spellStart"/>
      <w:r w:rsidRPr="00335BA4">
        <w:t>Helpdesk</w:t>
      </w:r>
      <w:proofErr w:type="spellEnd"/>
      <w:r w:rsidRPr="00335BA4">
        <w:t xml:space="preserve">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w:t>
      </w:r>
      <w:proofErr w:type="spellStart"/>
      <w:r w:rsidRPr="00335BA4">
        <w:t>Helpdesk</w:t>
      </w:r>
      <w:proofErr w:type="spellEnd"/>
      <w:r w:rsidRPr="00335BA4">
        <w:t xml:space="preserve"> stanoví Smlouva</w:t>
      </w:r>
      <w:r w:rsidR="004B7B03" w:rsidRPr="00335BA4">
        <w:t>. Pokud</w:t>
      </w:r>
      <w:r w:rsidRPr="00335BA4">
        <w:t xml:space="preserve"> Smlouva provozovatele </w:t>
      </w:r>
      <w:proofErr w:type="spellStart"/>
      <w:r w:rsidRPr="00335BA4">
        <w:t>Helpdesk</w:t>
      </w:r>
      <w:proofErr w:type="spellEnd"/>
      <w:r w:rsidR="004B7B03" w:rsidRPr="00335BA4">
        <w:t xml:space="preserve"> nestanoví</w:t>
      </w:r>
      <w:r w:rsidRPr="00335BA4">
        <w:t xml:space="preserve">, má se za to, že provozovatelem </w:t>
      </w:r>
      <w:proofErr w:type="spellStart"/>
      <w:r w:rsidRPr="00335BA4">
        <w:t>Helpdesk</w:t>
      </w:r>
      <w:proofErr w:type="spellEnd"/>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w:t>
      </w:r>
      <w:proofErr w:type="spellStart"/>
      <w:r w:rsidR="00AD757A" w:rsidRPr="00335BA4">
        <w:t>Helpdesk</w:t>
      </w:r>
      <w:proofErr w:type="spellEnd"/>
      <w:r w:rsidR="00AD757A" w:rsidRPr="00335BA4">
        <w:t xml:space="preserve">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proofErr w:type="spellStart"/>
      <w:r w:rsidR="009F646D" w:rsidRPr="00ED6198">
        <w:t>Helpd</w:t>
      </w:r>
      <w:r w:rsidR="00F146D8" w:rsidRPr="00ED6198">
        <w:t>esk</w:t>
      </w:r>
      <w:proofErr w:type="spellEnd"/>
      <w:r w:rsidR="00F146D8" w:rsidRPr="00ED6198">
        <w:t xml:space="preserve">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 xml:space="preserve">u prostřednictvím přímého přístupu do </w:t>
      </w:r>
      <w:proofErr w:type="spellStart"/>
      <w:r w:rsidR="00B37074" w:rsidRPr="00ED6198">
        <w:t>Helpdesku</w:t>
      </w:r>
      <w:proofErr w:type="spellEnd"/>
      <w:r w:rsidR="00B37074" w:rsidRPr="00ED6198">
        <w:t xml:space="preserve"> na webové adrese určené Dodavatelem</w:t>
      </w:r>
      <w:r w:rsidR="00F22481" w:rsidRPr="00ED6198">
        <w:t>/Objednatel</w:t>
      </w:r>
      <w:r w:rsidR="006E50EC" w:rsidRPr="00ED6198">
        <w:t>em</w:t>
      </w:r>
      <w:r w:rsidR="00B37074" w:rsidRPr="00ED6198">
        <w:t xml:space="preserve"> dle provozních podmínek aplikace </w:t>
      </w:r>
      <w:proofErr w:type="spellStart"/>
      <w:r w:rsidR="00B37074" w:rsidRPr="00ED6198">
        <w:t>Helpdesk</w:t>
      </w:r>
      <w:proofErr w:type="spellEnd"/>
      <w:r w:rsidR="00B37074" w:rsidRPr="00ED6198">
        <w:t xml:space="preserve">, případně prostřednictvím přímého datového propojení </w:t>
      </w:r>
      <w:proofErr w:type="spellStart"/>
      <w:r w:rsidR="00B37074" w:rsidRPr="00ED6198">
        <w:t>Helpdesků</w:t>
      </w:r>
      <w:proofErr w:type="spellEnd"/>
      <w:r w:rsidR="00B37074" w:rsidRPr="00ED6198">
        <w:t xml:space="preserve">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proofErr w:type="spellStart"/>
      <w:r w:rsidRPr="00335BA4">
        <w:t>Helpd</w:t>
      </w:r>
      <w:r w:rsidR="00E32E1D" w:rsidRPr="00335BA4">
        <w:t>esk</w:t>
      </w:r>
      <w:proofErr w:type="spellEnd"/>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proofErr w:type="spellStart"/>
      <w:r w:rsidRPr="00335BA4">
        <w:t>Helpd</w:t>
      </w:r>
      <w:r w:rsidR="00E32E1D" w:rsidRPr="00335BA4">
        <w:t>esk</w:t>
      </w:r>
      <w:proofErr w:type="spellEnd"/>
      <w:r w:rsidR="00E32E1D" w:rsidRPr="00335BA4">
        <w:t xml:space="preserve">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proofErr w:type="spellStart"/>
      <w:r w:rsidRPr="00335BA4">
        <w:t>Helpd</w:t>
      </w:r>
      <w:r w:rsidR="00E32E1D" w:rsidRPr="00335BA4">
        <w:t>esku</w:t>
      </w:r>
      <w:proofErr w:type="spellEnd"/>
      <w:r w:rsidR="00E32E1D" w:rsidRPr="00335BA4">
        <w:t xml:space="preserve"> je záznam o veškerých úkonech </w:t>
      </w:r>
      <w:proofErr w:type="spellStart"/>
      <w:r w:rsidRPr="00335BA4">
        <w:t>Helpd</w:t>
      </w:r>
      <w:r w:rsidR="00E32E1D" w:rsidRPr="00335BA4">
        <w:t>esku</w:t>
      </w:r>
      <w:proofErr w:type="spellEnd"/>
      <w:r w:rsidR="00E32E1D" w:rsidRPr="00335BA4">
        <w:t xml:space="preserve">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proofErr w:type="spellStart"/>
      <w:r w:rsidRPr="00ED6198">
        <w:t>Helpdesk</w:t>
      </w:r>
      <w:proofErr w:type="spellEnd"/>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proofErr w:type="spellStart"/>
      <w:r w:rsidRPr="00ED6198">
        <w:t>Helpdesk</w:t>
      </w:r>
      <w:proofErr w:type="spellEnd"/>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proofErr w:type="spellStart"/>
      <w:r w:rsidR="009F646D" w:rsidRPr="00ED6198">
        <w:t>Helpdesk</w:t>
      </w:r>
      <w:proofErr w:type="spellEnd"/>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proofErr w:type="spellStart"/>
      <w:r w:rsidR="009F646D" w:rsidRPr="00ED6198">
        <w:t>Helpdesk</w:t>
      </w:r>
      <w:proofErr w:type="spellEnd"/>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proofErr w:type="spellStart"/>
      <w:r w:rsidR="009F646D" w:rsidRPr="00ED6198">
        <w:t>Helpdesk</w:t>
      </w:r>
      <w:proofErr w:type="spellEnd"/>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proofErr w:type="spellStart"/>
      <w:r w:rsidR="009F646D" w:rsidRPr="00ED6198">
        <w:t>Helpdesk</w:t>
      </w:r>
      <w:proofErr w:type="spellEnd"/>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proofErr w:type="spellStart"/>
      <w:r w:rsidR="009F646D" w:rsidRPr="00ED6198">
        <w:t>Helpdesk</w:t>
      </w:r>
      <w:proofErr w:type="spellEnd"/>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proofErr w:type="spellStart"/>
      <w:r w:rsidR="009F646D" w:rsidRPr="00ED6198">
        <w:t>Helpdesk</w:t>
      </w:r>
      <w:proofErr w:type="spellEnd"/>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lastRenderedPageBreak/>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proofErr w:type="spellStart"/>
      <w:r w:rsidR="009F646D" w:rsidRPr="00ED6198">
        <w:t>Helpdesk</w:t>
      </w:r>
      <w:proofErr w:type="spellEnd"/>
      <w:r w:rsidRPr="00ED6198">
        <w:t xml:space="preserve">, odesláním emailu nebo telefonátem na kontaktní číslo </w:t>
      </w:r>
      <w:proofErr w:type="spellStart"/>
      <w:r w:rsidR="009F646D" w:rsidRPr="00ED6198">
        <w:t>Helpdesk</w:t>
      </w:r>
      <w:proofErr w:type="spellEnd"/>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4083B4B8"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3D6548">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w:t>
      </w:r>
      <w:proofErr w:type="spellStart"/>
      <w:r w:rsidRPr="00335BA4">
        <w:t>Helpdesku</w:t>
      </w:r>
      <w:proofErr w:type="spellEnd"/>
      <w:r w:rsidRPr="00335BA4">
        <w:t xml:space="preserve">, pak se za Čas nahlášení Incidentu považuje čas vytvoření </w:t>
      </w:r>
      <w:proofErr w:type="spellStart"/>
      <w:r w:rsidRPr="00335BA4">
        <w:t>ticketu</w:t>
      </w:r>
      <w:proofErr w:type="spellEnd"/>
      <w:r w:rsidRPr="00335BA4">
        <w:t xml:space="preserve"> v </w:t>
      </w:r>
      <w:proofErr w:type="spellStart"/>
      <w:r w:rsidRPr="00335BA4">
        <w:t>Helpdesku</w:t>
      </w:r>
      <w:proofErr w:type="spellEnd"/>
      <w:r w:rsidRPr="00335BA4">
        <w:t xml:space="preserve">.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 xml:space="preserve">hlášení Incidentu, a to vždy prostřednictvím </w:t>
      </w:r>
      <w:proofErr w:type="spellStart"/>
      <w:r w:rsidRPr="00335BA4">
        <w:t>Helpdesk</w:t>
      </w:r>
      <w:proofErr w:type="spellEnd"/>
      <w:r w:rsidRPr="00335BA4">
        <w:t>.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26F14958"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3D6548">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lastRenderedPageBreak/>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(0 -24)</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6465591B"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3D6548">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3D6548">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3D6548">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lastRenderedPageBreak/>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294961E2"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3D6548">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3D6548">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3D6548">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52CCA895"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3D6548">
        <w:t>16.2</w:t>
      </w:r>
      <w:r w:rsidR="00E95FBF" w:rsidRPr="00335BA4">
        <w:fldChar w:fldCharType="end"/>
      </w:r>
      <w:r w:rsidR="00DA153E" w:rsidRPr="00335BA4">
        <w:t>.</w:t>
      </w:r>
      <w:r w:rsidR="00331774" w:rsidRPr="00335BA4">
        <w:t xml:space="preserve"> </w:t>
      </w:r>
      <w:r w:rsidR="00331774" w:rsidRPr="00335BA4">
        <w:lastRenderedPageBreak/>
        <w:t>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3D6548">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6A9C4E43"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3D6548">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3D6548">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3D6548">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3D6548">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3D6548">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3D6548">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38CDF54E"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3D6548">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ostupnosti servisním modelem  je</w:t>
            </w:r>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0AC526E0"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3D6548">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3631D841"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3D6548">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lastRenderedPageBreak/>
              <w:t>5 do 10 %</w:t>
            </w:r>
          </w:p>
        </w:tc>
        <w:tc>
          <w:tcPr>
            <w:tcW w:w="3872" w:type="dxa"/>
          </w:tcPr>
          <w:p w14:paraId="3484A54C" w14:textId="4D7A50C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3D6548">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17320941"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3D6548">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28F3539A"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3D6548">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43B88FEA"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3D6548">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3D6548">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5D0C489D"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3D6548">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3D6548">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3D6548">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proofErr w:type="spellStart"/>
      <w:r w:rsidR="009F646D" w:rsidRPr="00ED6198">
        <w:t>Helpd</w:t>
      </w:r>
      <w:r w:rsidRPr="00ED6198">
        <w:t>esku</w:t>
      </w:r>
      <w:proofErr w:type="spellEnd"/>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63D2194A"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1009B3F7"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0C7E4E0" w14:textId="7C1A17A3" w:rsidR="006C6152" w:rsidRPr="00ED6198" w:rsidRDefault="006C6152" w:rsidP="00F8193A">
      <w:pPr>
        <w:pStyle w:val="TPText-2slovan"/>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lastRenderedPageBreak/>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F8193A">
      <w:pPr>
        <w:pStyle w:val="TPText-1slovan"/>
        <w:numPr>
          <w:ilvl w:val="2"/>
          <w:numId w:val="93"/>
        </w:numPr>
        <w:jc w:val="both"/>
      </w:pPr>
      <w:bookmarkStart w:id="139" w:name="_Toc103154265"/>
      <w:r w:rsidRPr="00ED6198">
        <w:t>Záruka vztahující se k Hardware</w:t>
      </w:r>
      <w:bookmarkEnd w:id="139"/>
    </w:p>
    <w:p w14:paraId="343EBB3E"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41F969CB"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DF2442C" w14:textId="50E6D154" w:rsidR="00ED61F0" w:rsidRPr="00ED6198" w:rsidRDefault="00ED61F0" w:rsidP="00F8193A">
      <w:pPr>
        <w:pStyle w:val="TPText-2slovan"/>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lastRenderedPageBreak/>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36B97C4E"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3D6548">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77B7A556"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3D6548">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3D6548">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3D6548">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Pr="00335BA4">
        <w:t>ust</w:t>
      </w:r>
      <w:proofErr w:type="spellEnd"/>
      <w:r w:rsidRPr="00335BA4">
        <w: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proofErr w:type="spellStart"/>
      <w:r w:rsidR="00EE1EC2" w:rsidRPr="00335BA4">
        <w:t>ust</w:t>
      </w:r>
      <w:proofErr w:type="spellEnd"/>
      <w:r w:rsidR="00EE1EC2" w:rsidRPr="00335BA4">
        <w:t xml:space="preserve">.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w:t>
      </w:r>
      <w:r w:rsidRPr="00ED6198">
        <w:lastRenderedPageBreak/>
        <w:t xml:space="preserve">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762E19B7"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3D6548">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w:t>
      </w:r>
      <w:r w:rsidR="00637287" w:rsidRPr="00335BA4">
        <w:lastRenderedPageBreak/>
        <w:t xml:space="preserve">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 xml:space="preserve">ohlášením do </w:t>
      </w:r>
      <w:proofErr w:type="spellStart"/>
      <w:r w:rsidRPr="00335BA4">
        <w:t>Helpdesk</w:t>
      </w:r>
      <w:r w:rsidR="001B096A" w:rsidRPr="00335BA4">
        <w:t>u</w:t>
      </w:r>
      <w:proofErr w:type="spellEnd"/>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lastRenderedPageBreak/>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3435EF87"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3D6548">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3D6548">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w:t>
      </w:r>
      <w:r w:rsidRPr="00335BA4">
        <w:lastRenderedPageBreak/>
        <w:t xml:space="preserve">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7CCEDF1C"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3D6548">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18D64A0A"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3D6548">
        <w:t>20</w:t>
      </w:r>
      <w:r w:rsidR="00493B63" w:rsidRPr="00335BA4">
        <w:fldChar w:fldCharType="end"/>
      </w:r>
      <w:r w:rsidR="00E72A10" w:rsidRPr="00335BA4">
        <w:t>.</w:t>
      </w:r>
      <w:r w:rsidR="00CA72F9" w:rsidRPr="00335BA4">
        <w:t xml:space="preserve"> ZOP</w:t>
      </w:r>
      <w:r w:rsidR="00423298" w:rsidRPr="00335BA4">
        <w:t>;</w:t>
      </w:r>
    </w:p>
    <w:p w14:paraId="3FCD6F27" w14:textId="78232885"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3D6548">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767A017F"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3D6548">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0C2FE67B"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3D6548">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w:t>
      </w:r>
      <w:r w:rsidR="00ED54A8" w:rsidRPr="00ED6198">
        <w:lastRenderedPageBreak/>
        <w:t xml:space="preserve">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lastRenderedPageBreak/>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1C174F3C"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3D6548">
        <w:t>22.6</w:t>
      </w:r>
      <w:r w:rsidR="00CA72F9" w:rsidRPr="00ED6198">
        <w:fldChar w:fldCharType="end"/>
      </w:r>
      <w:r w:rsidR="00E72A10" w:rsidRPr="00ED6198">
        <w:t>.</w:t>
      </w:r>
      <w:r w:rsidR="00CA72F9" w:rsidRPr="00ED6198">
        <w:t xml:space="preserve"> ZOP</w:t>
      </w:r>
    </w:p>
    <w:p w14:paraId="1E5F0676" w14:textId="5FEFB6D0"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3D6548">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headerReference w:type="even" r:id="rId10"/>
      <w:headerReference w:type="default" r:id="rId11"/>
      <w:footerReference w:type="even"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6CF201" w14:textId="77777777" w:rsidR="002947D0" w:rsidRDefault="002947D0" w:rsidP="00533FFF">
      <w:pPr>
        <w:spacing w:after="0" w:line="240" w:lineRule="auto"/>
      </w:pPr>
      <w:r>
        <w:separator/>
      </w:r>
    </w:p>
  </w:endnote>
  <w:endnote w:type="continuationSeparator" w:id="0">
    <w:p w14:paraId="5D5E73F9" w14:textId="77777777" w:rsidR="002947D0" w:rsidRDefault="002947D0" w:rsidP="00533FFF">
      <w:pPr>
        <w:spacing w:after="0" w:line="240" w:lineRule="auto"/>
      </w:pPr>
      <w:r>
        <w:continuationSeparator/>
      </w:r>
    </w:p>
  </w:endnote>
  <w:endnote w:type="continuationNotice" w:id="1">
    <w:p w14:paraId="47A50AE0" w14:textId="77777777" w:rsidR="002947D0" w:rsidRDefault="002947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0D3B2" w14:textId="77777777" w:rsidR="00605B5A" w:rsidRDefault="00605B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48AABB67"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14DC323D"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F80972" w14:textId="77777777" w:rsidR="002947D0" w:rsidRDefault="002947D0" w:rsidP="00533FFF">
      <w:pPr>
        <w:spacing w:after="0" w:line="240" w:lineRule="auto"/>
      </w:pPr>
      <w:r>
        <w:separator/>
      </w:r>
    </w:p>
  </w:footnote>
  <w:footnote w:type="continuationSeparator" w:id="0">
    <w:p w14:paraId="74FD3400" w14:textId="77777777" w:rsidR="002947D0" w:rsidRDefault="002947D0" w:rsidP="00533FFF">
      <w:pPr>
        <w:spacing w:after="0" w:line="240" w:lineRule="auto"/>
      </w:pPr>
      <w:r>
        <w:continuationSeparator/>
      </w:r>
    </w:p>
  </w:footnote>
  <w:footnote w:type="continuationNotice" w:id="1">
    <w:p w14:paraId="73F3C591" w14:textId="77777777" w:rsidR="002947D0" w:rsidRDefault="002947D0">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1C589" w14:textId="77777777" w:rsidR="00605B5A" w:rsidRDefault="00605B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79616" w14:textId="77777777" w:rsidR="00E45DA6" w:rsidRDefault="00E45D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 w:numId="91">
    <w:abstractNumId w:val="6"/>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
    <w:lvlOverride w:ilvl="0">
      <w:startOverride w:val="17"/>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47D0"/>
    <w:rsid w:val="0029528F"/>
    <w:rsid w:val="00296922"/>
    <w:rsid w:val="002A0031"/>
    <w:rsid w:val="002A0A07"/>
    <w:rsid w:val="002A0F7C"/>
    <w:rsid w:val="002A2709"/>
    <w:rsid w:val="002A452C"/>
    <w:rsid w:val="002A4E06"/>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246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548"/>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0571"/>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325"/>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5464"/>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0AA"/>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6DD0"/>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1706E"/>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193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89C7048B-213E-4A67-B6B0-37C7AD52E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14580</Words>
  <Characters>86023</Characters>
  <Application>Microsoft Office Word</Application>
  <DocSecurity>0</DocSecurity>
  <Lines>716</Lines>
  <Paragraphs>200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2022-12-06T09:09:00Z</dcterms:created>
  <dcterms:modified xsi:type="dcterms:W3CDTF">2023-06-14T08:04:00Z</dcterms:modified>
</cp:coreProperties>
</file>