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454B" w14:textId="1708D095"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3E0A97">
        <w:rPr>
          <w:rFonts w:eastAsia="Times New Roman" w:cs="Times New Roman"/>
          <w:highlight w:val="yellow"/>
          <w:lang w:eastAsia="cs-CZ"/>
        </w:rPr>
        <w:t xml:space="preserve">Příloha č. </w:t>
      </w:r>
      <w:r w:rsidR="00C920B2">
        <w:rPr>
          <w:rFonts w:eastAsia="Times New Roman" w:cs="Times New Roman"/>
          <w:highlight w:val="yellow"/>
          <w:lang w:eastAsia="cs-CZ"/>
        </w:rPr>
        <w:t>3</w:t>
      </w:r>
      <w:r w:rsidR="00DB295F" w:rsidRPr="003E0A97">
        <w:rPr>
          <w:rFonts w:eastAsia="Times New Roman" w:cs="Times New Roman"/>
          <w:highlight w:val="yellow"/>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59A75D7" w14:textId="71A79BA2" w:rsidR="0002068C" w:rsidRPr="0002068C" w:rsidRDefault="009A0078" w:rsidP="0002068C">
      <w:pPr>
        <w:pStyle w:val="Nzev"/>
        <w:jc w:val="left"/>
      </w:pPr>
      <w:r w:rsidRPr="006062F9">
        <w:t xml:space="preserve">Smlouva o </w:t>
      </w:r>
      <w:r w:rsidR="00A52B36" w:rsidRPr="006062F9">
        <w:t>poskytování služeb</w:t>
      </w:r>
      <w:r w:rsidR="00503B7A" w:rsidRPr="006062F9">
        <w:t xml:space="preserve"> </w:t>
      </w:r>
    </w:p>
    <w:p w14:paraId="1E59925A" w14:textId="77777777" w:rsidR="0002068C" w:rsidRDefault="0002068C" w:rsidP="001202C7">
      <w:pPr>
        <w:overflowPunct w:val="0"/>
        <w:autoSpaceDE w:val="0"/>
        <w:autoSpaceDN w:val="0"/>
        <w:adjustRightInd w:val="0"/>
        <w:spacing w:after="0" w:line="240" w:lineRule="auto"/>
        <w:textAlignment w:val="baseline"/>
        <w:rPr>
          <w:rFonts w:eastAsia="Times New Roman" w:cs="Times New Roman"/>
          <w:b/>
          <w:lang w:eastAsia="cs-CZ"/>
        </w:rPr>
      </w:pPr>
    </w:p>
    <w:p w14:paraId="43880D06" w14:textId="5E2102F2" w:rsidR="001202C7" w:rsidRPr="003E0A97" w:rsidRDefault="001202C7" w:rsidP="001202C7">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3E0A97">
        <w:rPr>
          <w:rFonts w:eastAsia="Times New Roman" w:cs="Times New Roman"/>
          <w:b/>
          <w:lang w:eastAsia="cs-CZ"/>
        </w:rPr>
        <w:t xml:space="preserve">Číslo smlouvy objednatele: </w:t>
      </w:r>
      <w:r w:rsidR="0024533A" w:rsidRPr="003E0A97">
        <w:rPr>
          <w:rFonts w:eastAsia="Times New Roman" w:cs="Times New Roman"/>
          <w:b/>
          <w:highlight w:val="yellow"/>
          <w:lang w:eastAsia="cs-CZ"/>
        </w:rPr>
        <w:t>…………………</w:t>
      </w:r>
      <w:r w:rsidR="00114D30">
        <w:rPr>
          <w:rFonts w:eastAsia="Times New Roman" w:cs="Times New Roman"/>
          <w:b/>
          <w:highlight w:val="yellow"/>
          <w:lang w:eastAsia="cs-CZ"/>
        </w:rPr>
        <w:t>č.j. ……………….</w:t>
      </w:r>
      <w:r w:rsidR="0002068C" w:rsidRPr="003E0A97">
        <w:rPr>
          <w:rFonts w:eastAsia="Times New Roman" w:cs="Times New Roman"/>
          <w:b/>
          <w:highlight w:val="yellow"/>
          <w:lang w:eastAsia="cs-CZ"/>
        </w:rPr>
        <w:t xml:space="preserve"> č. spisu</w:t>
      </w:r>
      <w:r w:rsidR="003F175E" w:rsidRPr="003E0A97">
        <w:rPr>
          <w:rFonts w:eastAsia="Times New Roman" w:cs="Times New Roman"/>
          <w:b/>
          <w:highlight w:val="yellow"/>
          <w:lang w:eastAsia="cs-CZ"/>
        </w:rPr>
        <w:t>:</w:t>
      </w:r>
      <w:r w:rsidR="003F7595" w:rsidRPr="003E0A97">
        <w:rPr>
          <w:rFonts w:eastAsia="Times New Roman" w:cs="Times New Roman"/>
          <w:b/>
          <w:highlight w:val="yellow"/>
          <w:lang w:eastAsia="cs-CZ"/>
        </w:rPr>
        <w:t xml:space="preserve"> </w:t>
      </w:r>
      <w:r w:rsidR="003F175E" w:rsidRPr="003E0A97">
        <w:rPr>
          <w:rFonts w:eastAsia="Times New Roman" w:cs="Times New Roman"/>
          <w:b/>
          <w:highlight w:val="yellow"/>
          <w:lang w:eastAsia="cs-CZ"/>
        </w:rPr>
        <w:t>……………</w:t>
      </w:r>
    </w:p>
    <w:p w14:paraId="55686550" w14:textId="4A640373" w:rsidR="001202C7" w:rsidRPr="003E0A97" w:rsidRDefault="001202C7" w:rsidP="001202C7">
      <w:pPr>
        <w:overflowPunct w:val="0"/>
        <w:autoSpaceDE w:val="0"/>
        <w:autoSpaceDN w:val="0"/>
        <w:adjustRightInd w:val="0"/>
        <w:spacing w:after="0" w:line="240" w:lineRule="auto"/>
        <w:textAlignment w:val="baseline"/>
        <w:rPr>
          <w:rFonts w:eastAsia="Times New Roman" w:cs="Times New Roman"/>
          <w:b/>
          <w:lang w:eastAsia="cs-CZ"/>
        </w:rPr>
      </w:pPr>
      <w:r w:rsidRPr="003E0A97">
        <w:rPr>
          <w:rFonts w:eastAsia="Times New Roman" w:cs="Times New Roman"/>
          <w:b/>
          <w:lang w:eastAsia="cs-CZ"/>
        </w:rPr>
        <w:t xml:space="preserve">Číslo smlouvy </w:t>
      </w:r>
      <w:r w:rsidR="0002068C" w:rsidRPr="003E0A97">
        <w:rPr>
          <w:rFonts w:eastAsia="Times New Roman" w:cs="Times New Roman"/>
          <w:b/>
          <w:lang w:eastAsia="cs-CZ"/>
        </w:rPr>
        <w:t>poskytovatele</w:t>
      </w:r>
      <w:r w:rsidRPr="003E0A97">
        <w:rPr>
          <w:rFonts w:eastAsia="Times New Roman" w:cs="Times New Roman"/>
          <w:b/>
          <w:lang w:eastAsia="cs-CZ"/>
        </w:rPr>
        <w:t>:</w:t>
      </w:r>
      <w:r w:rsidRPr="003E0A97">
        <w:rPr>
          <w:rFonts w:eastAsia="Times New Roman" w:cs="Times New Roman"/>
          <w:b/>
          <w:highlight w:val="green"/>
          <w:lang w:eastAsia="cs-CZ"/>
        </w:rPr>
        <w:t xml:space="preserve"> ………………</w:t>
      </w:r>
    </w:p>
    <w:p w14:paraId="2F32DCBC" w14:textId="77777777" w:rsidR="001202C7" w:rsidRPr="003E0A97" w:rsidRDefault="001202C7" w:rsidP="001202C7">
      <w:pPr>
        <w:overflowPunct w:val="0"/>
        <w:autoSpaceDE w:val="0"/>
        <w:autoSpaceDN w:val="0"/>
        <w:adjustRightInd w:val="0"/>
        <w:spacing w:after="0" w:line="240" w:lineRule="auto"/>
        <w:textAlignment w:val="baseline"/>
        <w:rPr>
          <w:rFonts w:eastAsia="Times New Roman" w:cs="Times New Roman"/>
          <w:b/>
          <w:lang w:eastAsia="cs-CZ"/>
        </w:rPr>
      </w:pPr>
    </w:p>
    <w:p w14:paraId="55A13EF4" w14:textId="77777777" w:rsidR="004E1498" w:rsidRPr="003E0A97"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3E0A97">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3E0A97"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3E0A97"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3E0A97">
        <w:rPr>
          <w:rFonts w:eastAsia="Times New Roman" w:cs="Times New Roman"/>
          <w:b/>
          <w:lang w:eastAsia="cs-CZ"/>
        </w:rPr>
        <w:t>Objednatel:</w:t>
      </w:r>
      <w:r w:rsidRPr="003E0A97">
        <w:rPr>
          <w:rFonts w:eastAsia="Times New Roman" w:cs="Times New Roman"/>
          <w:b/>
          <w:lang w:eastAsia="cs-CZ"/>
        </w:rPr>
        <w:tab/>
        <w:t xml:space="preserve">Správa </w:t>
      </w:r>
      <w:r w:rsidR="006F7CD7" w:rsidRPr="003E0A97">
        <w:rPr>
          <w:rFonts w:eastAsia="Times New Roman" w:cs="Times New Roman"/>
          <w:b/>
          <w:lang w:eastAsia="cs-CZ"/>
        </w:rPr>
        <w:t>železnic</w:t>
      </w:r>
      <w:r w:rsidRPr="003E0A97">
        <w:rPr>
          <w:rFonts w:eastAsia="Times New Roman" w:cs="Times New Roman"/>
          <w:b/>
          <w:lang w:eastAsia="cs-CZ"/>
        </w:rPr>
        <w:t>, státní organizace</w:t>
      </w:r>
    </w:p>
    <w:p w14:paraId="44039C16" w14:textId="77777777" w:rsidR="004E1498" w:rsidRPr="003E0A97"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3E0A97">
        <w:rPr>
          <w:rFonts w:eastAsia="Times New Roman" w:cs="Times New Roman"/>
          <w:lang w:eastAsia="cs-CZ"/>
        </w:rPr>
        <w:tab/>
      </w:r>
      <w:r w:rsidRPr="003E0A97">
        <w:rPr>
          <w:rFonts w:eastAsia="Times New Roman" w:cs="Times New Roman"/>
          <w:lang w:eastAsia="cs-CZ"/>
        </w:rPr>
        <w:tab/>
        <w:t xml:space="preserve">zapsaná v obchodním rejstříku vedeném Městským soudem v Praze pod </w:t>
      </w:r>
      <w:proofErr w:type="spellStart"/>
      <w:r w:rsidRPr="003E0A97">
        <w:rPr>
          <w:rFonts w:eastAsia="Times New Roman" w:cs="Times New Roman"/>
          <w:lang w:eastAsia="cs-CZ"/>
        </w:rPr>
        <w:t>sp</w:t>
      </w:r>
      <w:proofErr w:type="spellEnd"/>
      <w:r w:rsidRPr="003E0A97">
        <w:rPr>
          <w:rFonts w:eastAsia="Times New Roman" w:cs="Times New Roman"/>
          <w:lang w:eastAsia="cs-CZ"/>
        </w:rPr>
        <w:t xml:space="preserve">. zn. </w:t>
      </w:r>
      <w:r w:rsidRPr="003E0A97">
        <w:rPr>
          <w:rFonts w:eastAsia="Times New Roman" w:cs="Times New Roman"/>
          <w:lang w:eastAsia="cs-CZ"/>
        </w:rPr>
        <w:tab/>
      </w:r>
      <w:r w:rsidRPr="003E0A97">
        <w:rPr>
          <w:rFonts w:eastAsia="Times New Roman" w:cs="Times New Roman"/>
          <w:lang w:eastAsia="cs-CZ"/>
        </w:rPr>
        <w:tab/>
        <w:t>A 48384</w:t>
      </w:r>
    </w:p>
    <w:p w14:paraId="5987C205" w14:textId="77777777" w:rsidR="004E1498" w:rsidRPr="003E0A97"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3E0A97">
        <w:rPr>
          <w:rFonts w:eastAsia="Times New Roman" w:cs="Times New Roman"/>
          <w:lang w:eastAsia="cs-CZ"/>
        </w:rPr>
        <w:tab/>
      </w:r>
      <w:r w:rsidRPr="003E0A97">
        <w:rPr>
          <w:rFonts w:eastAsia="Times New Roman" w:cs="Times New Roman"/>
          <w:lang w:eastAsia="cs-CZ"/>
        </w:rPr>
        <w:tab/>
        <w:t>Praha 1 - Nové Město, Dlážděná 1003/7, PSČ 110 00</w:t>
      </w:r>
    </w:p>
    <w:p w14:paraId="482B2557" w14:textId="77777777" w:rsidR="004E1498" w:rsidRPr="003E0A97"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3E0A97">
        <w:rPr>
          <w:rFonts w:eastAsia="Times New Roman" w:cs="Times New Roman"/>
          <w:lang w:eastAsia="cs-CZ"/>
        </w:rPr>
        <w:tab/>
      </w:r>
      <w:r w:rsidRPr="003E0A97">
        <w:rPr>
          <w:rFonts w:eastAsia="Times New Roman" w:cs="Times New Roman"/>
          <w:lang w:eastAsia="cs-CZ"/>
        </w:rPr>
        <w:tab/>
        <w:t>IČO 70994234, DIČ CZ70994234</w:t>
      </w:r>
    </w:p>
    <w:p w14:paraId="27245316" w14:textId="0EE75D5F" w:rsidR="001202C7" w:rsidRPr="003E0A97" w:rsidRDefault="004E1498" w:rsidP="0002068C">
      <w:pPr>
        <w:overflowPunct w:val="0"/>
        <w:autoSpaceDE w:val="0"/>
        <w:autoSpaceDN w:val="0"/>
        <w:adjustRightInd w:val="0"/>
        <w:spacing w:after="0" w:line="240" w:lineRule="auto"/>
        <w:textAlignment w:val="baseline"/>
        <w:rPr>
          <w:rFonts w:eastAsia="Times New Roman" w:cs="Times New Roman"/>
          <w:lang w:eastAsia="cs-CZ"/>
        </w:rPr>
      </w:pPr>
      <w:r w:rsidRPr="003E0A97">
        <w:rPr>
          <w:rFonts w:eastAsia="Times New Roman" w:cs="Times New Roman"/>
          <w:lang w:eastAsia="cs-CZ"/>
        </w:rPr>
        <w:tab/>
      </w:r>
      <w:r w:rsidRPr="003E0A97">
        <w:rPr>
          <w:rFonts w:eastAsia="Times New Roman" w:cs="Times New Roman"/>
          <w:lang w:eastAsia="cs-CZ"/>
        </w:rPr>
        <w:tab/>
      </w:r>
      <w:r w:rsidR="001202C7" w:rsidRPr="003E0A97">
        <w:rPr>
          <w:rFonts w:eastAsia="Times New Roman" w:cs="Times New Roman"/>
          <w:b/>
          <w:lang w:eastAsia="cs-CZ"/>
        </w:rPr>
        <w:t>Organizační složka:</w:t>
      </w:r>
      <w:r w:rsidR="001202C7" w:rsidRPr="003E0A97">
        <w:rPr>
          <w:rFonts w:eastAsia="Times New Roman" w:cs="Times New Roman"/>
          <w:b/>
          <w:lang w:eastAsia="cs-CZ"/>
        </w:rPr>
        <w:tab/>
      </w:r>
      <w:r w:rsidR="001202C7" w:rsidRPr="003E0A97">
        <w:rPr>
          <w:rFonts w:eastAsia="Times New Roman" w:cs="Times New Roman"/>
          <w:bCs/>
          <w:lang w:eastAsia="cs-CZ"/>
        </w:rPr>
        <w:t>Centrum telematiky a diagnostiky (CTD)</w:t>
      </w:r>
    </w:p>
    <w:p w14:paraId="2D837C78" w14:textId="651C1CD3" w:rsidR="0002068C" w:rsidRPr="003E0A97" w:rsidRDefault="001202C7" w:rsidP="0002068C">
      <w:pPr>
        <w:overflowPunct w:val="0"/>
        <w:autoSpaceDE w:val="0"/>
        <w:autoSpaceDN w:val="0"/>
        <w:adjustRightInd w:val="0"/>
        <w:spacing w:after="0" w:line="240" w:lineRule="auto"/>
        <w:textAlignment w:val="baseline"/>
        <w:rPr>
          <w:rFonts w:eastAsia="Times New Roman" w:cs="Times New Roman"/>
          <w:bCs/>
          <w:lang w:eastAsia="cs-CZ"/>
        </w:rPr>
      </w:pPr>
      <w:r w:rsidRPr="003E0A97">
        <w:rPr>
          <w:rFonts w:eastAsia="Times New Roman" w:cs="Times New Roman"/>
          <w:bCs/>
          <w:lang w:eastAsia="cs-CZ"/>
        </w:rPr>
        <w:tab/>
      </w:r>
      <w:r w:rsidRPr="003E0A97">
        <w:rPr>
          <w:rFonts w:eastAsia="Times New Roman" w:cs="Times New Roman"/>
          <w:bCs/>
          <w:lang w:eastAsia="cs-CZ"/>
        </w:rPr>
        <w:tab/>
      </w:r>
      <w:r w:rsidR="003F175E" w:rsidRPr="003E0A97">
        <w:rPr>
          <w:rFonts w:eastAsia="Times New Roman" w:cs="Times New Roman"/>
          <w:bCs/>
          <w:lang w:eastAsia="cs-CZ"/>
        </w:rPr>
        <w:t>Sídlo:</w:t>
      </w:r>
      <w:r w:rsidR="0002068C" w:rsidRPr="003E0A97">
        <w:rPr>
          <w:rFonts w:eastAsia="Times New Roman" w:cs="Times New Roman"/>
          <w:bCs/>
          <w:lang w:eastAsia="cs-CZ"/>
        </w:rPr>
        <w:tab/>
      </w:r>
      <w:r w:rsidRPr="003E0A97">
        <w:rPr>
          <w:rFonts w:eastAsia="Times New Roman" w:cs="Times New Roman"/>
          <w:bCs/>
          <w:lang w:eastAsia="cs-CZ"/>
        </w:rPr>
        <w:tab/>
      </w:r>
      <w:r w:rsidRPr="003E0A97">
        <w:rPr>
          <w:rFonts w:eastAsia="Times New Roman" w:cs="Times New Roman"/>
          <w:bCs/>
          <w:lang w:eastAsia="cs-CZ"/>
        </w:rPr>
        <w:tab/>
        <w:t>Malletova 10, 190 00 Praha 9</w:t>
      </w:r>
    </w:p>
    <w:p w14:paraId="54645482" w14:textId="77777777" w:rsidR="0002068C" w:rsidRPr="003E0A97" w:rsidRDefault="001202C7" w:rsidP="0002068C">
      <w:pPr>
        <w:overflowPunct w:val="0"/>
        <w:autoSpaceDE w:val="0"/>
        <w:autoSpaceDN w:val="0"/>
        <w:adjustRightInd w:val="0"/>
        <w:spacing w:after="0" w:line="240" w:lineRule="auto"/>
        <w:ind w:left="708" w:firstLine="708"/>
        <w:textAlignment w:val="baseline"/>
        <w:rPr>
          <w:rFonts w:eastAsia="Times New Roman"/>
          <w:bCs/>
          <w:lang w:eastAsia="cs-CZ"/>
        </w:rPr>
      </w:pPr>
      <w:r w:rsidRPr="003E0A97">
        <w:rPr>
          <w:rFonts w:eastAsia="Times New Roman"/>
          <w:bCs/>
          <w:lang w:eastAsia="cs-CZ"/>
        </w:rPr>
        <w:t>Zastoupená:</w:t>
      </w:r>
      <w:r w:rsidRPr="003E0A97">
        <w:rPr>
          <w:rFonts w:eastAsia="Times New Roman"/>
          <w:bCs/>
          <w:lang w:eastAsia="cs-CZ"/>
        </w:rPr>
        <w:tab/>
      </w:r>
      <w:r w:rsidRPr="003E0A97">
        <w:rPr>
          <w:rFonts w:eastAsia="Times New Roman"/>
          <w:bCs/>
          <w:lang w:eastAsia="cs-CZ"/>
        </w:rPr>
        <w:tab/>
        <w:t>Ing. Petr Mádle, ředitel organizační složky</w:t>
      </w:r>
    </w:p>
    <w:p w14:paraId="4C5B8906" w14:textId="77777777" w:rsidR="0002068C" w:rsidRPr="003E0A97" w:rsidRDefault="00624856" w:rsidP="0002068C">
      <w:pPr>
        <w:overflowPunct w:val="0"/>
        <w:autoSpaceDE w:val="0"/>
        <w:autoSpaceDN w:val="0"/>
        <w:adjustRightInd w:val="0"/>
        <w:spacing w:after="0" w:line="240" w:lineRule="auto"/>
        <w:ind w:left="708" w:firstLine="708"/>
        <w:textAlignment w:val="baseline"/>
        <w:rPr>
          <w:rFonts w:cstheme="minorHAnsi"/>
        </w:rPr>
      </w:pPr>
      <w:r w:rsidRPr="003E0A97">
        <w:rPr>
          <w:rFonts w:cstheme="minorHAnsi"/>
        </w:rPr>
        <w:t>Bankovní spojení:</w:t>
      </w:r>
      <w:r w:rsidRPr="003E0A97">
        <w:rPr>
          <w:rFonts w:cstheme="minorHAnsi"/>
        </w:rPr>
        <w:tab/>
        <w:t>Česká národní banka</w:t>
      </w:r>
    </w:p>
    <w:p w14:paraId="3786CAE9" w14:textId="209530BE" w:rsidR="00624856" w:rsidRPr="003E0A97" w:rsidRDefault="003F175E" w:rsidP="0002068C">
      <w:pPr>
        <w:overflowPunct w:val="0"/>
        <w:autoSpaceDE w:val="0"/>
        <w:autoSpaceDN w:val="0"/>
        <w:adjustRightInd w:val="0"/>
        <w:spacing w:after="0" w:line="240" w:lineRule="auto"/>
        <w:ind w:left="708" w:firstLine="708"/>
        <w:textAlignment w:val="baseline"/>
        <w:rPr>
          <w:rFonts w:eastAsia="Times New Roman" w:cs="Times New Roman"/>
          <w:bCs/>
          <w:lang w:eastAsia="cs-CZ"/>
        </w:rPr>
      </w:pPr>
      <w:r w:rsidRPr="003E0A97">
        <w:rPr>
          <w:rFonts w:cstheme="minorHAnsi"/>
        </w:rPr>
        <w:t>Č</w:t>
      </w:r>
      <w:r w:rsidR="00624856" w:rsidRPr="003E0A97">
        <w:rPr>
          <w:rFonts w:cstheme="minorHAnsi"/>
        </w:rPr>
        <w:t>íslo účtu:</w:t>
      </w:r>
      <w:r w:rsidR="00624856" w:rsidRPr="003E0A97">
        <w:rPr>
          <w:rFonts w:cstheme="minorHAnsi"/>
        </w:rPr>
        <w:tab/>
      </w:r>
      <w:r w:rsidR="00624856" w:rsidRPr="003E0A97">
        <w:rPr>
          <w:rFonts w:cstheme="minorHAnsi"/>
        </w:rPr>
        <w:tab/>
        <w:t>14606011/0710</w:t>
      </w:r>
    </w:p>
    <w:p w14:paraId="49231BD8" w14:textId="77777777" w:rsidR="00624856" w:rsidRPr="003E0A97" w:rsidRDefault="00624856" w:rsidP="00624856">
      <w:pPr>
        <w:pStyle w:val="Textbezodsazen"/>
        <w:tabs>
          <w:tab w:val="left" w:pos="0"/>
        </w:tabs>
        <w:spacing w:after="0"/>
      </w:pPr>
    </w:p>
    <w:p w14:paraId="62F00715" w14:textId="77777777" w:rsidR="00624856" w:rsidRPr="003E0A97" w:rsidRDefault="00624856" w:rsidP="00624856">
      <w:pPr>
        <w:tabs>
          <w:tab w:val="left" w:pos="993"/>
        </w:tabs>
        <w:spacing w:after="0"/>
        <w:rPr>
          <w:rFonts w:cs="Arial"/>
          <w:b/>
          <w:snapToGrid w:val="0"/>
        </w:rPr>
      </w:pPr>
      <w:r w:rsidRPr="003E0A97">
        <w:rPr>
          <w:rFonts w:cs="Arial"/>
          <w:b/>
          <w:snapToGrid w:val="0"/>
        </w:rPr>
        <w:t xml:space="preserve">Adresa pro doručování písemností </w:t>
      </w:r>
      <w:r w:rsidRPr="003E0A97">
        <w:rPr>
          <w:rFonts w:cs="Arial"/>
          <w:snapToGrid w:val="0"/>
        </w:rPr>
        <w:t>(mimo daňových dokladů)</w:t>
      </w:r>
      <w:r w:rsidRPr="003E0A97">
        <w:rPr>
          <w:rFonts w:cs="Arial"/>
          <w:b/>
          <w:snapToGrid w:val="0"/>
        </w:rPr>
        <w:t>:</w:t>
      </w:r>
    </w:p>
    <w:p w14:paraId="2D4C93C3" w14:textId="77777777" w:rsidR="00624856" w:rsidRPr="003E0A97" w:rsidRDefault="00624856" w:rsidP="00624856">
      <w:pPr>
        <w:pStyle w:val="Textbezodsazen"/>
        <w:spacing w:after="0"/>
        <w:rPr>
          <w:rFonts w:eastAsia="Calibri" w:cstheme="minorHAnsi"/>
        </w:rPr>
      </w:pPr>
      <w:r w:rsidRPr="003E0A97">
        <w:rPr>
          <w:rFonts w:eastAsia="Calibri" w:cstheme="minorHAnsi"/>
        </w:rPr>
        <w:t>Správa železnic, státní organizace</w:t>
      </w:r>
    </w:p>
    <w:p w14:paraId="11A9A0F3" w14:textId="77777777" w:rsidR="003F175E" w:rsidRPr="003E0A97" w:rsidRDefault="00624856" w:rsidP="003F175E">
      <w:pPr>
        <w:pStyle w:val="Textbezodsazen"/>
        <w:spacing w:after="0"/>
        <w:rPr>
          <w:rFonts w:eastAsia="Calibri" w:cstheme="minorHAnsi"/>
        </w:rPr>
      </w:pPr>
      <w:r w:rsidRPr="003E0A97">
        <w:rPr>
          <w:rFonts w:eastAsia="Calibri" w:cstheme="minorHAnsi"/>
        </w:rPr>
        <w:t xml:space="preserve">Centrum telematiky a diagnostiky </w:t>
      </w:r>
    </w:p>
    <w:p w14:paraId="7ACB2788" w14:textId="22577ED6" w:rsidR="00624856" w:rsidRPr="003E0A97" w:rsidRDefault="00624856" w:rsidP="003F175E">
      <w:pPr>
        <w:pStyle w:val="Textbezodsazen"/>
        <w:spacing w:after="0"/>
        <w:rPr>
          <w:rFonts w:eastAsia="Calibri" w:cstheme="minorHAnsi"/>
        </w:rPr>
      </w:pPr>
      <w:r w:rsidRPr="003E0A97">
        <w:rPr>
          <w:rFonts w:eastAsia="Calibri" w:cstheme="minorHAnsi"/>
        </w:rPr>
        <w:t xml:space="preserve">Malletova 2363/10, </w:t>
      </w:r>
    </w:p>
    <w:p w14:paraId="5EB88929" w14:textId="77777777" w:rsidR="00624856" w:rsidRPr="003E0A97" w:rsidRDefault="00624856" w:rsidP="003F175E">
      <w:pPr>
        <w:pStyle w:val="Textbezodsazen"/>
        <w:spacing w:after="0"/>
        <w:rPr>
          <w:rFonts w:eastAsia="Calibri" w:cstheme="minorHAnsi"/>
        </w:rPr>
      </w:pPr>
      <w:r w:rsidRPr="003E0A97">
        <w:rPr>
          <w:rFonts w:eastAsia="Calibri" w:cstheme="minorHAnsi"/>
        </w:rPr>
        <w:t>190 00 Praha 9</w:t>
      </w:r>
    </w:p>
    <w:p w14:paraId="6872D45E" w14:textId="74F630E3" w:rsidR="00624856" w:rsidRPr="003E0A97" w:rsidRDefault="00624856" w:rsidP="003F175E">
      <w:pPr>
        <w:spacing w:after="0"/>
        <w:rPr>
          <w:rFonts w:cs="Arial"/>
        </w:rPr>
      </w:pPr>
      <w:r w:rsidRPr="003E0A97">
        <w:rPr>
          <w:rFonts w:cs="Arial"/>
        </w:rPr>
        <w:t xml:space="preserve">Email: </w:t>
      </w:r>
      <w:hyperlink r:id="rId11" w:history="1">
        <w:r w:rsidRPr="003E0A97">
          <w:rPr>
            <w:rFonts w:cs="Arial"/>
          </w:rPr>
          <w:t>ePodatelnaCTD@spravazeleznic.cz</w:t>
        </w:r>
      </w:hyperlink>
    </w:p>
    <w:p w14:paraId="23BE6097" w14:textId="77777777" w:rsidR="003F175E" w:rsidRPr="003E0A97" w:rsidRDefault="003F175E" w:rsidP="003F175E">
      <w:pPr>
        <w:spacing w:after="0"/>
        <w:rPr>
          <w:rFonts w:cs="Arial"/>
        </w:rPr>
      </w:pPr>
    </w:p>
    <w:p w14:paraId="65CF3F48" w14:textId="77777777" w:rsidR="00624856" w:rsidRPr="003E0A97" w:rsidRDefault="00624856" w:rsidP="00624856">
      <w:pPr>
        <w:tabs>
          <w:tab w:val="left" w:pos="993"/>
        </w:tabs>
        <w:spacing w:after="0"/>
        <w:rPr>
          <w:rFonts w:cs="Arial"/>
          <w:b/>
          <w:snapToGrid w:val="0"/>
        </w:rPr>
      </w:pPr>
      <w:r w:rsidRPr="003E0A97">
        <w:rPr>
          <w:rFonts w:cs="Arial"/>
          <w:b/>
          <w:snapToGrid w:val="0"/>
        </w:rPr>
        <w:t>Adresa pro doručování daňových dokladů v elektronické podobě:</w:t>
      </w:r>
    </w:p>
    <w:p w14:paraId="5ABB87E5" w14:textId="73616B4E" w:rsidR="00624856" w:rsidRPr="003E0A97" w:rsidRDefault="003F175E" w:rsidP="00624856">
      <w:pPr>
        <w:rPr>
          <w:rStyle w:val="Hypertextovodkaz"/>
          <w:rFonts w:cs="Arial"/>
        </w:rPr>
      </w:pPr>
      <w:r w:rsidRPr="003E0A97">
        <w:rPr>
          <w:rFonts w:cs="Arial"/>
        </w:rPr>
        <w:t>E</w:t>
      </w:r>
      <w:r w:rsidR="00624856" w:rsidRPr="003E0A97">
        <w:rPr>
          <w:rFonts w:cs="Arial"/>
        </w:rPr>
        <w:t xml:space="preserve">-mail: </w:t>
      </w:r>
      <w:hyperlink r:id="rId12" w:history="1">
        <w:r w:rsidR="00831E57" w:rsidRPr="003E0A97">
          <w:rPr>
            <w:rStyle w:val="Hypertextovodkaz"/>
            <w:rFonts w:cs="Arial"/>
          </w:rPr>
          <w:t>ePodatelnaCFU@spravazeleznic.cz</w:t>
        </w:r>
      </w:hyperlink>
    </w:p>
    <w:p w14:paraId="0BAB2DFB" w14:textId="77777777" w:rsidR="004E1498" w:rsidRPr="003E0A97"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3E0A97" w:rsidRDefault="00E73DA0"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3E0A97">
        <w:rPr>
          <w:rFonts w:eastAsia="Times New Roman" w:cs="Times New Roman"/>
          <w:b/>
          <w:highlight w:val="green"/>
          <w:lang w:eastAsia="cs-CZ"/>
        </w:rPr>
        <w:t>Poskytovatel</w:t>
      </w:r>
      <w:r w:rsidR="008E1E86" w:rsidRPr="003E0A97">
        <w:rPr>
          <w:rFonts w:eastAsia="Times New Roman" w:cs="Times New Roman"/>
          <w:b/>
          <w:highlight w:val="green"/>
          <w:lang w:eastAsia="cs-CZ"/>
        </w:rPr>
        <w:t>:</w:t>
      </w:r>
      <w:r w:rsidR="008E1E86" w:rsidRPr="003E0A97">
        <w:rPr>
          <w:rFonts w:eastAsia="Times New Roman" w:cs="Times New Roman"/>
          <w:highlight w:val="green"/>
          <w:lang w:eastAsia="cs-CZ"/>
        </w:rPr>
        <w:tab/>
      </w:r>
      <w:r w:rsidR="008E1E86" w:rsidRPr="003E0A97">
        <w:rPr>
          <w:rFonts w:eastAsia="Times New Roman" w:cs="Times New Roman"/>
          <w:i/>
          <w:highlight w:val="green"/>
          <w:lang w:eastAsia="cs-CZ"/>
        </w:rPr>
        <w:t>jméno osoby/název firmy</w:t>
      </w:r>
    </w:p>
    <w:p w14:paraId="19E73E8B" w14:textId="77777777" w:rsidR="008E1E86" w:rsidRPr="003E0A97"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3E0A97">
        <w:rPr>
          <w:rFonts w:eastAsia="Times New Roman" w:cs="Times New Roman"/>
          <w:highlight w:val="green"/>
          <w:lang w:eastAsia="cs-CZ"/>
        </w:rPr>
        <w:tab/>
      </w:r>
      <w:r w:rsidRPr="003E0A97">
        <w:rPr>
          <w:rFonts w:eastAsia="Times New Roman" w:cs="Times New Roman"/>
          <w:highlight w:val="green"/>
          <w:lang w:eastAsia="cs-CZ"/>
        </w:rPr>
        <w:tab/>
      </w:r>
      <w:r w:rsidRPr="003E0A97">
        <w:rPr>
          <w:rFonts w:eastAsia="Times New Roman" w:cs="Times New Roman"/>
          <w:i/>
          <w:highlight w:val="green"/>
          <w:lang w:eastAsia="cs-CZ"/>
        </w:rPr>
        <w:t>údaje o zápisu v evidenci</w:t>
      </w:r>
    </w:p>
    <w:p w14:paraId="57570FFE" w14:textId="77777777" w:rsidR="008E1E86" w:rsidRPr="003E0A97"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3E0A97">
        <w:rPr>
          <w:rFonts w:eastAsia="Times New Roman" w:cs="Times New Roman"/>
          <w:highlight w:val="green"/>
          <w:lang w:eastAsia="cs-CZ"/>
        </w:rPr>
        <w:tab/>
      </w:r>
      <w:r w:rsidRPr="003E0A97">
        <w:rPr>
          <w:rFonts w:eastAsia="Times New Roman" w:cs="Times New Roman"/>
          <w:highlight w:val="green"/>
          <w:lang w:eastAsia="cs-CZ"/>
        </w:rPr>
        <w:tab/>
      </w:r>
      <w:r w:rsidRPr="003E0A97">
        <w:rPr>
          <w:rFonts w:eastAsia="Times New Roman" w:cs="Times New Roman"/>
          <w:i/>
          <w:highlight w:val="green"/>
          <w:lang w:eastAsia="cs-CZ"/>
        </w:rPr>
        <w:t>Sídlo:</w:t>
      </w:r>
    </w:p>
    <w:p w14:paraId="420D77A3" w14:textId="77777777" w:rsidR="008E1E86" w:rsidRPr="003E0A97"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3E0A97">
        <w:rPr>
          <w:rFonts w:eastAsia="Times New Roman" w:cs="Times New Roman"/>
          <w:highlight w:val="green"/>
          <w:lang w:eastAsia="cs-CZ"/>
        </w:rPr>
        <w:tab/>
      </w:r>
      <w:r w:rsidRPr="003E0A97">
        <w:rPr>
          <w:rFonts w:eastAsia="Times New Roman" w:cs="Times New Roman"/>
          <w:highlight w:val="green"/>
          <w:lang w:eastAsia="cs-CZ"/>
        </w:rPr>
        <w:tab/>
        <w:t>IČO ……………………, DIČ …………………</w:t>
      </w:r>
    </w:p>
    <w:p w14:paraId="19B3856E" w14:textId="77777777" w:rsidR="008E1E86" w:rsidRPr="003E0A97"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3E0A97">
        <w:rPr>
          <w:rFonts w:eastAsia="Times New Roman" w:cs="Times New Roman"/>
          <w:highlight w:val="green"/>
          <w:lang w:eastAsia="cs-CZ"/>
        </w:rPr>
        <w:t xml:space="preserve">Bankovní </w:t>
      </w:r>
      <w:proofErr w:type="gramStart"/>
      <w:r w:rsidRPr="003E0A97">
        <w:rPr>
          <w:rFonts w:eastAsia="Times New Roman" w:cs="Times New Roman"/>
          <w:highlight w:val="green"/>
          <w:lang w:eastAsia="cs-CZ"/>
        </w:rPr>
        <w:t>spojení:…</w:t>
      </w:r>
      <w:proofErr w:type="gramEnd"/>
      <w:r w:rsidRPr="003E0A97">
        <w:rPr>
          <w:rFonts w:eastAsia="Times New Roman" w:cs="Times New Roman"/>
          <w:highlight w:val="green"/>
          <w:lang w:eastAsia="cs-CZ"/>
        </w:rPr>
        <w:t>…………………..</w:t>
      </w:r>
    </w:p>
    <w:p w14:paraId="17127EF1" w14:textId="77777777" w:rsidR="008E1E86" w:rsidRPr="003E0A97"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3E0A97">
        <w:rPr>
          <w:rFonts w:eastAsia="Times New Roman" w:cs="Times New Roman"/>
          <w:highlight w:val="green"/>
          <w:lang w:eastAsia="cs-CZ"/>
        </w:rPr>
        <w:t xml:space="preserve">Číslo </w:t>
      </w:r>
      <w:proofErr w:type="gramStart"/>
      <w:r w:rsidRPr="003E0A97">
        <w:rPr>
          <w:rFonts w:eastAsia="Times New Roman" w:cs="Times New Roman"/>
          <w:highlight w:val="green"/>
          <w:lang w:eastAsia="cs-CZ"/>
        </w:rPr>
        <w:t>účtu:…</w:t>
      </w:r>
      <w:proofErr w:type="gramEnd"/>
      <w:r w:rsidRPr="003E0A97">
        <w:rPr>
          <w:rFonts w:eastAsia="Times New Roman" w:cs="Times New Roman"/>
          <w:highlight w:val="green"/>
          <w:lang w:eastAsia="cs-CZ"/>
        </w:rPr>
        <w:t>………………………..</w:t>
      </w:r>
    </w:p>
    <w:p w14:paraId="3B9C9CF2" w14:textId="77777777" w:rsidR="008E1E86" w:rsidRPr="003E0A97"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3E0A97">
        <w:rPr>
          <w:rFonts w:eastAsia="Times New Roman" w:cs="Times New Roman"/>
          <w:highlight w:val="green"/>
          <w:lang w:eastAsia="cs-CZ"/>
        </w:rPr>
        <w:tab/>
      </w:r>
      <w:r w:rsidRPr="003E0A97">
        <w:rPr>
          <w:rFonts w:eastAsia="Times New Roman" w:cs="Times New Roman"/>
          <w:highlight w:val="green"/>
          <w:lang w:eastAsia="cs-CZ"/>
        </w:rPr>
        <w:tab/>
      </w:r>
      <w:r w:rsidRPr="003E0A97">
        <w:rPr>
          <w:rFonts w:eastAsia="Times New Roman" w:cs="Times New Roman"/>
          <w:i/>
          <w:highlight w:val="green"/>
          <w:lang w:eastAsia="cs-CZ"/>
        </w:rPr>
        <w:t>údaje o statutárním orgánu nebo jiné oprávněné osobě</w:t>
      </w:r>
    </w:p>
    <w:p w14:paraId="738793D0" w14:textId="77777777" w:rsidR="00073F1A" w:rsidRPr="004E1498" w:rsidRDefault="00073F1A" w:rsidP="00073F1A">
      <w:pPr>
        <w:overflowPunct w:val="0"/>
        <w:autoSpaceDE w:val="0"/>
        <w:autoSpaceDN w:val="0"/>
        <w:adjustRightInd w:val="0"/>
        <w:spacing w:after="0" w:line="240" w:lineRule="auto"/>
        <w:textAlignment w:val="baseline"/>
        <w:rPr>
          <w:rFonts w:eastAsia="Times New Roman" w:cs="Times New Roman"/>
          <w:i/>
          <w:lang w:eastAsia="cs-CZ"/>
        </w:rPr>
      </w:pPr>
      <w:r w:rsidRPr="00303C57">
        <w:rPr>
          <w:rFonts w:eastAsia="Times New Roman" w:cs="Times New Roman"/>
          <w:i/>
          <w:highlight w:val="green"/>
          <w:lang w:eastAsia="cs-CZ"/>
        </w:rPr>
        <w:t xml:space="preserve">Adresa pro </w:t>
      </w:r>
      <w:r>
        <w:rPr>
          <w:rFonts w:eastAsia="Times New Roman" w:cs="Times New Roman"/>
          <w:i/>
          <w:highlight w:val="green"/>
          <w:lang w:eastAsia="cs-CZ"/>
        </w:rPr>
        <w:t>ode</w:t>
      </w:r>
      <w:r w:rsidRPr="00303C57">
        <w:rPr>
          <w:rFonts w:eastAsia="Times New Roman" w:cs="Times New Roman"/>
          <w:i/>
          <w:highlight w:val="green"/>
          <w:lang w:eastAsia="cs-CZ"/>
        </w:rPr>
        <w:t xml:space="preserve">sílání daňových dokladů v elektronické podobě: </w:t>
      </w:r>
    </w:p>
    <w:p w14:paraId="023DCF01" w14:textId="77777777" w:rsidR="008E1E86" w:rsidRPr="003E0A97"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3E0A97"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3E0A97">
        <w:rPr>
          <w:rFonts w:eastAsia="Times New Roman" w:cs="Times New Roman"/>
          <w:i/>
          <w:lang w:eastAsia="cs-CZ"/>
        </w:rPr>
        <w:tab/>
      </w:r>
      <w:r w:rsidRPr="003E0A97">
        <w:rPr>
          <w:rFonts w:eastAsia="Times New Roman" w:cs="Times New Roman"/>
          <w:i/>
          <w:lang w:eastAsia="cs-CZ"/>
        </w:rPr>
        <w:tab/>
      </w:r>
    </w:p>
    <w:p w14:paraId="50326DD2" w14:textId="79FBC733" w:rsidR="004E1498" w:rsidRPr="003E0A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5D783EBB" w:rsidR="00FA3479" w:rsidRPr="003E0A97" w:rsidRDefault="004E1498" w:rsidP="00D31707">
      <w:pPr>
        <w:jc w:val="both"/>
        <w:rPr>
          <w:rFonts w:eastAsia="Times New Roman" w:cs="Times New Roman"/>
          <w:lang w:eastAsia="cs-CZ"/>
        </w:rPr>
      </w:pPr>
      <w:r w:rsidRPr="003E0A97">
        <w:rPr>
          <w:rFonts w:eastAsia="Times New Roman" w:cs="Times New Roman"/>
          <w:lang w:eastAsia="cs-CZ"/>
        </w:rPr>
        <w:t xml:space="preserve">Tato smlouva je uzavřena na základě výsledků zadávacího řízení veřejné zakázky s názvem </w:t>
      </w:r>
      <w:r w:rsidR="001202C7" w:rsidRPr="00174B11">
        <w:rPr>
          <w:rFonts w:eastAsia="Times New Roman" w:cs="Times New Roman"/>
          <w:lang w:eastAsia="cs-CZ"/>
        </w:rPr>
        <w:t>„</w:t>
      </w:r>
      <w:r w:rsidR="00174B11" w:rsidRPr="00174B11">
        <w:rPr>
          <w:rFonts w:eastAsia="Times New Roman" w:cs="Times New Roman"/>
          <w:b/>
          <w:bCs/>
          <w:lang w:eastAsia="cs-CZ"/>
        </w:rPr>
        <w:t>Zajištění jízdy GPT 2023</w:t>
      </w:r>
      <w:r w:rsidR="001202C7" w:rsidRPr="00174B11">
        <w:rPr>
          <w:rFonts w:eastAsia="Times New Roman" w:cs="Times New Roman"/>
          <w:lang w:eastAsia="cs-CZ"/>
        </w:rPr>
        <w:t>“,</w:t>
      </w:r>
      <w:r w:rsidR="001202C7" w:rsidRPr="003E0A97">
        <w:rPr>
          <w:rFonts w:eastAsia="Times New Roman" w:cs="Times New Roman"/>
          <w:lang w:eastAsia="cs-CZ"/>
        </w:rPr>
        <w:t xml:space="preserve"> </w:t>
      </w:r>
      <w:r w:rsidR="00524163" w:rsidRPr="003E0A97">
        <w:rPr>
          <w:rFonts w:eastAsia="Times New Roman" w:cs="Times New Roman"/>
          <w:lang w:eastAsia="cs-CZ"/>
        </w:rPr>
        <w:t>č.j.</w:t>
      </w:r>
      <w:r w:rsidR="001202C7" w:rsidRPr="003E0A97">
        <w:rPr>
          <w:rFonts w:eastAsia="Times New Roman" w:cs="Times New Roman"/>
          <w:lang w:eastAsia="cs-CZ"/>
        </w:rPr>
        <w:t xml:space="preserve"> veřejné zakázky </w:t>
      </w:r>
      <w:r w:rsidR="0024533A" w:rsidRPr="001F221E">
        <w:rPr>
          <w:rFonts w:eastAsia="Times New Roman" w:cs="Times New Roman"/>
          <w:b/>
          <w:bCs/>
          <w:lang w:eastAsia="cs-CZ"/>
        </w:rPr>
        <w:t>791</w:t>
      </w:r>
      <w:r w:rsidR="001F221E">
        <w:rPr>
          <w:rFonts w:eastAsia="Times New Roman" w:cs="Times New Roman"/>
          <w:b/>
          <w:bCs/>
          <w:lang w:eastAsia="cs-CZ"/>
        </w:rPr>
        <w:t>22029</w:t>
      </w:r>
      <w:r w:rsidR="001202C7" w:rsidRPr="003E0A97">
        <w:rPr>
          <w:rFonts w:eastAsia="Times New Roman" w:cs="Times New Roman"/>
          <w:lang w:eastAsia="cs-CZ"/>
        </w:rPr>
        <w:t xml:space="preserve"> </w:t>
      </w:r>
      <w:r w:rsidR="006062F9" w:rsidRPr="003E0A97">
        <w:rPr>
          <w:rFonts w:eastAsia="Times New Roman" w:cs="Times New Roman"/>
          <w:lang w:eastAsia="cs-CZ"/>
        </w:rPr>
        <w:t xml:space="preserve">(dále jen „veřejná zakázka“). Jednotlivá ustanovení této smlouvy tak budou vykládána v souladu se zadávacími podmínkami veřejné zakázky. </w:t>
      </w:r>
    </w:p>
    <w:p w14:paraId="10278461" w14:textId="77777777" w:rsidR="00FA3479" w:rsidRPr="003E0A97" w:rsidRDefault="00FA3479">
      <w:pPr>
        <w:rPr>
          <w:rFonts w:eastAsia="Times New Roman" w:cs="Times New Roman"/>
          <w:lang w:eastAsia="cs-CZ"/>
        </w:rPr>
      </w:pPr>
      <w:r w:rsidRPr="003E0A97">
        <w:rPr>
          <w:rFonts w:eastAsia="Times New Roman" w:cs="Times New Roman"/>
          <w:lang w:eastAsia="cs-CZ"/>
        </w:rPr>
        <w:br w:type="page"/>
      </w:r>
    </w:p>
    <w:p w14:paraId="642B196F" w14:textId="13C14B28" w:rsidR="004E1498" w:rsidRPr="003E0A97" w:rsidRDefault="00E73DA0" w:rsidP="003D30CA">
      <w:pPr>
        <w:pStyle w:val="Nadpis1"/>
        <w:jc w:val="both"/>
        <w:rPr>
          <w:rFonts w:asciiTheme="minorHAnsi" w:hAnsiTheme="minorHAnsi"/>
        </w:rPr>
      </w:pPr>
      <w:r w:rsidRPr="003E0A97">
        <w:rPr>
          <w:rFonts w:asciiTheme="minorHAnsi" w:hAnsiTheme="minorHAnsi"/>
        </w:rPr>
        <w:lastRenderedPageBreak/>
        <w:t>Služby</w:t>
      </w:r>
    </w:p>
    <w:p w14:paraId="75B8D031" w14:textId="4135F927" w:rsidR="004E1498" w:rsidRPr="003E0A97" w:rsidRDefault="00174B11" w:rsidP="003D30CA">
      <w:pPr>
        <w:pStyle w:val="Nadpis2"/>
      </w:pPr>
      <w:r w:rsidRPr="00174B11">
        <w:t>Předmětem této smlouvy je poskytnutí služeb pro jízdy měřicího vlaku CTD pro měření geometrických parametrů trakčního vedení (GPT) dle Vyhlášky č. 177/1995 Sb. ve znění pozdějších předpisů na tratích Správy železnic, státní organizace. Nedílnou součástí je i návoz měřicího vozu PTZ na slovensko-maďarskou státní hranici při měření na tratích MÁV dle plánu měření GPT.</w:t>
      </w:r>
    </w:p>
    <w:p w14:paraId="4E17D918" w14:textId="5D0207EB" w:rsidR="004E1498" w:rsidRPr="003E0A97" w:rsidRDefault="004E7B39" w:rsidP="003D30CA">
      <w:pPr>
        <w:pStyle w:val="Nadpis1"/>
        <w:jc w:val="both"/>
        <w:rPr>
          <w:rFonts w:asciiTheme="minorHAnsi" w:eastAsia="Times New Roman" w:hAnsiTheme="minorHAnsi"/>
          <w:lang w:eastAsia="cs-CZ"/>
        </w:rPr>
      </w:pPr>
      <w:r w:rsidRPr="003E0A97">
        <w:rPr>
          <w:rFonts w:asciiTheme="minorHAnsi" w:eastAsia="Times New Roman" w:hAnsiTheme="minorHAnsi"/>
          <w:lang w:eastAsia="cs-CZ"/>
        </w:rPr>
        <w:t xml:space="preserve">Předmět </w:t>
      </w:r>
      <w:r w:rsidR="00174B11">
        <w:rPr>
          <w:rFonts w:asciiTheme="minorHAnsi" w:eastAsia="Times New Roman" w:hAnsiTheme="minorHAnsi"/>
          <w:lang w:eastAsia="cs-CZ"/>
        </w:rPr>
        <w:t xml:space="preserve">a požadovaný rozsah </w:t>
      </w:r>
      <w:r w:rsidRPr="003E0A97">
        <w:rPr>
          <w:rFonts w:asciiTheme="minorHAnsi" w:eastAsia="Times New Roman" w:hAnsiTheme="minorHAnsi"/>
          <w:lang w:eastAsia="cs-CZ"/>
        </w:rPr>
        <w:t>služeb</w:t>
      </w:r>
    </w:p>
    <w:p w14:paraId="0F7717B5" w14:textId="1E0B1E50" w:rsidR="00174B11" w:rsidRDefault="00174B11" w:rsidP="003D30CA">
      <w:pPr>
        <w:pStyle w:val="Nadpis2"/>
      </w:pPr>
      <w:r>
        <w:t xml:space="preserve">Měření bude realizováno prostřednictvím vlaku sestaveného z hnacího vozidla nezávislé trakce a měřicího vozu pevných trakčních zařízení (dále MVPTZ) číslo </w:t>
      </w:r>
      <w:proofErr w:type="gramStart"/>
      <w:r w:rsidRPr="00EF6D54">
        <w:rPr>
          <w:u w:val="single"/>
        </w:rPr>
        <w:t xml:space="preserve">CZ </w:t>
      </w:r>
      <w:r>
        <w:t>- SZCZ</w:t>
      </w:r>
      <w:proofErr w:type="gramEnd"/>
      <w:r>
        <w:t xml:space="preserve"> 99 54 </w:t>
      </w:r>
      <w:r w:rsidRPr="00EF6D54">
        <w:rPr>
          <w:u w:val="single"/>
        </w:rPr>
        <w:t>93-63 001</w:t>
      </w:r>
      <w:r>
        <w:t>-7</w:t>
      </w:r>
    </w:p>
    <w:p w14:paraId="07D61442" w14:textId="77777777" w:rsidR="00174B11" w:rsidRPr="00174B11" w:rsidRDefault="00174B11" w:rsidP="003D30CA">
      <w:pPr>
        <w:pStyle w:val="Nadpis2"/>
      </w:pPr>
      <w:r w:rsidRPr="00174B11">
        <w:t>Měření se provádí po hlavních, v ŽST po průběžných kolejích v přímém směru.</w:t>
      </w:r>
    </w:p>
    <w:p w14:paraId="2B3CEC13" w14:textId="77777777" w:rsidR="00174B11" w:rsidRPr="00174B11" w:rsidRDefault="00174B11" w:rsidP="003D30CA">
      <w:pPr>
        <w:pStyle w:val="Nadpis2"/>
      </w:pPr>
      <w:r w:rsidRPr="00174B11">
        <w:t>Měření se bude provádět v pracovních dnech za denního světla.</w:t>
      </w:r>
    </w:p>
    <w:p w14:paraId="67A84CD1" w14:textId="77777777" w:rsidR="00174B11" w:rsidRPr="00174B11" w:rsidRDefault="00174B11" w:rsidP="003D30CA">
      <w:pPr>
        <w:pStyle w:val="Nadpis2"/>
      </w:pPr>
      <w:r w:rsidRPr="00174B11">
        <w:t>Při měření nemusí být dodržena maximální traťová rychlost.</w:t>
      </w:r>
    </w:p>
    <w:p w14:paraId="3DB31BBA" w14:textId="77777777" w:rsidR="00174B11" w:rsidRPr="00174B11" w:rsidRDefault="00174B11" w:rsidP="003D30CA">
      <w:pPr>
        <w:pStyle w:val="Nadpis2"/>
      </w:pPr>
      <w:r w:rsidRPr="00174B11">
        <w:t>Zastavení měřicího vlaku je možné jen z dopravních důvodů, aby nedocházelo k narušení plynulosti jízdy a bylo minimalizováno možné snížení kvality měření.</w:t>
      </w:r>
    </w:p>
    <w:p w14:paraId="58FD4FD4" w14:textId="77777777" w:rsidR="00174B11" w:rsidRPr="00174B11" w:rsidRDefault="00174B11" w:rsidP="003D30CA">
      <w:pPr>
        <w:pStyle w:val="Nadpis2"/>
      </w:pPr>
      <w:r w:rsidRPr="00174B11">
        <w:t>Měření může mimořádně probíhat i během přepravy MVPTZ z důvodu dodatečných a kontrolních měření.</w:t>
      </w:r>
    </w:p>
    <w:p w14:paraId="555487A5" w14:textId="4DE1F97C" w:rsidR="001C39FD" w:rsidRDefault="00174B11" w:rsidP="003D30CA">
      <w:pPr>
        <w:pStyle w:val="Nadpis2"/>
      </w:pPr>
      <w:r w:rsidRPr="00174B11">
        <w:t xml:space="preserve">Měření a přeprava nesmí být zajišťována na vlacích nákladní </w:t>
      </w:r>
      <w:r w:rsidR="00E61E32" w:rsidRPr="00174B11">
        <w:t>dopravy,</w:t>
      </w:r>
      <w:r w:rsidRPr="00174B11">
        <w:t xml:space="preserve"> a to ani na vlacích Nex s přepravou poštovních zásilek.</w:t>
      </w:r>
    </w:p>
    <w:p w14:paraId="22E629AB" w14:textId="77777777" w:rsidR="00180208" w:rsidRPr="00180208" w:rsidRDefault="00180208" w:rsidP="00180208">
      <w:pPr>
        <w:spacing w:after="0"/>
        <w:rPr>
          <w:lang w:eastAsia="cs-CZ"/>
        </w:rPr>
      </w:pPr>
    </w:p>
    <w:p w14:paraId="5B25AC8F" w14:textId="328BD37B" w:rsidR="001C39FD" w:rsidRPr="00180208" w:rsidRDefault="001C39FD" w:rsidP="003D30CA">
      <w:pPr>
        <w:pStyle w:val="Nadpis2"/>
        <w:rPr>
          <w:b/>
          <w:bCs/>
        </w:rPr>
      </w:pPr>
      <w:r w:rsidRPr="00180208">
        <w:rPr>
          <w:b/>
          <w:bCs/>
        </w:rPr>
        <w:t>Poskytovatel musí zajistit:</w:t>
      </w:r>
    </w:p>
    <w:p w14:paraId="393CE7BB" w14:textId="77777777" w:rsidR="00180208" w:rsidRPr="00180208" w:rsidRDefault="00180208" w:rsidP="00180208">
      <w:pPr>
        <w:spacing w:after="0"/>
        <w:rPr>
          <w:lang w:eastAsia="cs-CZ"/>
        </w:rPr>
      </w:pPr>
    </w:p>
    <w:p w14:paraId="5577A64B" w14:textId="77777777" w:rsidR="001C39FD" w:rsidRPr="001C39FD" w:rsidRDefault="001C39FD" w:rsidP="003D30CA">
      <w:pPr>
        <w:pStyle w:val="Nadpis3"/>
      </w:pPr>
      <w:r w:rsidRPr="001C39FD">
        <w:t>Funkci dopravce, tj. zajištění kapacity dopravní cesty, dopravní dokumentace, zajištění posunu, odstavování soupravy pro účely deponie v průběhu měření.</w:t>
      </w:r>
    </w:p>
    <w:p w14:paraId="6CEE102A" w14:textId="7B28A389" w:rsidR="00180208" w:rsidRPr="00180208" w:rsidRDefault="001C39FD" w:rsidP="003D30CA">
      <w:pPr>
        <w:pStyle w:val="Nadpis3"/>
      </w:pPr>
      <w:r w:rsidRPr="001C39FD">
        <w:t>Měřicí jízdy a přepravy měřicího vozu MVPTZ z místa trvalé deponie a zpět dle ročního plánu měření (měřicí cyklus jarní a měřicí cyklus podzimní)</w:t>
      </w:r>
      <w:r w:rsidR="00180208">
        <w:t>.</w:t>
      </w:r>
    </w:p>
    <w:p w14:paraId="418631A3" w14:textId="6116BB39" w:rsidR="00180208" w:rsidRDefault="00180208" w:rsidP="003D30CA">
      <w:pPr>
        <w:pStyle w:val="Nadpis3"/>
      </w:pPr>
      <w:r w:rsidRPr="00180208">
        <w:t>Místo trvalé deponie MVPTZ je hala pro měřicí vozy v železniční stanici Bohumín</w:t>
      </w:r>
      <w:r>
        <w:t>.</w:t>
      </w:r>
    </w:p>
    <w:p w14:paraId="67146AB8" w14:textId="472F6E32" w:rsidR="00180208" w:rsidRDefault="00180208" w:rsidP="003D30CA">
      <w:pPr>
        <w:pStyle w:val="Nadpis3"/>
      </w:pPr>
      <w:r w:rsidRPr="00180208">
        <w:t>Manipulace mezi halou MVPTZ v Bohumíně a železniční stanicí Bohumín.</w:t>
      </w:r>
    </w:p>
    <w:p w14:paraId="241FE4DC" w14:textId="77777777" w:rsidR="00180208" w:rsidRDefault="00180208" w:rsidP="003D30CA">
      <w:pPr>
        <w:pStyle w:val="Nadpis3"/>
      </w:pPr>
      <w:r>
        <w:t>Hnací vozidlo s následujícími požadavky:</w:t>
      </w:r>
    </w:p>
    <w:p w14:paraId="54505175" w14:textId="77777777" w:rsidR="00180208" w:rsidRDefault="00180208" w:rsidP="003D30CA">
      <w:pPr>
        <w:pStyle w:val="Nadpis3"/>
        <w:numPr>
          <w:ilvl w:val="0"/>
          <w:numId w:val="9"/>
        </w:numPr>
      </w:pPr>
      <w:r>
        <w:t>HV nezávislé trakce</w:t>
      </w:r>
    </w:p>
    <w:p w14:paraId="0F987A8B" w14:textId="77777777" w:rsidR="00180208" w:rsidRDefault="00180208" w:rsidP="003D30CA">
      <w:pPr>
        <w:pStyle w:val="Nadpis3"/>
        <w:numPr>
          <w:ilvl w:val="0"/>
          <w:numId w:val="9"/>
        </w:numPr>
      </w:pPr>
      <w:r>
        <w:t>Konstrukční rychlost 100 km/h a vyšší</w:t>
      </w:r>
    </w:p>
    <w:p w14:paraId="3F308E06" w14:textId="77777777" w:rsidR="00180208" w:rsidRDefault="00180208" w:rsidP="003D30CA">
      <w:pPr>
        <w:pStyle w:val="Nadpis3"/>
        <w:numPr>
          <w:ilvl w:val="0"/>
          <w:numId w:val="9"/>
        </w:numPr>
      </w:pPr>
      <w:r>
        <w:t>Funkční vozidlová radiostanice</w:t>
      </w:r>
    </w:p>
    <w:p w14:paraId="352C0756" w14:textId="77777777" w:rsidR="00180208" w:rsidRDefault="00180208" w:rsidP="003D30CA">
      <w:pPr>
        <w:pStyle w:val="Nadpis3"/>
        <w:numPr>
          <w:ilvl w:val="0"/>
          <w:numId w:val="9"/>
        </w:numPr>
      </w:pPr>
      <w:r>
        <w:t>Funkční brzdové a technologické potrubí</w:t>
      </w:r>
    </w:p>
    <w:p w14:paraId="01A3440B" w14:textId="0B342F04" w:rsidR="00180208" w:rsidRDefault="00180208" w:rsidP="003D30CA">
      <w:pPr>
        <w:pStyle w:val="Nadpis3"/>
        <w:numPr>
          <w:ilvl w:val="0"/>
          <w:numId w:val="9"/>
        </w:numPr>
      </w:pPr>
      <w:r>
        <w:t>Funkční elektrické topné spojk</w:t>
      </w:r>
      <w:r w:rsidR="003D30CA">
        <w:t>y</w:t>
      </w:r>
    </w:p>
    <w:p w14:paraId="6BFC69D1" w14:textId="0D393BDA" w:rsidR="003D30CA" w:rsidRDefault="003D30CA" w:rsidP="003D30CA">
      <w:pPr>
        <w:pStyle w:val="Nadpis3"/>
      </w:pPr>
      <w:r w:rsidRPr="003D30CA">
        <w:t>Strojvedoucího s poznáním příslušných tratí daných plánem měření a s poznáním pro elektrickou trakci.</w:t>
      </w:r>
    </w:p>
    <w:p w14:paraId="67B9DBFB" w14:textId="5A1EBB30" w:rsidR="003D30CA" w:rsidRPr="003D30CA" w:rsidRDefault="003D30CA" w:rsidP="003D30CA">
      <w:pPr>
        <w:pStyle w:val="Nadpis3"/>
      </w:pPr>
      <w:r w:rsidRPr="003D30CA">
        <w:t>V případě potřeby odstavení MVPTZ na kolej bez trakčního vedení.</w:t>
      </w:r>
    </w:p>
    <w:p w14:paraId="6A1DFC63" w14:textId="77777777" w:rsidR="003D30CA" w:rsidRPr="003D30CA" w:rsidRDefault="003D30CA" w:rsidP="003D30CA">
      <w:pPr>
        <w:pStyle w:val="Nadpis3"/>
      </w:pPr>
      <w:r w:rsidRPr="003D30CA">
        <w:t>V rámci deponie v průběhu měření dle potřeby vodního hospodářství vozu doplnění vodou a vyprázdnění fekální nádrže.</w:t>
      </w:r>
    </w:p>
    <w:p w14:paraId="0C466F4E" w14:textId="37E5686E" w:rsidR="003D30CA" w:rsidRDefault="003D30CA" w:rsidP="003D30CA">
      <w:pPr>
        <w:pStyle w:val="Nadpis3"/>
      </w:pPr>
      <w:r w:rsidRPr="003D30CA">
        <w:t xml:space="preserve">Při deponii v průběhu měření připojení měřicího vozu na vnější elektrovodnou síť 3x400V/50 Hz s jištěním min. 32 A nebo k </w:t>
      </w:r>
      <w:proofErr w:type="spellStart"/>
      <w:r w:rsidRPr="003D30CA">
        <w:t>předtápěcímu</w:t>
      </w:r>
      <w:proofErr w:type="spellEnd"/>
      <w:r w:rsidRPr="003D30CA">
        <w:t xml:space="preserve"> stojanu EPZ.</w:t>
      </w:r>
    </w:p>
    <w:p w14:paraId="76E4237E" w14:textId="77777777" w:rsidR="00C31D25" w:rsidRPr="00C31D25" w:rsidRDefault="00C31D25" w:rsidP="00C31D25">
      <w:pPr>
        <w:spacing w:after="0"/>
        <w:rPr>
          <w:lang w:eastAsia="cs-CZ"/>
        </w:rPr>
      </w:pPr>
    </w:p>
    <w:p w14:paraId="3EE39033" w14:textId="767C6801" w:rsidR="003D30CA" w:rsidRDefault="003D30CA" w:rsidP="00C31D25">
      <w:pPr>
        <w:pStyle w:val="Nadpis2"/>
      </w:pPr>
      <w:r>
        <w:t>Během měření a přepravy musí být měřicí vůz propojen s hnacím vozidlem brzdovým a technologickým vzduchovým potrubím a elektrickým kabelem topné spojky.</w:t>
      </w:r>
    </w:p>
    <w:p w14:paraId="3B1FBA70" w14:textId="5C72F1DE" w:rsidR="003D30CA" w:rsidRDefault="003D30CA" w:rsidP="003D30CA">
      <w:pPr>
        <w:pStyle w:val="Nadpis2"/>
      </w:pPr>
      <w:r>
        <w:t>Obsluha hnacího vozidla zajistí trvalé napájení vozu prostřednictvím topné spojky.</w:t>
      </w:r>
    </w:p>
    <w:p w14:paraId="4B402038" w14:textId="16EAB048" w:rsidR="003D30CA" w:rsidRDefault="003D30CA" w:rsidP="003D30CA">
      <w:pPr>
        <w:pStyle w:val="Nadpis2"/>
      </w:pPr>
      <w:r>
        <w:t>Personál dopravce zabezpečující přivěšování a odvěšování MVPTZ musí být osoby poučené podle přílohy č. 4 Vyhlášky MD č.100/95 – oprávnění pro manipulaci s elektrickými topnými spojkami.</w:t>
      </w:r>
    </w:p>
    <w:p w14:paraId="7620F3C2" w14:textId="00D198A4" w:rsidR="003D30CA" w:rsidRDefault="003D30CA" w:rsidP="003D30CA">
      <w:pPr>
        <w:pStyle w:val="Nadpis2"/>
      </w:pPr>
      <w:r>
        <w:t>Během měření i během přepravy bude posádka zpravována o mimořádnostech v dopravě.</w:t>
      </w:r>
    </w:p>
    <w:p w14:paraId="69345D7F" w14:textId="4953B49D" w:rsidR="003D30CA" w:rsidRDefault="003D30CA" w:rsidP="003D30CA">
      <w:pPr>
        <w:pStyle w:val="Nadpis2"/>
      </w:pPr>
      <w:r>
        <w:t>Označení měřicího vlaku při zadání objednávky do systému KADR, v části hlavní element identifikace TR vlaku, kódem MVPTZ.</w:t>
      </w:r>
    </w:p>
    <w:p w14:paraId="18F3D371" w14:textId="08261A50" w:rsidR="003D30CA" w:rsidRDefault="003D30CA" w:rsidP="003D30CA">
      <w:pPr>
        <w:pStyle w:val="Nadpis2"/>
      </w:pPr>
      <w:r>
        <w:t>Při deponii v průběhu měření je třeba mít ohled na skutečnost, že měřicí vůz bude trvale obsazen posádkou.</w:t>
      </w:r>
    </w:p>
    <w:p w14:paraId="69A5CEC3" w14:textId="04DF8AEE" w:rsidR="001C39FD" w:rsidRDefault="003D30CA" w:rsidP="003D30CA">
      <w:pPr>
        <w:pStyle w:val="Nadpis2"/>
      </w:pPr>
      <w:r>
        <w:t>V případě neschopnosti HV zajištění náhradního HV srovnatelných parametrů, včetně strojvedoucího do 4 hod na celém území ČR tak, aby nedošlo k narušení harmonogramu měření v následujících dnech.</w:t>
      </w:r>
    </w:p>
    <w:p w14:paraId="0EE17FF1" w14:textId="77777777" w:rsidR="00A423CF" w:rsidRPr="00A423CF" w:rsidRDefault="00A423CF" w:rsidP="00A423CF">
      <w:pPr>
        <w:rPr>
          <w:lang w:eastAsia="cs-CZ"/>
        </w:rPr>
      </w:pPr>
    </w:p>
    <w:p w14:paraId="76EA3181" w14:textId="5BC21891" w:rsidR="00A423CF" w:rsidRPr="00A423CF" w:rsidRDefault="004E1498" w:rsidP="00A423CF">
      <w:pPr>
        <w:pStyle w:val="Nadpis1"/>
        <w:jc w:val="both"/>
        <w:rPr>
          <w:rFonts w:asciiTheme="minorHAnsi" w:eastAsia="Times New Roman" w:hAnsiTheme="minorHAnsi"/>
          <w:lang w:eastAsia="cs-CZ"/>
        </w:rPr>
      </w:pPr>
      <w:r w:rsidRPr="003E0A97">
        <w:rPr>
          <w:rFonts w:asciiTheme="minorHAnsi" w:eastAsia="Times New Roman" w:hAnsiTheme="minorHAnsi"/>
          <w:lang w:eastAsia="cs-CZ"/>
        </w:rPr>
        <w:lastRenderedPageBreak/>
        <w:t xml:space="preserve">Cena </w:t>
      </w:r>
      <w:r w:rsidR="00E73DA0" w:rsidRPr="003E0A97">
        <w:rPr>
          <w:rFonts w:asciiTheme="minorHAnsi" w:eastAsia="Times New Roman" w:hAnsiTheme="minorHAnsi"/>
          <w:lang w:eastAsia="cs-CZ"/>
        </w:rPr>
        <w:t>předmětu služeb</w:t>
      </w:r>
      <w:r w:rsidR="00503B7A" w:rsidRPr="003E0A97">
        <w:rPr>
          <w:rFonts w:asciiTheme="minorHAnsi" w:eastAsia="Times New Roman" w:hAnsiTheme="minorHAnsi"/>
          <w:lang w:eastAsia="cs-CZ"/>
        </w:rPr>
        <w:t xml:space="preserve"> </w:t>
      </w:r>
    </w:p>
    <w:p w14:paraId="31BF716A" w14:textId="76A6177D" w:rsidR="00524163" w:rsidRPr="00114D30" w:rsidRDefault="00524163" w:rsidP="003D30CA">
      <w:pPr>
        <w:pStyle w:val="Nadpis2"/>
        <w:numPr>
          <w:ilvl w:val="1"/>
          <w:numId w:val="7"/>
        </w:numPr>
        <w:rPr>
          <w:highlight w:val="green"/>
        </w:rPr>
      </w:pPr>
      <w:r w:rsidRPr="00114D30">
        <w:rPr>
          <w:rFonts w:cs="Calibri"/>
          <w:highlight w:val="green"/>
        </w:rPr>
        <w:t>Cena celkem bez DPH</w:t>
      </w:r>
      <w:r w:rsidRPr="00114D30">
        <w:rPr>
          <w:rFonts w:cs="Calibri"/>
          <w:highlight w:val="green"/>
        </w:rPr>
        <w:tab/>
      </w:r>
      <w:r w:rsidRPr="00114D30">
        <w:rPr>
          <w:rFonts w:cs="Calibri"/>
          <w:highlight w:val="green"/>
        </w:rPr>
        <w:tab/>
      </w:r>
      <w:r w:rsidRPr="00114D30">
        <w:rPr>
          <w:rFonts w:cs="Calibri"/>
          <w:highlight w:val="green"/>
        </w:rPr>
        <w:tab/>
        <w:t>………………… Kč</w:t>
      </w:r>
    </w:p>
    <w:p w14:paraId="186EBD10" w14:textId="77777777" w:rsidR="00524163" w:rsidRPr="00114D30" w:rsidRDefault="00524163" w:rsidP="002E10A0">
      <w:pPr>
        <w:spacing w:after="0" w:line="240" w:lineRule="auto"/>
        <w:ind w:firstLine="576"/>
        <w:contextualSpacing/>
        <w:rPr>
          <w:rFonts w:cs="Calibri"/>
          <w:highlight w:val="green"/>
        </w:rPr>
      </w:pPr>
      <w:r w:rsidRPr="00114D30">
        <w:rPr>
          <w:rFonts w:cs="Calibri"/>
          <w:highlight w:val="green"/>
        </w:rPr>
        <w:t>Výše DPH</w:t>
      </w:r>
      <w:r w:rsidRPr="00114D30">
        <w:rPr>
          <w:rFonts w:cs="Calibri"/>
          <w:highlight w:val="green"/>
        </w:rPr>
        <w:tab/>
      </w:r>
      <w:r w:rsidRPr="00114D30">
        <w:rPr>
          <w:rFonts w:cs="Calibri"/>
          <w:highlight w:val="green"/>
        </w:rPr>
        <w:tab/>
      </w:r>
      <w:r w:rsidRPr="00114D30">
        <w:rPr>
          <w:rFonts w:cs="Calibri"/>
          <w:highlight w:val="green"/>
        </w:rPr>
        <w:tab/>
      </w:r>
      <w:r w:rsidRPr="00114D30">
        <w:rPr>
          <w:rFonts w:cs="Calibri"/>
          <w:highlight w:val="green"/>
        </w:rPr>
        <w:tab/>
        <w:t>………………… Kč</w:t>
      </w:r>
    </w:p>
    <w:p w14:paraId="528D98A5" w14:textId="7BF5EBDB" w:rsidR="00417E0E" w:rsidRDefault="00524163" w:rsidP="002E10A0">
      <w:pPr>
        <w:spacing w:after="0" w:line="240" w:lineRule="auto"/>
        <w:ind w:firstLine="576"/>
        <w:contextualSpacing/>
        <w:rPr>
          <w:rFonts w:cs="Calibri"/>
        </w:rPr>
      </w:pPr>
      <w:r w:rsidRPr="00114D30">
        <w:rPr>
          <w:rFonts w:cs="Calibri"/>
          <w:highlight w:val="green"/>
        </w:rPr>
        <w:t>Cena celkem s DPH</w:t>
      </w:r>
      <w:r w:rsidRPr="00114D30">
        <w:rPr>
          <w:rFonts w:cs="Calibri"/>
          <w:highlight w:val="green"/>
        </w:rPr>
        <w:tab/>
      </w:r>
      <w:r w:rsidRPr="00114D30">
        <w:rPr>
          <w:rFonts w:cs="Calibri"/>
          <w:highlight w:val="green"/>
        </w:rPr>
        <w:tab/>
      </w:r>
      <w:r w:rsidRPr="00114D30">
        <w:rPr>
          <w:rFonts w:cs="Calibri"/>
          <w:highlight w:val="green"/>
        </w:rPr>
        <w:tab/>
        <w:t>………………… Kč</w:t>
      </w:r>
    </w:p>
    <w:p w14:paraId="24663050" w14:textId="77777777" w:rsidR="00A423CF" w:rsidRPr="003E0A97" w:rsidRDefault="00A423CF" w:rsidP="002E10A0">
      <w:pPr>
        <w:spacing w:after="0" w:line="240" w:lineRule="auto"/>
        <w:ind w:firstLine="576"/>
        <w:contextualSpacing/>
        <w:rPr>
          <w:rFonts w:cs="Calibri"/>
          <w:b/>
        </w:rPr>
      </w:pPr>
    </w:p>
    <w:p w14:paraId="17CF700C" w14:textId="77777777" w:rsidR="00417E0E" w:rsidRPr="003E0A97" w:rsidRDefault="00417E0E" w:rsidP="00624856">
      <w:pPr>
        <w:spacing w:after="0" w:line="240" w:lineRule="auto"/>
        <w:ind w:left="2124" w:firstLine="708"/>
        <w:jc w:val="both"/>
      </w:pPr>
    </w:p>
    <w:p w14:paraId="3A72E338" w14:textId="07CDE49B" w:rsidR="003F7595" w:rsidRPr="003E0A97" w:rsidRDefault="00B55BD5" w:rsidP="003D30CA">
      <w:pPr>
        <w:pStyle w:val="Nadpis2"/>
        <w:spacing w:after="240"/>
        <w:rPr>
          <w:b/>
          <w:bCs/>
        </w:rPr>
      </w:pPr>
      <w:bookmarkStart w:id="0" w:name="_Hlk89952393"/>
      <w:r w:rsidRPr="003E0A97">
        <w:rPr>
          <w:b/>
          <w:bCs/>
        </w:rPr>
        <w:t xml:space="preserve">Fakturace </w:t>
      </w:r>
    </w:p>
    <w:bookmarkEnd w:id="0"/>
    <w:p w14:paraId="5D23E62B" w14:textId="5401A725" w:rsidR="00C0637F" w:rsidRPr="002F45C8" w:rsidRDefault="00114D30" w:rsidP="003D30CA">
      <w:pPr>
        <w:pStyle w:val="Nadpis3"/>
        <w:rPr>
          <w:rFonts w:cs="Calibri"/>
          <w:b/>
          <w:highlight w:val="yellow"/>
        </w:rPr>
      </w:pPr>
      <w:r w:rsidRPr="002F45C8">
        <w:rPr>
          <w:highlight w:val="yellow"/>
        </w:rPr>
        <w:t>Poskytovatel vystaví daňový doklad po dokončení Plánu jízd za období 2023 s výsledným vyúčtováním jízd za období 2023.</w:t>
      </w:r>
    </w:p>
    <w:p w14:paraId="38FFCE17" w14:textId="5C58182D" w:rsidR="00C0637F" w:rsidRPr="003E0A97" w:rsidRDefault="001202C7" w:rsidP="003D30CA">
      <w:pPr>
        <w:pStyle w:val="Nadpis3"/>
        <w:rPr>
          <w:rFonts w:cs="Calibri"/>
          <w:b/>
        </w:rPr>
      </w:pPr>
      <w:r w:rsidRPr="003E0A97">
        <w:t xml:space="preserve">Zaplacení smluvní ceny provede </w:t>
      </w:r>
      <w:r w:rsidR="00B821C3" w:rsidRPr="003E0A97">
        <w:t>O</w:t>
      </w:r>
      <w:r w:rsidRPr="003E0A97">
        <w:t xml:space="preserve">bjednatel úhradou faktury vystavené na jméno uvedeného Objednatele, tj. Správa železnic, státní organizace, se sídlem Praha 1, Nové Město, Dlážděná 1003/7, IČ: 70994234, zapsaná v obchodním rejstříku vedeném Městským soudem v Praze, oddíl A, vložka 48384 </w:t>
      </w:r>
      <w:r w:rsidR="00DC3559">
        <w:t xml:space="preserve">doručené </w:t>
      </w:r>
      <w:r w:rsidRPr="003E0A97">
        <w:t xml:space="preserve">elektronicky na adresu: </w:t>
      </w:r>
      <w:r w:rsidR="008F06E9" w:rsidRPr="003E0A97">
        <w:rPr>
          <w:b/>
          <w:bCs/>
        </w:rPr>
        <w:t>ePodatelnaCFU@spravazeleznic.cz</w:t>
      </w:r>
      <w:r w:rsidRPr="003E0A97">
        <w:t>.</w:t>
      </w:r>
      <w:r w:rsidR="004C2FB0" w:rsidRPr="003E0A97">
        <w:t xml:space="preserve"> </w:t>
      </w:r>
      <w:r w:rsidR="007740B1">
        <w:t>Faktura</w:t>
      </w:r>
      <w:r w:rsidR="004C2FB0" w:rsidRPr="003E0A97">
        <w:t xml:space="preserve"> musí vždy obsahovat číslo Smlouvy o </w:t>
      </w:r>
      <w:r w:rsidR="00C23B97">
        <w:t>poskytování služeb</w:t>
      </w:r>
      <w:r w:rsidR="004C2FB0" w:rsidRPr="003E0A97">
        <w:t xml:space="preserve"> dle číselníku Objednatele.</w:t>
      </w:r>
    </w:p>
    <w:p w14:paraId="1AFBED57" w14:textId="77777777" w:rsidR="004E1498" w:rsidRPr="003E0A97" w:rsidRDefault="004E1498" w:rsidP="003D30CA">
      <w:pPr>
        <w:pStyle w:val="Nadpis1"/>
        <w:jc w:val="both"/>
        <w:rPr>
          <w:rFonts w:asciiTheme="minorHAnsi" w:eastAsia="Times New Roman" w:hAnsiTheme="minorHAnsi"/>
          <w:lang w:eastAsia="cs-CZ"/>
        </w:rPr>
      </w:pPr>
      <w:r w:rsidRPr="003E0A97">
        <w:rPr>
          <w:rFonts w:asciiTheme="minorHAnsi" w:eastAsia="Times New Roman" w:hAnsiTheme="minorHAnsi"/>
          <w:lang w:eastAsia="cs-CZ"/>
        </w:rPr>
        <w:t>Místo a doba plnění</w:t>
      </w:r>
    </w:p>
    <w:p w14:paraId="4DCCF507" w14:textId="2FF3C83F" w:rsidR="004E1498" w:rsidRPr="003E0A97" w:rsidRDefault="00093D7C" w:rsidP="00093D7C">
      <w:pPr>
        <w:pStyle w:val="Nadpis2"/>
      </w:pPr>
      <w:r>
        <w:t>Poskytovatel zahájí plnění předmětu Smlouvy dle Plánu jízd, uvedeného v příloze č. 1 této Smlouvy.</w:t>
      </w:r>
    </w:p>
    <w:p w14:paraId="4B7406E8" w14:textId="491553A5" w:rsidR="00C0637F" w:rsidRDefault="00093D7C" w:rsidP="00093D7C">
      <w:pPr>
        <w:pStyle w:val="Nadpis2"/>
      </w:pPr>
      <w:r>
        <w:t>Doba plnění předmětu smlouvy je specifikována Plánem jízd, uvedeného v příloze č. 1 této Smlouvy.</w:t>
      </w:r>
    </w:p>
    <w:p w14:paraId="69ECD415" w14:textId="77777777" w:rsidR="00E77EEC" w:rsidRDefault="00093D7C" w:rsidP="00A423CF">
      <w:pPr>
        <w:pStyle w:val="Nadpis2"/>
        <w:rPr>
          <w:b/>
          <w:bCs/>
        </w:rPr>
      </w:pPr>
      <w:r w:rsidRPr="00093D7C">
        <w:t xml:space="preserve">Předmět Smlouvy musí být splněn nejpozději </w:t>
      </w:r>
      <w:r w:rsidRPr="00093D7C">
        <w:rPr>
          <w:b/>
          <w:bCs/>
          <w:highlight w:val="yellow"/>
        </w:rPr>
        <w:t>do 31. 12. 2023.</w:t>
      </w:r>
    </w:p>
    <w:p w14:paraId="575ADA69" w14:textId="427C8337" w:rsidR="00A423CF" w:rsidRPr="00E77EEC" w:rsidRDefault="00E77EEC" w:rsidP="00A423CF">
      <w:pPr>
        <w:pStyle w:val="Nadpis2"/>
        <w:rPr>
          <w:b/>
          <w:bCs/>
        </w:rPr>
      </w:pPr>
      <w:r w:rsidRPr="00E77EEC">
        <w:t xml:space="preserve">Smlouva se uzavírá na dobu určitou </w:t>
      </w:r>
      <w:r w:rsidRPr="00E77EEC">
        <w:rPr>
          <w:b/>
          <w:bCs/>
          <w:highlight w:val="yellow"/>
        </w:rPr>
        <w:t>do 30.1.2024.</w:t>
      </w:r>
    </w:p>
    <w:p w14:paraId="6AB95EED" w14:textId="31CEEEE4" w:rsidR="00093D7C" w:rsidRPr="002F45C8" w:rsidRDefault="00093D7C" w:rsidP="00093D7C">
      <w:pPr>
        <w:pStyle w:val="Nadpis2"/>
      </w:pPr>
      <w:r w:rsidRPr="002F45C8">
        <w:t>Místem plnění předmětu Smlouvy je železniční dopravní cesta ve správě Objednatele. Identifikace jízd měřícího a diagnostického vlaku Objednatele je uvedena v příloze č. 1</w:t>
      </w:r>
      <w:r w:rsidR="002F45C8" w:rsidRPr="002F45C8">
        <w:t xml:space="preserve"> této Smlouvy.</w:t>
      </w:r>
    </w:p>
    <w:p w14:paraId="56F64F11" w14:textId="77777777" w:rsidR="00C0637F" w:rsidRPr="00093D7C" w:rsidRDefault="00C0637F" w:rsidP="003D30CA">
      <w:pPr>
        <w:pStyle w:val="Nadpis1"/>
        <w:rPr>
          <w:rFonts w:asciiTheme="minorHAnsi" w:eastAsia="Times New Roman" w:hAnsiTheme="minorHAnsi"/>
          <w:lang w:eastAsia="cs-CZ"/>
        </w:rPr>
      </w:pPr>
      <w:r w:rsidRPr="00093D7C">
        <w:rPr>
          <w:rFonts w:asciiTheme="minorHAnsi" w:eastAsia="Times New Roman" w:hAnsiTheme="minorHAnsi"/>
          <w:lang w:eastAsia="cs-CZ"/>
        </w:rPr>
        <w:t>Poddodavatelé</w:t>
      </w:r>
    </w:p>
    <w:p w14:paraId="2ABB111F" w14:textId="055CEFBB" w:rsidR="002F45C8" w:rsidRDefault="00C0637F" w:rsidP="002F45C8">
      <w:pPr>
        <w:pStyle w:val="Nadpis2"/>
        <w:jc w:val="left"/>
      </w:pPr>
      <w:r w:rsidRPr="00093D7C">
        <w:t xml:space="preserve">Na provedení předmětu služeb se </w:t>
      </w:r>
      <w:r w:rsidR="00093D7C" w:rsidRPr="00093D7C">
        <w:t>ne</w:t>
      </w:r>
      <w:r w:rsidRPr="00093D7C">
        <w:t>budou podílet poddodavatelé</w:t>
      </w:r>
      <w:r w:rsidR="00093D7C" w:rsidRPr="00093D7C">
        <w:t>.</w:t>
      </w:r>
    </w:p>
    <w:p w14:paraId="69606CAA" w14:textId="77777777" w:rsidR="002F45C8" w:rsidRPr="002F45C8" w:rsidRDefault="002F45C8" w:rsidP="002F45C8">
      <w:pPr>
        <w:numPr>
          <w:ilvl w:val="0"/>
          <w:numId w:val="6"/>
        </w:numPr>
        <w:suppressAutoHyphens/>
        <w:spacing w:before="320" w:after="120" w:line="240" w:lineRule="auto"/>
        <w:jc w:val="both"/>
        <w:outlineLvl w:val="0"/>
        <w:rPr>
          <w:rFonts w:asciiTheme="majorHAnsi" w:eastAsiaTheme="majorEastAsia" w:hAnsiTheme="majorHAnsi" w:cstheme="majorBidi"/>
          <w:b/>
          <w:spacing w:val="-6"/>
          <w:u w:val="single"/>
          <w:lang w:eastAsia="cs-CZ"/>
        </w:rPr>
      </w:pPr>
      <w:r w:rsidRPr="002F45C8">
        <w:rPr>
          <w:rFonts w:asciiTheme="majorHAnsi" w:eastAsiaTheme="majorEastAsia" w:hAnsiTheme="majorHAnsi" w:cstheme="majorBidi"/>
          <w:b/>
          <w:spacing w:val="-6"/>
          <w:u w:val="single"/>
          <w:lang w:eastAsia="cs-CZ"/>
        </w:rPr>
        <w:t>Záruka a Odpovědnost za škodu</w:t>
      </w:r>
    </w:p>
    <w:p w14:paraId="44B7ECA7" w14:textId="77777777" w:rsidR="002F45C8" w:rsidRDefault="002F45C8" w:rsidP="002F45C8">
      <w:pPr>
        <w:numPr>
          <w:ilvl w:val="1"/>
          <w:numId w:val="6"/>
        </w:numPr>
        <w:overflowPunct w:val="0"/>
        <w:autoSpaceDE w:val="0"/>
        <w:autoSpaceDN w:val="0"/>
        <w:adjustRightInd w:val="0"/>
        <w:spacing w:after="0" w:line="240" w:lineRule="auto"/>
        <w:contextualSpacing/>
        <w:jc w:val="both"/>
        <w:textAlignment w:val="baseline"/>
        <w:outlineLvl w:val="1"/>
        <w:rPr>
          <w:rFonts w:eastAsia="Times New Roman" w:cs="Times New Roman"/>
          <w:lang w:eastAsia="cs-CZ"/>
        </w:rPr>
      </w:pPr>
      <w:r w:rsidRPr="002F45C8">
        <w:rPr>
          <w:rFonts w:eastAsia="Times New Roman" w:cs="Times New Roman"/>
          <w:lang w:eastAsia="cs-CZ"/>
        </w:rPr>
        <w:t>Poskytovatel odpovídá za škodu vzniklou poškozením nebo zničením nasazených měřících a diagnostických vozů Objednatele při měřících jízdách na železniční dopravní cestě, kterou spravuje Objednatel, realizovaných na základě této Smlouvy, která vznikne v důsledku činnosti poskytovatele. Tyto škody je poskytovatel povinen Objednateli zaplatit do 30 kalendářních dnů od doručení výzvy Objednatele k jejich zaplacení.</w:t>
      </w:r>
    </w:p>
    <w:p w14:paraId="5F7FA0F4" w14:textId="5342CCCE" w:rsidR="002F45C8" w:rsidRPr="002F45C8" w:rsidRDefault="002F45C8" w:rsidP="002F45C8">
      <w:pPr>
        <w:numPr>
          <w:ilvl w:val="1"/>
          <w:numId w:val="6"/>
        </w:numPr>
        <w:overflowPunct w:val="0"/>
        <w:autoSpaceDE w:val="0"/>
        <w:autoSpaceDN w:val="0"/>
        <w:adjustRightInd w:val="0"/>
        <w:spacing w:after="0" w:line="240" w:lineRule="auto"/>
        <w:contextualSpacing/>
        <w:jc w:val="both"/>
        <w:textAlignment w:val="baseline"/>
        <w:outlineLvl w:val="1"/>
        <w:rPr>
          <w:rFonts w:eastAsia="Times New Roman" w:cs="Times New Roman"/>
          <w:lang w:eastAsia="cs-CZ"/>
        </w:rPr>
      </w:pPr>
      <w:r w:rsidRPr="002F45C8">
        <w:rPr>
          <w:rFonts w:eastAsia="Times New Roman" w:cs="Times New Roman"/>
          <w:lang w:eastAsia="cs-CZ"/>
        </w:rPr>
        <w:t>Poskytovatel neodpovídá za škodu vzniklou poškozením nebo zničením nasazených měřících a diagnostických vozů Objednatele při měřících jízdách na železniční dopravní cestě, kterou spravuje Objednatel, realizovaných na základě této Smlouvy, která vznikne v důsledku činnosti Objednatele.</w:t>
      </w:r>
    </w:p>
    <w:p w14:paraId="09E70075" w14:textId="287DC1EE" w:rsidR="002F45C8" w:rsidRPr="002F45C8" w:rsidRDefault="004E1498" w:rsidP="002F45C8">
      <w:pPr>
        <w:pStyle w:val="Nadpis1"/>
        <w:jc w:val="both"/>
        <w:rPr>
          <w:rFonts w:asciiTheme="minorHAnsi" w:eastAsia="Times New Roman" w:hAnsiTheme="minorHAnsi"/>
          <w:lang w:eastAsia="cs-CZ"/>
        </w:rPr>
      </w:pPr>
      <w:r w:rsidRPr="003E0A97">
        <w:rPr>
          <w:rFonts w:asciiTheme="minorHAnsi" w:eastAsia="Times New Roman" w:hAnsiTheme="minorHAnsi"/>
          <w:lang w:eastAsia="cs-CZ"/>
        </w:rPr>
        <w:t>Další ujednání</w:t>
      </w:r>
    </w:p>
    <w:p w14:paraId="539FD07A" w14:textId="4475D4F9" w:rsidR="003306C5" w:rsidRPr="00730549" w:rsidRDefault="003306C5" w:rsidP="003306C5">
      <w:pPr>
        <w:pStyle w:val="Nadpis2"/>
        <w:rPr>
          <w:highlight w:val="yellow"/>
        </w:rPr>
      </w:pPr>
      <w:r w:rsidRPr="00730549">
        <w:rPr>
          <w:highlight w:val="yellow"/>
        </w:rPr>
        <w:t>Po</w:t>
      </w:r>
      <w:r w:rsidR="00730549" w:rsidRPr="00730549">
        <w:rPr>
          <w:highlight w:val="yellow"/>
        </w:rPr>
        <w:t xml:space="preserve">skytovatel je povinen mít ke dni uzavření této Smlouvy a po celou dobu její účinnosti uzavřenu pojistnou smlouvu, jejímž předmětem bude pojištění jeho odpovědnosti za škodu Objednateli nebo jakékoliv třetí osobě s limitem pojistného plnění alespoň </w:t>
      </w:r>
      <w:proofErr w:type="gramStart"/>
      <w:r w:rsidR="00730549" w:rsidRPr="00730549">
        <w:rPr>
          <w:highlight w:val="yellow"/>
        </w:rPr>
        <w:t>50.000.000,-</w:t>
      </w:r>
      <w:proofErr w:type="gramEnd"/>
      <w:r w:rsidR="00730549" w:rsidRPr="00730549">
        <w:rPr>
          <w:highlight w:val="yellow"/>
        </w:rPr>
        <w:t xml:space="preserve"> Kč na krytí škod z mimořádných událostí z drážní dopravě při zavinění ze strany Poskytovatele.</w:t>
      </w:r>
    </w:p>
    <w:p w14:paraId="458E4AF9" w14:textId="3953819A" w:rsidR="004E1498" w:rsidRPr="003E0A97" w:rsidRDefault="00E73DA0" w:rsidP="003D30CA">
      <w:pPr>
        <w:pStyle w:val="Nadpis2"/>
      </w:pPr>
      <w:r w:rsidRPr="003E0A97">
        <w:t>Poskytovatel</w:t>
      </w:r>
      <w:r w:rsidR="004E1498" w:rsidRPr="003E0A97">
        <w:t xml:space="preserve"> prohlašuje, že je způsobilý k řádnému a včasnému </w:t>
      </w:r>
      <w:r w:rsidRPr="003E0A97">
        <w:t>poskytnutí služeb</w:t>
      </w:r>
      <w:r w:rsidR="004E1498" w:rsidRPr="003E0A97">
        <w:t xml:space="preserve"> a že disponuje takovými kapacitami a odbornými znalostmi, které jsou třeba k řádnému </w:t>
      </w:r>
      <w:r w:rsidRPr="003E0A97">
        <w:t>poskytování služeb</w:t>
      </w:r>
      <w:r w:rsidR="004E1498" w:rsidRPr="003E0A97">
        <w:t>.</w:t>
      </w:r>
    </w:p>
    <w:p w14:paraId="03F0737C" w14:textId="1F8F05F1" w:rsidR="00515C11" w:rsidRPr="00515C11" w:rsidRDefault="004E1498" w:rsidP="00515C11">
      <w:pPr>
        <w:pStyle w:val="Nadpis2"/>
      </w:pPr>
      <w:r w:rsidRPr="003E0A97">
        <w:t>Kontaktními osobami smluvních stran jsou</w:t>
      </w:r>
    </w:p>
    <w:p w14:paraId="4E7FEA6D" w14:textId="79F4DCE8" w:rsidR="004E1498" w:rsidRPr="00093D7C" w:rsidRDefault="00093D7C" w:rsidP="003D30CA">
      <w:pPr>
        <w:pStyle w:val="Nadpis3"/>
      </w:pPr>
      <w:r w:rsidRPr="00093D7C">
        <w:t>Ing. Stanislav Žurek, tel. 754 450 215, zurek@spravazeleznic.cz</w:t>
      </w:r>
    </w:p>
    <w:p w14:paraId="7ED71153" w14:textId="45E13EDB" w:rsidR="00515C11" w:rsidRPr="00515C11" w:rsidRDefault="004E1498" w:rsidP="00515C11">
      <w:pPr>
        <w:pStyle w:val="Nadpis3"/>
        <w:rPr>
          <w:highlight w:val="green"/>
        </w:rPr>
      </w:pPr>
      <w:r w:rsidRPr="00093D7C">
        <w:rPr>
          <w:highlight w:val="green"/>
        </w:rPr>
        <w:t xml:space="preserve">za </w:t>
      </w:r>
      <w:r w:rsidR="00E73DA0" w:rsidRPr="00093D7C">
        <w:rPr>
          <w:highlight w:val="green"/>
        </w:rPr>
        <w:t>Poskytovatel</w:t>
      </w:r>
      <w:r w:rsidRPr="00093D7C">
        <w:rPr>
          <w:highlight w:val="green"/>
        </w:rPr>
        <w:t>e p. ………………</w:t>
      </w:r>
      <w:r w:rsidR="0086114C" w:rsidRPr="00093D7C">
        <w:rPr>
          <w:highlight w:val="green"/>
        </w:rPr>
        <w:t>……,</w:t>
      </w:r>
      <w:r w:rsidRPr="00093D7C">
        <w:rPr>
          <w:highlight w:val="green"/>
        </w:rPr>
        <w:t xml:space="preserve"> tel. ……………</w:t>
      </w:r>
      <w:r w:rsidR="0086114C" w:rsidRPr="00093D7C">
        <w:rPr>
          <w:highlight w:val="green"/>
        </w:rPr>
        <w:t>……,</w:t>
      </w:r>
      <w:r w:rsidRPr="00093D7C">
        <w:rPr>
          <w:highlight w:val="green"/>
        </w:rPr>
        <w:t xml:space="preserve"> email ………………</w:t>
      </w:r>
      <w:r w:rsidR="0086114C" w:rsidRPr="00093D7C">
        <w:rPr>
          <w:highlight w:val="green"/>
        </w:rPr>
        <w:t>……</w:t>
      </w:r>
    </w:p>
    <w:p w14:paraId="739753B3" w14:textId="77777777" w:rsidR="004E1498" w:rsidRPr="003E0A97" w:rsidRDefault="004E1498" w:rsidP="003D30CA">
      <w:pPr>
        <w:pStyle w:val="Nadpis2"/>
      </w:pPr>
      <w:r w:rsidRPr="003E0A97">
        <w:t xml:space="preserve"> </w:t>
      </w:r>
      <w:r w:rsidRPr="003E0A97">
        <w:rPr>
          <w:rFonts w:eastAsia="Calibri"/>
        </w:rPr>
        <w:t xml:space="preserve">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3E0A97">
        <w:rPr>
          <w:rFonts w:eastAsia="Calibri"/>
        </w:rPr>
        <w:lastRenderedPageBreak/>
        <w:t>„ZRS“), a současně souhlasí se zveřejněním údajů o identifikaci smluvních stran, předmětu smlouvy, jeho ceně či hodnotě a datu uzavření této smlouvy.</w:t>
      </w:r>
    </w:p>
    <w:p w14:paraId="0F72ED32" w14:textId="77777777" w:rsidR="004E1498" w:rsidRPr="003E0A97" w:rsidRDefault="004E1498" w:rsidP="003D30CA">
      <w:pPr>
        <w:pStyle w:val="Nadpis2"/>
      </w:pPr>
      <w:r w:rsidRPr="003E0A97">
        <w:rPr>
          <w:rStyle w:val="Nadpis2Char"/>
          <w:rFonts w:eastAsia="Calibri"/>
        </w:rPr>
        <w:t xml:space="preserve">Zaslání </w:t>
      </w:r>
      <w:r w:rsidRPr="003E0A97">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3E0A97" w:rsidRDefault="004E1498" w:rsidP="003D30CA">
      <w:pPr>
        <w:pStyle w:val="Nadpis2"/>
      </w:pPr>
      <w:r w:rsidRPr="003E0A97">
        <w:rPr>
          <w:rFonts w:eastAsia="Calibri"/>
        </w:rPr>
        <w:t>S</w:t>
      </w:r>
      <w:r w:rsidRPr="003E0A97">
        <w:rPr>
          <w:rStyle w:val="Nadpis2Char"/>
          <w:rFonts w:eastAsia="Calibri"/>
        </w:rPr>
        <w:t>mluvn</w:t>
      </w:r>
      <w:r w:rsidRPr="003E0A97">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3E0A97" w:rsidRDefault="004E1498" w:rsidP="003D30CA">
      <w:pPr>
        <w:pStyle w:val="Nadpis2"/>
      </w:pPr>
      <w:r w:rsidRPr="003E0A97">
        <w:rPr>
          <w:rFonts w:eastAsia="Calibri"/>
        </w:rPr>
        <w:t>J</w:t>
      </w:r>
      <w:r w:rsidRPr="003E0A97">
        <w:rPr>
          <w:rStyle w:val="Nadpis2Char"/>
          <w:rFonts w:eastAsia="Calibri"/>
        </w:rPr>
        <w:t>estliže</w:t>
      </w:r>
      <w:r w:rsidRPr="003E0A97">
        <w:rPr>
          <w:rFonts w:eastAsia="Calibri"/>
        </w:rPr>
        <w:t xml:space="preserve"> smluvní strana </w:t>
      </w:r>
      <w:proofErr w:type="gramStart"/>
      <w:r w:rsidRPr="003E0A97">
        <w:rPr>
          <w:rFonts w:eastAsia="Calibri"/>
        </w:rPr>
        <w:t>označí</w:t>
      </w:r>
      <w:proofErr w:type="gramEnd"/>
      <w:r w:rsidRPr="003E0A97">
        <w:rPr>
          <w:rFonts w:eastAsia="Calibri"/>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3E0A97">
        <w:rPr>
          <w:rFonts w:eastAsia="Calibri"/>
        </w:rPr>
        <w:t>neoznačí</w:t>
      </w:r>
      <w:proofErr w:type="gramEnd"/>
      <w:r w:rsidRPr="003E0A97">
        <w:rPr>
          <w:rFonts w:eastAsia="Calibri"/>
        </w:rP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3E0A97" w:rsidRDefault="004E1498" w:rsidP="003D30CA">
      <w:pPr>
        <w:pStyle w:val="Nadpis2"/>
        <w:rPr>
          <w:rFonts w:eastAsia="Calibri"/>
        </w:rPr>
      </w:pPr>
      <w:r w:rsidRPr="003E0A97">
        <w:rPr>
          <w:rFonts w:eastAsia="Calibri"/>
        </w:rPr>
        <w:t>Osoby uzavírající tuto smlouvu za Smluvní strany souhlasí s uveřejněním svých osobních údajů, které jsou uvedeny v této smlouvě, spolu se smlouvou v registru smluv. Tento souhlas je udělen na dobu neurčitou.</w:t>
      </w:r>
    </w:p>
    <w:p w14:paraId="1E265834" w14:textId="02824FA0" w:rsidR="00FA3479" w:rsidRPr="003E0A97" w:rsidRDefault="006C7697" w:rsidP="003D30CA">
      <w:pPr>
        <w:pStyle w:val="Nadpis2"/>
        <w:rPr>
          <w:rFonts w:eastAsia="Calibri"/>
        </w:rPr>
      </w:pPr>
      <w:r w:rsidRPr="003E0A97">
        <w:rPr>
          <w:rFonts w:eastAsia="Calibri"/>
        </w:rPr>
        <w:t xml:space="preserve">V případě poskytnutí osobních údajů v rámci plnění smluvního vztahu se </w:t>
      </w:r>
      <w:r w:rsidR="00E73DA0" w:rsidRPr="003E0A97">
        <w:rPr>
          <w:rFonts w:eastAsia="Calibri"/>
        </w:rPr>
        <w:t>Poskytovatel</w:t>
      </w:r>
      <w:r w:rsidRPr="003E0A97">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3E0A97">
        <w:rPr>
          <w:rFonts w:eastAsia="Calibri"/>
        </w:rPr>
        <w:t>Poskytovatel</w:t>
      </w:r>
      <w:r w:rsidRPr="003E0A97">
        <w:rPr>
          <w:rFonts w:eastAsia="Calibri"/>
        </w:rPr>
        <w:t xml:space="preserve">e vztahují a plnění těchto </w:t>
      </w:r>
      <w:r w:rsidR="004A519A" w:rsidRPr="003E0A97">
        <w:rPr>
          <w:rFonts w:eastAsia="Calibri"/>
        </w:rPr>
        <w:t>povinností na vyžádání doložit O</w:t>
      </w:r>
      <w:r w:rsidRPr="003E0A97">
        <w:rPr>
          <w:rFonts w:eastAsia="Calibri"/>
        </w:rPr>
        <w:t>bjednateli.</w:t>
      </w:r>
    </w:p>
    <w:p w14:paraId="0655FBC3" w14:textId="139764F2" w:rsidR="00515C11" w:rsidRPr="00515C11" w:rsidRDefault="00971078" w:rsidP="00515C11">
      <w:pPr>
        <w:numPr>
          <w:ilvl w:val="0"/>
          <w:numId w:val="6"/>
        </w:numPr>
        <w:suppressAutoHyphens/>
        <w:spacing w:before="320" w:after="120" w:line="240" w:lineRule="auto"/>
        <w:ind w:left="567" w:hanging="567"/>
        <w:outlineLvl w:val="0"/>
        <w:rPr>
          <w:rFonts w:eastAsia="Times New Roman" w:cstheme="majorBidi"/>
          <w:spacing w:val="-6"/>
          <w:u w:val="single"/>
          <w:lang w:eastAsia="cs-CZ"/>
        </w:rPr>
      </w:pPr>
      <w:r w:rsidRPr="00971078">
        <w:rPr>
          <w:rFonts w:eastAsia="Times New Roman" w:cstheme="majorBidi"/>
          <w:b/>
          <w:spacing w:val="-6"/>
          <w:u w:val="single"/>
          <w:lang w:eastAsia="cs-CZ"/>
        </w:rPr>
        <w:t>Střet zájmů, povinnosti Poskytovatele v souvislosti s konfliktem na Ukrajině</w:t>
      </w:r>
    </w:p>
    <w:p w14:paraId="23C0F1D9" w14:textId="77777777" w:rsidR="00971078" w:rsidRPr="00971078" w:rsidRDefault="00971078" w:rsidP="003D30CA">
      <w:pPr>
        <w:numPr>
          <w:ilvl w:val="1"/>
          <w:numId w:val="6"/>
        </w:numPr>
        <w:overflowPunct w:val="0"/>
        <w:autoSpaceDE w:val="0"/>
        <w:autoSpaceDN w:val="0"/>
        <w:adjustRightInd w:val="0"/>
        <w:spacing w:after="0" w:line="240" w:lineRule="auto"/>
        <w:contextualSpacing/>
        <w:textAlignment w:val="baseline"/>
        <w:outlineLvl w:val="1"/>
        <w:rPr>
          <w:rFonts w:eastAsia="Times New Roman" w:cs="Times New Roman"/>
          <w:lang w:eastAsia="cs-CZ"/>
        </w:rPr>
      </w:pPr>
      <w:r w:rsidRPr="00971078">
        <w:rPr>
          <w:rFonts w:eastAsia="Calibri" w:cs="Times New Roman"/>
          <w:lang w:eastAsia="cs-CZ"/>
        </w:rPr>
        <w:t>Poskytovatel</w:t>
      </w:r>
      <w:r w:rsidRPr="00971078">
        <w:rPr>
          <w:rFonts w:eastAsia="Times New Roman" w:cs="Times New Roman"/>
          <w:lang w:eastAsia="cs-CZ"/>
        </w:rPr>
        <w:t xml:space="preserve"> prohlašuje, že není obchodní společností, ve které veřejný funkcionář uvedený v </w:t>
      </w:r>
      <w:proofErr w:type="spellStart"/>
      <w:r w:rsidRPr="00971078">
        <w:rPr>
          <w:rFonts w:eastAsia="Times New Roman" w:cs="Times New Roman"/>
          <w:lang w:eastAsia="cs-CZ"/>
        </w:rPr>
        <w:t>ust</w:t>
      </w:r>
      <w:proofErr w:type="spellEnd"/>
      <w:r w:rsidRPr="00971078">
        <w:rPr>
          <w:rFonts w:eastAsia="Times New Roman" w:cs="Times New Roman"/>
          <w:lang w:eastAsia="cs-CZ"/>
        </w:rPr>
        <w:t>. § 2 odst. 1 písm. c) zákona č. 159/2006 Sb., o střetu zájmů, ve znění pozdějších předpisů (dále jen „</w:t>
      </w:r>
      <w:r w:rsidRPr="00971078">
        <w:rPr>
          <w:rFonts w:eastAsia="Times New Roman" w:cs="Times New Roman"/>
          <w:b/>
          <w:i/>
          <w:lang w:eastAsia="cs-CZ"/>
        </w:rPr>
        <w:t>Zákon o střetu zájmů</w:t>
      </w:r>
      <w:r w:rsidRPr="00971078">
        <w:rPr>
          <w:rFonts w:eastAsia="Times New Roman" w:cs="Times New Roman"/>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971078">
        <w:rPr>
          <w:rFonts w:eastAsia="Times New Roman" w:cs="Times New Roman"/>
          <w:lang w:eastAsia="cs-CZ"/>
        </w:rPr>
        <w:t>ust</w:t>
      </w:r>
      <w:proofErr w:type="spellEnd"/>
      <w:r w:rsidRPr="00971078">
        <w:rPr>
          <w:rFonts w:eastAsia="Times New Roman" w:cs="Times New Roman"/>
          <w:lang w:eastAsia="cs-CZ"/>
        </w:rPr>
        <w:t>. § 2 odst. 1 písm. c) Zákona o střetu zájmů nebo jím ovládaná osoba vlastní podíl představující alespoň 25 % účasti společníka v obchodní společnosti.</w:t>
      </w:r>
    </w:p>
    <w:p w14:paraId="3C0AD6B1" w14:textId="77777777" w:rsidR="00971078" w:rsidRPr="00971078" w:rsidRDefault="00971078" w:rsidP="003D30CA">
      <w:pPr>
        <w:numPr>
          <w:ilvl w:val="1"/>
          <w:numId w:val="6"/>
        </w:numPr>
        <w:overflowPunct w:val="0"/>
        <w:autoSpaceDE w:val="0"/>
        <w:autoSpaceDN w:val="0"/>
        <w:adjustRightInd w:val="0"/>
        <w:spacing w:after="0" w:line="240" w:lineRule="auto"/>
        <w:contextualSpacing/>
        <w:textAlignment w:val="baseline"/>
        <w:outlineLvl w:val="1"/>
        <w:rPr>
          <w:rFonts w:eastAsia="Times New Roman" w:cs="Times New Roman"/>
          <w:lang w:eastAsia="cs-CZ"/>
        </w:rPr>
      </w:pPr>
      <w:r w:rsidRPr="00971078">
        <w:rPr>
          <w:rFonts w:eastAsia="Calibri" w:cs="Times New Roman"/>
          <w:lang w:eastAsia="cs-CZ"/>
        </w:rPr>
        <w:t>Poskytovatel</w:t>
      </w:r>
      <w:r w:rsidRPr="00971078">
        <w:rPr>
          <w:rFonts w:eastAsia="Times New Roman" w:cs="Times New Roman"/>
          <w:lang w:eastAsia="cs-CZ"/>
        </w:rPr>
        <w:t xml:space="preserve"> prohlašuje, že on, ani žádný z jeho poddodavatelů nebo jiných osob, jejichž způsobilost byla využita ve smyslu evropských směrnic o zadávání veřejných zakázek, nejsou osobami:</w:t>
      </w:r>
    </w:p>
    <w:p w14:paraId="06DB1B5F" w14:textId="77777777" w:rsidR="00971078" w:rsidRPr="00971078" w:rsidRDefault="00971078" w:rsidP="003D30CA">
      <w:pPr>
        <w:numPr>
          <w:ilvl w:val="0"/>
          <w:numId w:val="8"/>
        </w:numPr>
        <w:suppressAutoHyphens/>
        <w:spacing w:after="0" w:line="240" w:lineRule="auto"/>
        <w:outlineLvl w:val="0"/>
        <w:rPr>
          <w:rFonts w:eastAsiaTheme="majorEastAsia" w:cstheme="majorBidi"/>
          <w:b/>
          <w:spacing w:val="-6"/>
          <w:lang w:eastAsia="cs-CZ"/>
        </w:rPr>
      </w:pPr>
      <w:r w:rsidRPr="00971078">
        <w:rPr>
          <w:rFonts w:eastAsiaTheme="majorEastAsia" w:cstheme="majorBidi"/>
          <w:spacing w:val="-6"/>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EB5C18A" w14:textId="77777777" w:rsidR="00971078" w:rsidRPr="00971078" w:rsidRDefault="00971078" w:rsidP="003D30CA">
      <w:pPr>
        <w:numPr>
          <w:ilvl w:val="0"/>
          <w:numId w:val="8"/>
        </w:numPr>
        <w:suppressAutoHyphens/>
        <w:spacing w:after="0" w:line="240" w:lineRule="auto"/>
        <w:outlineLvl w:val="0"/>
        <w:rPr>
          <w:rFonts w:eastAsiaTheme="majorEastAsia" w:cstheme="majorBidi"/>
          <w:spacing w:val="-6"/>
          <w:lang w:eastAsia="cs-CZ"/>
        </w:rPr>
      </w:pPr>
      <w:r w:rsidRPr="00971078">
        <w:rPr>
          <w:rFonts w:eastAsiaTheme="majorEastAsia" w:cstheme="majorBidi"/>
          <w:spacing w:val="-6"/>
          <w:lang w:eastAsia="cs-CZ"/>
        </w:rPr>
        <w:t>dle článku 2</w:t>
      </w:r>
      <w:r w:rsidRPr="00971078">
        <w:rPr>
          <w:rFonts w:eastAsiaTheme="majorEastAsia" w:cstheme="majorBidi"/>
          <w:b/>
          <w:spacing w:val="-6"/>
        </w:rPr>
        <w:t xml:space="preserve"> </w:t>
      </w:r>
      <w:r w:rsidRPr="00971078">
        <w:rPr>
          <w:rFonts w:eastAsiaTheme="majorEastAsia" w:cstheme="majorBidi"/>
          <w:spacing w:val="-6"/>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971078">
        <w:rPr>
          <w:rFonts w:eastAsiaTheme="majorEastAsia" w:cstheme="majorBidi"/>
          <w:b/>
          <w:spacing w:val="-6"/>
          <w:lang w:eastAsia="cs-CZ"/>
        </w:rPr>
        <w:t xml:space="preserve"> „</w:t>
      </w:r>
      <w:r w:rsidRPr="00971078">
        <w:rPr>
          <w:rFonts w:eastAsiaTheme="majorEastAsia" w:cstheme="majorBidi"/>
          <w:b/>
          <w:i/>
          <w:spacing w:val="-6"/>
          <w:lang w:eastAsia="cs-CZ"/>
        </w:rPr>
        <w:t>Sankční seznamy“</w:t>
      </w:r>
      <w:r w:rsidRPr="00971078">
        <w:rPr>
          <w:rFonts w:eastAsiaTheme="majorEastAsia" w:cstheme="majorBidi"/>
          <w:spacing w:val="-6"/>
          <w:lang w:eastAsia="cs-CZ"/>
        </w:rPr>
        <w:t>).</w:t>
      </w:r>
    </w:p>
    <w:p w14:paraId="3DCE7D2F" w14:textId="712CE262" w:rsidR="00971078" w:rsidRPr="00971078" w:rsidRDefault="00971078" w:rsidP="003D30CA">
      <w:pPr>
        <w:numPr>
          <w:ilvl w:val="1"/>
          <w:numId w:val="6"/>
        </w:numPr>
        <w:overflowPunct w:val="0"/>
        <w:autoSpaceDE w:val="0"/>
        <w:autoSpaceDN w:val="0"/>
        <w:adjustRightInd w:val="0"/>
        <w:spacing w:after="0" w:line="240" w:lineRule="auto"/>
        <w:contextualSpacing/>
        <w:textAlignment w:val="baseline"/>
        <w:outlineLvl w:val="1"/>
        <w:rPr>
          <w:rFonts w:eastAsia="Times New Roman" w:cs="Times New Roman"/>
          <w:lang w:eastAsia="cs-CZ"/>
        </w:rPr>
      </w:pPr>
      <w:r w:rsidRPr="00971078">
        <w:rPr>
          <w:rFonts w:eastAsia="Times New Roman" w:cs="Times New Roman"/>
          <w:lang w:eastAsia="cs-CZ"/>
        </w:rPr>
        <w:lastRenderedPageBreak/>
        <w:t xml:space="preserve">Je-li Poskytovatelem sdružení více osob, platí podmínky dle odstavce 8.1 a 8.2 této Smlouvy také </w:t>
      </w:r>
      <w:r w:rsidRPr="00971078">
        <w:rPr>
          <w:rFonts w:eastAsia="Calibri" w:cs="Times New Roman"/>
          <w:lang w:eastAsia="cs-CZ"/>
        </w:rPr>
        <w:t>jednotlivě</w:t>
      </w:r>
      <w:r w:rsidRPr="00971078">
        <w:rPr>
          <w:rFonts w:eastAsia="Times New Roman" w:cs="Times New Roman"/>
          <w:lang w:eastAsia="cs-CZ"/>
        </w:rPr>
        <w:t xml:space="preserve"> pro všechny osoby v rámci Poskytovatele </w:t>
      </w:r>
      <w:r w:rsidR="00E61E32" w:rsidRPr="00971078">
        <w:rPr>
          <w:rFonts w:eastAsia="Times New Roman" w:cs="Times New Roman"/>
          <w:lang w:eastAsia="cs-CZ"/>
        </w:rPr>
        <w:t>sdružené,</w:t>
      </w:r>
      <w:r w:rsidRPr="00971078">
        <w:rPr>
          <w:rFonts w:eastAsia="Times New Roman" w:cs="Times New Roman"/>
          <w:lang w:eastAsia="cs-CZ"/>
        </w:rPr>
        <w:t xml:space="preserve"> a to bez ohledu na právní formu tohoto sdružení.</w:t>
      </w:r>
    </w:p>
    <w:p w14:paraId="35A55ACD" w14:textId="77777777" w:rsidR="00971078" w:rsidRPr="00971078" w:rsidRDefault="00971078" w:rsidP="003D30CA">
      <w:pPr>
        <w:numPr>
          <w:ilvl w:val="1"/>
          <w:numId w:val="6"/>
        </w:numPr>
        <w:overflowPunct w:val="0"/>
        <w:autoSpaceDE w:val="0"/>
        <w:autoSpaceDN w:val="0"/>
        <w:adjustRightInd w:val="0"/>
        <w:spacing w:after="0" w:line="240" w:lineRule="auto"/>
        <w:contextualSpacing/>
        <w:textAlignment w:val="baseline"/>
        <w:outlineLvl w:val="1"/>
        <w:rPr>
          <w:rFonts w:eastAsia="Times New Roman" w:cs="Times New Roman"/>
          <w:lang w:eastAsia="cs-CZ"/>
        </w:rPr>
      </w:pPr>
      <w:r w:rsidRPr="00971078">
        <w:rPr>
          <w:rFonts w:eastAsia="Times New Roman" w:cs="Times New Roman"/>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3994570" w14:textId="77777777" w:rsidR="00971078" w:rsidRPr="00971078" w:rsidRDefault="00971078" w:rsidP="003D30CA">
      <w:pPr>
        <w:numPr>
          <w:ilvl w:val="1"/>
          <w:numId w:val="6"/>
        </w:numPr>
        <w:overflowPunct w:val="0"/>
        <w:autoSpaceDE w:val="0"/>
        <w:autoSpaceDN w:val="0"/>
        <w:adjustRightInd w:val="0"/>
        <w:spacing w:after="0" w:line="240" w:lineRule="auto"/>
        <w:contextualSpacing/>
        <w:textAlignment w:val="baseline"/>
        <w:outlineLvl w:val="1"/>
        <w:rPr>
          <w:rFonts w:eastAsia="Times New Roman" w:cs="Times New Roman"/>
          <w:lang w:eastAsia="cs-CZ"/>
        </w:rPr>
      </w:pPr>
      <w:r w:rsidRPr="00971078">
        <w:rPr>
          <w:rFonts w:eastAsia="Times New Roman" w:cs="Times New Roman"/>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A09A0CB" w14:textId="77777777" w:rsidR="00971078" w:rsidRPr="00971078" w:rsidRDefault="00971078" w:rsidP="003D30CA">
      <w:pPr>
        <w:numPr>
          <w:ilvl w:val="1"/>
          <w:numId w:val="6"/>
        </w:numPr>
        <w:overflowPunct w:val="0"/>
        <w:autoSpaceDE w:val="0"/>
        <w:autoSpaceDN w:val="0"/>
        <w:adjustRightInd w:val="0"/>
        <w:spacing w:after="0" w:line="240" w:lineRule="auto"/>
        <w:contextualSpacing/>
        <w:textAlignment w:val="baseline"/>
        <w:outlineLvl w:val="1"/>
        <w:rPr>
          <w:rFonts w:eastAsia="Times New Roman" w:cs="Times New Roman"/>
          <w:lang w:eastAsia="cs-CZ"/>
        </w:rPr>
      </w:pPr>
      <w:r w:rsidRPr="00971078">
        <w:rPr>
          <w:rFonts w:eastAsia="Times New Roman" w:cs="Times New Roman"/>
          <w:lang w:eastAsia="cs-CZ"/>
        </w:rPr>
        <w:t xml:space="preserve">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Pr="00971078">
        <w:rPr>
          <w:rFonts w:eastAsia="Times New Roman" w:cstheme="majorBidi"/>
          <w:lang w:eastAsia="cs-CZ"/>
        </w:rPr>
        <w:t>ani hospodářské zdroje</w:t>
      </w:r>
      <w:r w:rsidRPr="00971078">
        <w:rPr>
          <w:rFonts w:eastAsia="Times New Roman" w:cs="Times New Roman"/>
          <w:lang w:eastAsia="cs-CZ"/>
        </w:rPr>
        <w:t>, které obdrží od Objednatele na základě této Smlouvy a jejích případných dodatků, nezpřístupní přímo ani nepřímo fyzickým nebo právnickým osobám, subjektům či orgánům s nimi spojeným uvedeným v Sankčních seznamech,</w:t>
      </w:r>
      <w:r w:rsidRPr="00971078">
        <w:rPr>
          <w:rFonts w:eastAsia="Times New Roman" w:cstheme="majorBidi"/>
          <w:lang w:eastAsia="cs-CZ"/>
        </w:rPr>
        <w:t xml:space="preserve"> nebo v jejich prospěch</w:t>
      </w:r>
      <w:r w:rsidRPr="00971078">
        <w:rPr>
          <w:rFonts w:eastAsia="Times New Roman" w:cs="Times New Roman"/>
          <w:lang w:eastAsia="cs-CZ"/>
        </w:rPr>
        <w:t>.</w:t>
      </w:r>
    </w:p>
    <w:p w14:paraId="19F25FDB" w14:textId="03517E13" w:rsidR="00971078" w:rsidRPr="003E0A97" w:rsidRDefault="00971078" w:rsidP="003D30CA">
      <w:pPr>
        <w:numPr>
          <w:ilvl w:val="1"/>
          <w:numId w:val="6"/>
        </w:numPr>
        <w:overflowPunct w:val="0"/>
        <w:autoSpaceDE w:val="0"/>
        <w:autoSpaceDN w:val="0"/>
        <w:adjustRightInd w:val="0"/>
        <w:spacing w:after="0" w:line="240" w:lineRule="auto"/>
        <w:contextualSpacing/>
        <w:jc w:val="both"/>
        <w:textAlignment w:val="baseline"/>
        <w:outlineLvl w:val="1"/>
        <w:rPr>
          <w:rFonts w:eastAsia="Times New Roman" w:cs="Times New Roman"/>
          <w:lang w:eastAsia="cs-CZ"/>
        </w:rPr>
      </w:pPr>
      <w:proofErr w:type="gramStart"/>
      <w:r w:rsidRPr="00971078">
        <w:rPr>
          <w:rFonts w:eastAsia="Times New Roman" w:cs="Times New Roman"/>
          <w:lang w:eastAsia="cs-CZ"/>
        </w:rPr>
        <w:t>Ukáží</w:t>
      </w:r>
      <w:proofErr w:type="gramEnd"/>
      <w:r w:rsidRPr="00971078">
        <w:rPr>
          <w:rFonts w:eastAsia="Times New Roman" w:cs="Times New Roman"/>
          <w:lang w:eastAsia="cs-CZ"/>
        </w:rPr>
        <w:t xml:space="preserve">-li se prohlášení Poskytovatele dle odstavce 8.1 a 8.2 této Smlouvy jako nepravdivá nebo poruší-li Poskytovatel svou oznamovací povinnost dle odstavce 8.4. nebo povinnosti dle odstavců 8.5 nebo 8.6 této Smlouvy, je Objednatel oprávněn vypovědět tuto Smlouvu bez výpovědní doby. Poskytovatel je dále povinen zaplatit za každé jednotlivé porušení povinností dle předchozí věty smluvní pokutu ve výši </w:t>
      </w:r>
      <w:r w:rsidRPr="00971078">
        <w:rPr>
          <w:rFonts w:eastAsia="Times New Roman" w:cs="Times New Roman"/>
          <w:highlight w:val="yellow"/>
          <w:lang w:eastAsia="cs-CZ"/>
        </w:rPr>
        <w:t>5</w:t>
      </w:r>
      <w:r w:rsidRPr="00971078">
        <w:rPr>
          <w:rFonts w:eastAsia="Times New Roman" w:cs="Times New Roman"/>
          <w:lang w:eastAsia="cs-CZ"/>
        </w:rPr>
        <w:t xml:space="preserve"> % procent Ceny předmětu služeb (Cena celkem bez DPH) sjednané dle této Smlouvy. Ustanovení § 2004 odst. 2 Občanského zákoníku a § 2050 Občanského zákoníku se nepoužijí.</w:t>
      </w:r>
    </w:p>
    <w:p w14:paraId="7ACA4F45" w14:textId="77777777" w:rsidR="004E1498" w:rsidRPr="003E0A97" w:rsidRDefault="004E1498" w:rsidP="003D30CA">
      <w:pPr>
        <w:pStyle w:val="Nadpis1"/>
        <w:jc w:val="both"/>
        <w:rPr>
          <w:rFonts w:asciiTheme="minorHAnsi" w:eastAsia="Times New Roman" w:hAnsiTheme="minorHAnsi"/>
          <w:lang w:eastAsia="cs-CZ"/>
        </w:rPr>
      </w:pPr>
      <w:r w:rsidRPr="003E0A97">
        <w:rPr>
          <w:rFonts w:asciiTheme="minorHAnsi" w:eastAsia="Times New Roman" w:hAnsiTheme="minorHAnsi"/>
          <w:lang w:eastAsia="cs-CZ"/>
        </w:rPr>
        <w:t>Závěrečná ujednání</w:t>
      </w:r>
    </w:p>
    <w:p w14:paraId="3E50101D" w14:textId="388C0BB8" w:rsidR="004E1498" w:rsidRPr="003E0A97" w:rsidRDefault="004E1498" w:rsidP="003D30CA">
      <w:pPr>
        <w:pStyle w:val="Nadpis2"/>
      </w:pPr>
      <w:r w:rsidRPr="003E0A97">
        <w:t xml:space="preserve">Tato smlouva se řídí Obchodními podmínkami ke Smlouvě o </w:t>
      </w:r>
      <w:r w:rsidR="004A519A" w:rsidRPr="003E0A97">
        <w:t>poskytování služeb</w:t>
      </w:r>
      <w:r w:rsidRPr="003E0A97">
        <w:t xml:space="preserve"> (dále jen „Obchodní podmínky</w:t>
      </w:r>
      <w:r w:rsidR="0086114C" w:rsidRPr="003E0A97">
        <w:t>“)</w:t>
      </w:r>
      <w:r w:rsidRPr="003E0A97">
        <w:t xml:space="preserve">. Odchylná ujednání ve Smlouvě o </w:t>
      </w:r>
      <w:r w:rsidR="004A519A" w:rsidRPr="003E0A97">
        <w:t>poskytování služeb</w:t>
      </w:r>
      <w:r w:rsidRPr="003E0A97">
        <w:t xml:space="preserve"> mají před zněním Obchodních podmínek přednost.</w:t>
      </w:r>
    </w:p>
    <w:p w14:paraId="208700BA" w14:textId="564BB0DC" w:rsidR="004E1498" w:rsidRPr="003E0A97" w:rsidRDefault="00E73DA0" w:rsidP="003D30CA">
      <w:pPr>
        <w:pStyle w:val="Nadpis2"/>
      </w:pPr>
      <w:r w:rsidRPr="003E0A97">
        <w:t>Poskytovatel</w:t>
      </w:r>
      <w:r w:rsidR="004E1498" w:rsidRPr="003E0A97">
        <w:t xml:space="preserve"> prohlašuje, že </w:t>
      </w:r>
    </w:p>
    <w:p w14:paraId="7633B164" w14:textId="77777777" w:rsidR="004E1498" w:rsidRPr="003E0A97" w:rsidRDefault="004E1498" w:rsidP="003D30CA">
      <w:pPr>
        <w:pStyle w:val="Nadpis3"/>
      </w:pPr>
      <w:r w:rsidRPr="003E0A97">
        <w:t>se zněním Obchodních podmínek se před podpisem této smlouvy seznámil,</w:t>
      </w:r>
    </w:p>
    <w:p w14:paraId="382930A8" w14:textId="77777777" w:rsidR="004E1498" w:rsidRPr="003E0A97" w:rsidRDefault="004E1498" w:rsidP="003D30CA">
      <w:pPr>
        <w:pStyle w:val="Nadpis3"/>
      </w:pPr>
      <w:r w:rsidRPr="003E0A97">
        <w:t>v dostatečném rozsahu se seznámil s veškerými požadavky Objednatele dle této smlouvy, přičemž si není vědom žádným překážek, které by mu bránily v poskytnutí sjednaného plnění v souladu s touto smlouvou.</w:t>
      </w:r>
    </w:p>
    <w:p w14:paraId="0478F8D3" w14:textId="77777777" w:rsidR="004C7569" w:rsidRPr="003E0A97" w:rsidRDefault="004C7569" w:rsidP="003D30CA">
      <w:pPr>
        <w:pStyle w:val="Nadpis2"/>
      </w:pPr>
      <w:r w:rsidRPr="003E0A97">
        <w:t xml:space="preserve">Tato Smlouva je vyhotovena v elektronické podobě, přičemž obě Smluvní strany </w:t>
      </w:r>
      <w:proofErr w:type="gramStart"/>
      <w:r w:rsidRPr="003E0A97">
        <w:t>obdrží</w:t>
      </w:r>
      <w:proofErr w:type="gramEnd"/>
      <w:r w:rsidRPr="003E0A97">
        <w:t xml:space="preserve"> její elektronický originál opatřený elektronickými podpisy. V případě, že tato Smlouva z jakéhokoli důvodu nebude vyhotovena v elektronické podobě, bude sepsána ve třech vyhotoveních, přičemž jedno vyhotovení </w:t>
      </w:r>
      <w:proofErr w:type="gramStart"/>
      <w:r w:rsidRPr="003E0A97">
        <w:t>obdrží</w:t>
      </w:r>
      <w:proofErr w:type="gramEnd"/>
      <w:r w:rsidRPr="003E0A97">
        <w:t xml:space="preserve"> Poskytovatel a dvě vyhotovení Objednatel.</w:t>
      </w:r>
    </w:p>
    <w:p w14:paraId="6AB23CD3" w14:textId="1E8236B1" w:rsidR="004E1498" w:rsidRPr="003E0A97" w:rsidRDefault="004E1498" w:rsidP="003D30CA">
      <w:pPr>
        <w:pStyle w:val="Nadpis2"/>
      </w:pPr>
      <w:r w:rsidRPr="003E0A97">
        <w:t xml:space="preserve">Veškerá práva a povinnosti Smluvních stran vyplývající ze Smlouvy o </w:t>
      </w:r>
      <w:r w:rsidR="004A519A" w:rsidRPr="003E0A97">
        <w:t>poskytování služeb</w:t>
      </w:r>
      <w:r w:rsidRPr="003E0A97">
        <w:t xml:space="preserve"> a Obchodních podmínek se řídí českým právním řádem.</w:t>
      </w:r>
    </w:p>
    <w:p w14:paraId="52D451D4" w14:textId="52A40535" w:rsidR="004E1498" w:rsidRPr="003E0A97" w:rsidRDefault="004E1498" w:rsidP="003D30CA">
      <w:pPr>
        <w:pStyle w:val="Nadpis2"/>
      </w:pPr>
      <w:r w:rsidRPr="003E0A97">
        <w:t xml:space="preserve">Smluvní vztahy neupravené Smlouvou o </w:t>
      </w:r>
      <w:r w:rsidR="004A519A" w:rsidRPr="003E0A97">
        <w:t>poskytování služeb</w:t>
      </w:r>
      <w:r w:rsidRPr="003E0A97">
        <w:t xml:space="preserve"> a Obchodními podmínkami se řídí Občanským zákoníkem a dalšími právními předpisy.</w:t>
      </w:r>
    </w:p>
    <w:p w14:paraId="3654106D" w14:textId="3BD7864C" w:rsidR="004E1498" w:rsidRPr="003E0A97" w:rsidRDefault="004E1498" w:rsidP="003D30CA">
      <w:pPr>
        <w:pStyle w:val="Nadpis2"/>
      </w:pPr>
      <w:r w:rsidRPr="003E0A97">
        <w:t xml:space="preserve">Všechny spory vznikající ze Smlouvy o </w:t>
      </w:r>
      <w:r w:rsidR="004A519A" w:rsidRPr="003E0A97">
        <w:t>poskytování služeb</w:t>
      </w:r>
      <w:r w:rsidRPr="003E0A97">
        <w:t xml:space="preserve"> a v souvislosti s ní budou dle vůle Smluvních stran rozhodovány soudy České republiky, jakožto soudy výlučně příslušnými.</w:t>
      </w:r>
    </w:p>
    <w:p w14:paraId="5206FA57" w14:textId="214B5F00" w:rsidR="004E1498" w:rsidRPr="003E0A97" w:rsidRDefault="004E1498" w:rsidP="003D30CA">
      <w:pPr>
        <w:pStyle w:val="Nadpis2"/>
      </w:pPr>
      <w:r w:rsidRPr="003E0A97">
        <w:t xml:space="preserve">Smlouvu o </w:t>
      </w:r>
      <w:r w:rsidR="004A519A" w:rsidRPr="003E0A97">
        <w:t>poskytování služeb</w:t>
      </w:r>
      <w:r w:rsidRPr="003E0A97">
        <w:t xml:space="preserve"> lze měnit pouze písemnými dodatky.</w:t>
      </w:r>
    </w:p>
    <w:p w14:paraId="70BEC627" w14:textId="5E4D6B01" w:rsidR="004E1498" w:rsidRPr="003E0A97" w:rsidRDefault="004E1498" w:rsidP="003D30CA">
      <w:pPr>
        <w:pStyle w:val="Nadpis2"/>
      </w:pPr>
      <w:r w:rsidRPr="003E0A97">
        <w:t xml:space="preserve">Poté, co </w:t>
      </w:r>
      <w:r w:rsidR="00E73DA0" w:rsidRPr="003E0A97">
        <w:t>Poskytovatel</w:t>
      </w:r>
      <w:r w:rsidRPr="003E0A97">
        <w:t xml:space="preserve"> poprvé obdrží spolu se Smlouvou o </w:t>
      </w:r>
      <w:r w:rsidR="004A519A" w:rsidRPr="003E0A97">
        <w:t>poskytování služeb</w:t>
      </w:r>
      <w:r w:rsidRPr="003E0A97">
        <w:t xml:space="preserve"> i Obchodní podmínky v písemné formě, postačí pro veškeré další případy Smluv o </w:t>
      </w:r>
      <w:r w:rsidR="004A519A" w:rsidRPr="003E0A97">
        <w:t>poskytování služeb</w:t>
      </w:r>
      <w:r w:rsidRPr="003E0A97">
        <w:t xml:space="preserve"> mezi Smluvními stranami pro to, aby se Smlouva o </w:t>
      </w:r>
      <w:r w:rsidR="004A519A" w:rsidRPr="003E0A97">
        <w:t>poskytování služeb</w:t>
      </w:r>
      <w:r w:rsidRPr="003E0A97">
        <w:t xml:space="preserve"> řídila Obchodními podmínkami, pokud Smlouva o </w:t>
      </w:r>
      <w:r w:rsidR="004A519A" w:rsidRPr="003E0A97">
        <w:t>poskytování služeb</w:t>
      </w:r>
      <w:r w:rsidRPr="003E0A97">
        <w:t xml:space="preserve"> na Obchodní podmínky pouze odkáže, aniž by bylo třeba Obchodní podmínky činit fyzickou součástí vyhotovení Smlouvy o </w:t>
      </w:r>
      <w:r w:rsidR="004A519A" w:rsidRPr="003E0A97">
        <w:t>poskytování služeb</w:t>
      </w:r>
      <w:r w:rsidRPr="003E0A97">
        <w:t xml:space="preserve">, neboť </w:t>
      </w:r>
      <w:r w:rsidR="00E73DA0" w:rsidRPr="003E0A97">
        <w:t>Poskytovatel</w:t>
      </w:r>
      <w:r w:rsidRPr="003E0A97">
        <w:t>i již bude obsah Obchodních podmínek známý.</w:t>
      </w:r>
    </w:p>
    <w:p w14:paraId="61C4AB3F" w14:textId="652B18D6" w:rsidR="004E1498" w:rsidRPr="003E0A97" w:rsidRDefault="004E1498" w:rsidP="003D30CA">
      <w:pPr>
        <w:pStyle w:val="Nadpis2"/>
      </w:pPr>
      <w:r w:rsidRPr="003E0A97">
        <w:t xml:space="preserve">Pokud některá ustanovení Obchodních podmínek nebo jejich část nelze vzhledem k povaze </w:t>
      </w:r>
      <w:r w:rsidR="004A519A" w:rsidRPr="003E0A97">
        <w:t>Služeb</w:t>
      </w:r>
      <w:r w:rsidRPr="003E0A97">
        <w:t xml:space="preserve"> objektivně a zcela zřejmě použít, pak z takových ustanovení nebo jejich částí práva ani povinnosti Smluvním stranám nevznikají.</w:t>
      </w:r>
    </w:p>
    <w:p w14:paraId="50EA6B13" w14:textId="4F348229" w:rsidR="004E1498" w:rsidRPr="00A423CF" w:rsidRDefault="004E1498" w:rsidP="003D30CA">
      <w:pPr>
        <w:pStyle w:val="Nadpis2"/>
      </w:pPr>
      <w:r w:rsidRPr="003E0A97">
        <w:t xml:space="preserve">Zvláštní podmínky, na které odkazuje Smlouva o </w:t>
      </w:r>
      <w:r w:rsidR="004A519A" w:rsidRPr="003E0A97">
        <w:t>poskytování služeb</w:t>
      </w:r>
      <w:r w:rsidRPr="003E0A97">
        <w:t xml:space="preserve">, mají přednost před zněním Obchodních podmínek, Obchodní podmínky se užijí v rozsahu, v jakém nejsou </w:t>
      </w:r>
      <w:r w:rsidRPr="00A423CF">
        <w:t>v rozporu s takovými zvláštními podmínkami.</w:t>
      </w:r>
    </w:p>
    <w:p w14:paraId="0DB923BD" w14:textId="77777777" w:rsidR="00B66E16" w:rsidRPr="00A423CF" w:rsidRDefault="00B66E16" w:rsidP="003D30CA">
      <w:pPr>
        <w:pStyle w:val="Nadpis2"/>
        <w:ind w:left="567" w:hanging="567"/>
      </w:pPr>
      <w:r w:rsidRPr="00A423CF">
        <w:lastRenderedPageBreak/>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3E0A97" w:rsidRDefault="004E1498" w:rsidP="00D31707">
      <w:pPr>
        <w:overflowPunct w:val="0"/>
        <w:autoSpaceDE w:val="0"/>
        <w:autoSpaceDN w:val="0"/>
        <w:adjustRightInd w:val="0"/>
        <w:spacing w:after="0" w:line="240" w:lineRule="auto"/>
        <w:jc w:val="both"/>
        <w:textAlignment w:val="baseline"/>
        <w:rPr>
          <w:rFonts w:eastAsia="Times New Roman" w:cs="Times New Roman"/>
          <w:b/>
          <w:lang w:eastAsia="cs-CZ"/>
        </w:rPr>
      </w:pPr>
    </w:p>
    <w:p w14:paraId="2C3F0D08" w14:textId="77777777" w:rsidR="00515C11" w:rsidRDefault="00515C11" w:rsidP="00D31707">
      <w:pPr>
        <w:overflowPunct w:val="0"/>
        <w:autoSpaceDE w:val="0"/>
        <w:autoSpaceDN w:val="0"/>
        <w:adjustRightInd w:val="0"/>
        <w:spacing w:after="0" w:line="240" w:lineRule="auto"/>
        <w:jc w:val="both"/>
        <w:textAlignment w:val="baseline"/>
        <w:rPr>
          <w:rFonts w:eastAsia="Times New Roman" w:cs="Times New Roman"/>
          <w:b/>
          <w:lang w:eastAsia="cs-CZ"/>
        </w:rPr>
      </w:pPr>
    </w:p>
    <w:p w14:paraId="7EAAEA25" w14:textId="77777777" w:rsidR="00515C11" w:rsidRDefault="00515C11" w:rsidP="00D31707">
      <w:pPr>
        <w:overflowPunct w:val="0"/>
        <w:autoSpaceDE w:val="0"/>
        <w:autoSpaceDN w:val="0"/>
        <w:adjustRightInd w:val="0"/>
        <w:spacing w:after="0" w:line="240" w:lineRule="auto"/>
        <w:jc w:val="both"/>
        <w:textAlignment w:val="baseline"/>
        <w:rPr>
          <w:rFonts w:eastAsia="Times New Roman" w:cs="Times New Roman"/>
          <w:b/>
          <w:lang w:eastAsia="cs-CZ"/>
        </w:rPr>
      </w:pPr>
    </w:p>
    <w:p w14:paraId="6C21318C" w14:textId="77777777" w:rsidR="00515C11" w:rsidRDefault="00515C11" w:rsidP="00D31707">
      <w:pPr>
        <w:overflowPunct w:val="0"/>
        <w:autoSpaceDE w:val="0"/>
        <w:autoSpaceDN w:val="0"/>
        <w:adjustRightInd w:val="0"/>
        <w:spacing w:after="0" w:line="240" w:lineRule="auto"/>
        <w:jc w:val="both"/>
        <w:textAlignment w:val="baseline"/>
        <w:rPr>
          <w:rFonts w:eastAsia="Times New Roman" w:cs="Times New Roman"/>
          <w:b/>
          <w:lang w:eastAsia="cs-CZ"/>
        </w:rPr>
      </w:pPr>
    </w:p>
    <w:p w14:paraId="73B88FAA" w14:textId="77777777" w:rsidR="00515C11" w:rsidRDefault="00515C11" w:rsidP="00D31707">
      <w:pPr>
        <w:overflowPunct w:val="0"/>
        <w:autoSpaceDE w:val="0"/>
        <w:autoSpaceDN w:val="0"/>
        <w:adjustRightInd w:val="0"/>
        <w:spacing w:after="0" w:line="240" w:lineRule="auto"/>
        <w:jc w:val="both"/>
        <w:textAlignment w:val="baseline"/>
        <w:rPr>
          <w:rFonts w:eastAsia="Times New Roman" w:cs="Times New Roman"/>
          <w:b/>
          <w:lang w:eastAsia="cs-CZ"/>
        </w:rPr>
      </w:pPr>
    </w:p>
    <w:p w14:paraId="19A12285" w14:textId="5076AC30" w:rsidR="004E1498" w:rsidRPr="003E0A97" w:rsidRDefault="004E1498" w:rsidP="00D31707">
      <w:pPr>
        <w:overflowPunct w:val="0"/>
        <w:autoSpaceDE w:val="0"/>
        <w:autoSpaceDN w:val="0"/>
        <w:adjustRightInd w:val="0"/>
        <w:spacing w:after="0" w:line="240" w:lineRule="auto"/>
        <w:jc w:val="both"/>
        <w:textAlignment w:val="baseline"/>
        <w:rPr>
          <w:rFonts w:eastAsia="Times New Roman" w:cs="Times New Roman"/>
          <w:b/>
          <w:lang w:eastAsia="cs-CZ"/>
        </w:rPr>
      </w:pPr>
      <w:r w:rsidRPr="003E0A97">
        <w:rPr>
          <w:rFonts w:eastAsia="Times New Roman" w:cs="Times New Roman"/>
          <w:b/>
          <w:lang w:eastAsia="cs-CZ"/>
        </w:rPr>
        <w:t>Přílohy</w:t>
      </w:r>
    </w:p>
    <w:p w14:paraId="7B9BC77C" w14:textId="7BD36C95" w:rsidR="001202C7" w:rsidRPr="003E0A97" w:rsidRDefault="00093D7C" w:rsidP="001202C7">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lang w:eastAsia="cs-CZ"/>
        </w:rPr>
        <w:t>1.</w:t>
      </w:r>
      <w:r>
        <w:rPr>
          <w:rFonts w:eastAsia="Times New Roman" w:cs="Times New Roman"/>
          <w:lang w:eastAsia="cs-CZ"/>
        </w:rPr>
        <w:tab/>
      </w:r>
      <w:r w:rsidRPr="00093D7C">
        <w:rPr>
          <w:rFonts w:eastAsia="Times New Roman" w:cs="Times New Roman"/>
          <w:lang w:eastAsia="cs-CZ"/>
        </w:rPr>
        <w:t xml:space="preserve">Plán jízd </w:t>
      </w:r>
      <w:r w:rsidR="007C4B82">
        <w:rPr>
          <w:rFonts w:eastAsia="Times New Roman" w:cs="Times New Roman"/>
          <w:lang w:eastAsia="cs-CZ"/>
        </w:rPr>
        <w:t xml:space="preserve">GPT </w:t>
      </w:r>
      <w:r w:rsidRPr="00093D7C">
        <w:rPr>
          <w:rFonts w:eastAsia="Times New Roman" w:cs="Times New Roman"/>
          <w:lang w:eastAsia="cs-CZ"/>
        </w:rPr>
        <w:t>na období</w:t>
      </w:r>
      <w:r>
        <w:rPr>
          <w:rFonts w:eastAsia="Times New Roman" w:cs="Times New Roman"/>
          <w:lang w:eastAsia="cs-CZ"/>
        </w:rPr>
        <w:t xml:space="preserve"> 2023</w:t>
      </w:r>
    </w:p>
    <w:p w14:paraId="2D4F6FED" w14:textId="5B85B2A9" w:rsidR="001202C7" w:rsidRPr="003E0A97" w:rsidRDefault="001202C7" w:rsidP="001202C7">
      <w:pPr>
        <w:overflowPunct w:val="0"/>
        <w:autoSpaceDE w:val="0"/>
        <w:autoSpaceDN w:val="0"/>
        <w:adjustRightInd w:val="0"/>
        <w:spacing w:after="0" w:line="240" w:lineRule="auto"/>
        <w:textAlignment w:val="baseline"/>
        <w:rPr>
          <w:rFonts w:eastAsia="Times New Roman" w:cs="Times New Roman"/>
          <w:highlight w:val="yellow"/>
          <w:lang w:eastAsia="cs-CZ"/>
        </w:rPr>
      </w:pPr>
    </w:p>
    <w:p w14:paraId="02506E66" w14:textId="77777777" w:rsidR="00C57038" w:rsidRDefault="00C57038" w:rsidP="004C7569">
      <w:pPr>
        <w:overflowPunct w:val="0"/>
        <w:autoSpaceDE w:val="0"/>
        <w:autoSpaceDN w:val="0"/>
        <w:adjustRightInd w:val="0"/>
        <w:spacing w:after="0" w:line="240" w:lineRule="auto"/>
        <w:textAlignment w:val="baseline"/>
        <w:rPr>
          <w:rFonts w:eastAsia="Calibri" w:cs="Times New Roman"/>
        </w:rPr>
      </w:pPr>
    </w:p>
    <w:p w14:paraId="6FA37DFB" w14:textId="57B62904" w:rsidR="004C7569" w:rsidRPr="003E0A97" w:rsidRDefault="004C7569" w:rsidP="004C7569">
      <w:pPr>
        <w:overflowPunct w:val="0"/>
        <w:autoSpaceDE w:val="0"/>
        <w:autoSpaceDN w:val="0"/>
        <w:adjustRightInd w:val="0"/>
        <w:spacing w:after="0" w:line="240" w:lineRule="auto"/>
        <w:textAlignment w:val="baseline"/>
        <w:rPr>
          <w:rFonts w:eastAsia="Calibri" w:cs="Times New Roman"/>
        </w:rPr>
      </w:pPr>
      <w:r w:rsidRPr="003E0A97">
        <w:rPr>
          <w:rFonts w:eastAsia="Calibri" w:cs="Times New Roman"/>
        </w:rPr>
        <w:t>Za Objednatele:</w:t>
      </w:r>
      <w:r w:rsidRPr="003E0A97">
        <w:rPr>
          <w:rFonts w:eastAsia="Calibri" w:cs="Times New Roman"/>
        </w:rPr>
        <w:tab/>
      </w:r>
      <w:r w:rsidRPr="003E0A97">
        <w:rPr>
          <w:rFonts w:eastAsia="Calibri" w:cs="Times New Roman"/>
        </w:rPr>
        <w:tab/>
      </w:r>
      <w:r w:rsidRPr="003E0A97">
        <w:rPr>
          <w:rFonts w:eastAsia="Calibri" w:cs="Times New Roman"/>
        </w:rPr>
        <w:tab/>
      </w:r>
      <w:r w:rsidRPr="003E0A97">
        <w:rPr>
          <w:rFonts w:eastAsia="Calibri" w:cs="Times New Roman"/>
        </w:rPr>
        <w:tab/>
      </w:r>
      <w:r w:rsidRPr="003E0A97">
        <w:rPr>
          <w:rFonts w:eastAsia="Calibri" w:cs="Times New Roman"/>
        </w:rPr>
        <w:tab/>
        <w:t>Za Poskytovatele:</w:t>
      </w:r>
    </w:p>
    <w:p w14:paraId="6E2508C8" w14:textId="7310B5EA" w:rsidR="004C7569" w:rsidRDefault="004C7569" w:rsidP="004C7569">
      <w:pPr>
        <w:overflowPunct w:val="0"/>
        <w:autoSpaceDE w:val="0"/>
        <w:autoSpaceDN w:val="0"/>
        <w:adjustRightInd w:val="0"/>
        <w:spacing w:after="0" w:line="240" w:lineRule="auto"/>
        <w:textAlignment w:val="baseline"/>
        <w:rPr>
          <w:rFonts w:eastAsia="Calibri" w:cs="Times New Roman"/>
        </w:rPr>
      </w:pPr>
    </w:p>
    <w:p w14:paraId="631FD834" w14:textId="77777777" w:rsidR="00C57038" w:rsidRPr="003E0A97" w:rsidRDefault="00C57038" w:rsidP="004C7569">
      <w:pPr>
        <w:overflowPunct w:val="0"/>
        <w:autoSpaceDE w:val="0"/>
        <w:autoSpaceDN w:val="0"/>
        <w:adjustRightInd w:val="0"/>
        <w:spacing w:after="0" w:line="240" w:lineRule="auto"/>
        <w:textAlignment w:val="baseline"/>
        <w:rPr>
          <w:rFonts w:eastAsia="Calibri" w:cs="Times New Roman"/>
        </w:rPr>
      </w:pPr>
    </w:p>
    <w:p w14:paraId="1DCED193" w14:textId="77777777" w:rsidR="004C7569" w:rsidRPr="003E0A97" w:rsidRDefault="004C7569" w:rsidP="004C7569">
      <w:pPr>
        <w:overflowPunct w:val="0"/>
        <w:autoSpaceDE w:val="0"/>
        <w:autoSpaceDN w:val="0"/>
        <w:adjustRightInd w:val="0"/>
        <w:spacing w:after="0" w:line="240" w:lineRule="auto"/>
        <w:textAlignment w:val="baseline"/>
        <w:rPr>
          <w:rFonts w:eastAsia="Calibri" w:cs="Times New Roman"/>
        </w:rPr>
      </w:pPr>
    </w:p>
    <w:p w14:paraId="224AC40E" w14:textId="373231F4" w:rsidR="004C7569" w:rsidRPr="003E0A97" w:rsidRDefault="004C7569" w:rsidP="004C7569">
      <w:pPr>
        <w:overflowPunct w:val="0"/>
        <w:autoSpaceDE w:val="0"/>
        <w:autoSpaceDN w:val="0"/>
        <w:adjustRightInd w:val="0"/>
        <w:spacing w:after="0" w:line="240" w:lineRule="auto"/>
        <w:textAlignment w:val="baseline"/>
        <w:rPr>
          <w:rFonts w:eastAsia="Calibri" w:cs="Times New Roman"/>
        </w:rPr>
      </w:pPr>
    </w:p>
    <w:p w14:paraId="1BB33EE6" w14:textId="77777777" w:rsidR="003F175E" w:rsidRPr="003E0A97" w:rsidRDefault="003F175E" w:rsidP="004C7569">
      <w:pPr>
        <w:overflowPunct w:val="0"/>
        <w:autoSpaceDE w:val="0"/>
        <w:autoSpaceDN w:val="0"/>
        <w:adjustRightInd w:val="0"/>
        <w:spacing w:after="0" w:line="240" w:lineRule="auto"/>
        <w:textAlignment w:val="baseline"/>
        <w:rPr>
          <w:rFonts w:eastAsia="Calibri" w:cs="Times New Roman"/>
        </w:rPr>
      </w:pPr>
    </w:p>
    <w:p w14:paraId="295003C9" w14:textId="77777777" w:rsidR="004C7569" w:rsidRPr="003E0A97" w:rsidRDefault="004C7569" w:rsidP="004C7569">
      <w:pPr>
        <w:overflowPunct w:val="0"/>
        <w:autoSpaceDE w:val="0"/>
        <w:autoSpaceDN w:val="0"/>
        <w:adjustRightInd w:val="0"/>
        <w:spacing w:after="0" w:line="240" w:lineRule="auto"/>
        <w:textAlignment w:val="baseline"/>
        <w:rPr>
          <w:rFonts w:eastAsia="Calibri" w:cs="Times New Roman"/>
        </w:rPr>
      </w:pPr>
      <w:r w:rsidRPr="003E0A97">
        <w:rPr>
          <w:rFonts w:eastAsia="Calibri" w:cs="Times New Roman"/>
        </w:rPr>
        <w:t>……………………………………………………</w:t>
      </w:r>
      <w:r w:rsidRPr="003E0A97">
        <w:rPr>
          <w:rFonts w:eastAsia="Calibri" w:cs="Times New Roman"/>
        </w:rPr>
        <w:tab/>
      </w:r>
      <w:r w:rsidRPr="003E0A97">
        <w:rPr>
          <w:rFonts w:eastAsia="Calibri" w:cs="Times New Roman"/>
        </w:rPr>
        <w:tab/>
      </w:r>
      <w:r w:rsidRPr="003E0A97">
        <w:rPr>
          <w:rFonts w:eastAsia="Calibri" w:cs="Times New Roman"/>
        </w:rPr>
        <w:tab/>
        <w:t>…………………………………………………</w:t>
      </w:r>
      <w:r w:rsidRPr="003E0A97">
        <w:rPr>
          <w:rFonts w:eastAsia="Calibri" w:cs="Times New Roman"/>
        </w:rPr>
        <w:tab/>
      </w:r>
      <w:r w:rsidRPr="003E0A97">
        <w:rPr>
          <w:rFonts w:eastAsia="Calibri" w:cs="Times New Roman"/>
        </w:rPr>
        <w:tab/>
      </w:r>
    </w:p>
    <w:p w14:paraId="3D6E84C1" w14:textId="07872592" w:rsidR="009F392E" w:rsidRPr="003E0A97" w:rsidRDefault="006B6CE3" w:rsidP="004C7569">
      <w:pPr>
        <w:overflowPunct w:val="0"/>
        <w:autoSpaceDE w:val="0"/>
        <w:autoSpaceDN w:val="0"/>
        <w:adjustRightInd w:val="0"/>
        <w:spacing w:after="0" w:line="240" w:lineRule="auto"/>
        <w:textAlignment w:val="baseline"/>
        <w:rPr>
          <w:rFonts w:eastAsia="Calibri" w:cs="Times New Roman"/>
        </w:rPr>
      </w:pPr>
      <w:r w:rsidRPr="003E0A97">
        <w:rPr>
          <w:rFonts w:eastAsia="Calibri" w:cs="Times New Roman"/>
        </w:rPr>
        <w:t xml:space="preserve">Ing. Petr Mádle </w:t>
      </w:r>
      <w:r w:rsidRPr="003E0A97">
        <w:rPr>
          <w:rFonts w:eastAsia="Calibri" w:cs="Times New Roman"/>
        </w:rPr>
        <w:tab/>
      </w:r>
      <w:r w:rsidR="004C7569" w:rsidRPr="003E0A97">
        <w:rPr>
          <w:rFonts w:eastAsia="Calibri" w:cs="Times New Roman"/>
        </w:rPr>
        <w:t xml:space="preserve"> </w:t>
      </w:r>
      <w:proofErr w:type="gramStart"/>
      <w:r w:rsidR="004C7569" w:rsidRPr="003E0A97">
        <w:rPr>
          <w:rFonts w:eastAsia="Calibri" w:cs="Times New Roman"/>
        </w:rPr>
        <w:tab/>
        <w:t xml:space="preserve">  </w:t>
      </w:r>
      <w:r w:rsidR="004C7569" w:rsidRPr="003E0A97">
        <w:rPr>
          <w:rFonts w:eastAsia="Calibri" w:cs="Times New Roman"/>
        </w:rPr>
        <w:tab/>
      </w:r>
      <w:proofErr w:type="gramEnd"/>
      <w:r w:rsidR="004C7569" w:rsidRPr="003E0A97">
        <w:rPr>
          <w:rFonts w:eastAsia="Calibri" w:cs="Times New Roman"/>
        </w:rPr>
        <w:tab/>
      </w:r>
      <w:r w:rsidR="004C7569" w:rsidRPr="003E0A97">
        <w:rPr>
          <w:rFonts w:eastAsia="Calibri" w:cs="Times New Roman"/>
        </w:rPr>
        <w:tab/>
      </w:r>
      <w:r w:rsidR="004C7569" w:rsidRPr="003E0A97">
        <w:rPr>
          <w:rFonts w:eastAsia="Calibri" w:cs="Times New Roman"/>
          <w:highlight w:val="green"/>
        </w:rPr>
        <w:t>[DOPLNÍ POSKYTOVATEL]</w:t>
      </w:r>
    </w:p>
    <w:p w14:paraId="66B8F747" w14:textId="1842C2A1" w:rsidR="006B6CE3" w:rsidRPr="003E0A97" w:rsidRDefault="006B6CE3" w:rsidP="004C7569">
      <w:pPr>
        <w:overflowPunct w:val="0"/>
        <w:autoSpaceDE w:val="0"/>
        <w:autoSpaceDN w:val="0"/>
        <w:adjustRightInd w:val="0"/>
        <w:spacing w:after="0" w:line="240" w:lineRule="auto"/>
        <w:textAlignment w:val="baseline"/>
        <w:rPr>
          <w:rFonts w:eastAsia="Calibri" w:cs="Times New Roman"/>
        </w:rPr>
      </w:pPr>
      <w:r w:rsidRPr="003E0A97">
        <w:rPr>
          <w:rFonts w:eastAsia="Calibri" w:cs="Times New Roman"/>
        </w:rPr>
        <w:t xml:space="preserve">ředitel </w:t>
      </w:r>
      <w:r w:rsidR="0055612A">
        <w:rPr>
          <w:rFonts w:eastAsia="Calibri" w:cs="Times New Roman"/>
        </w:rPr>
        <w:t xml:space="preserve">OJ </w:t>
      </w:r>
      <w:r w:rsidRPr="003E0A97">
        <w:rPr>
          <w:rFonts w:eastAsia="Calibri" w:cs="Times New Roman"/>
        </w:rPr>
        <w:t>Centr</w:t>
      </w:r>
      <w:r w:rsidR="0055612A">
        <w:rPr>
          <w:rFonts w:eastAsia="Calibri" w:cs="Times New Roman"/>
        </w:rPr>
        <w:t>um</w:t>
      </w:r>
      <w:r w:rsidRPr="003E0A97">
        <w:rPr>
          <w:rFonts w:eastAsia="Calibri" w:cs="Times New Roman"/>
        </w:rPr>
        <w:t xml:space="preserve"> telematiky a diagnostiky</w:t>
      </w:r>
    </w:p>
    <w:p w14:paraId="7873897F" w14:textId="47360783" w:rsidR="006B6CE3" w:rsidRPr="003E0A97" w:rsidRDefault="006B6CE3" w:rsidP="004C7569">
      <w:pPr>
        <w:overflowPunct w:val="0"/>
        <w:autoSpaceDE w:val="0"/>
        <w:autoSpaceDN w:val="0"/>
        <w:adjustRightInd w:val="0"/>
        <w:spacing w:after="0" w:line="240" w:lineRule="auto"/>
        <w:textAlignment w:val="baseline"/>
        <w:rPr>
          <w:rFonts w:eastAsia="Calibri" w:cs="Times New Roman"/>
        </w:rPr>
      </w:pPr>
      <w:r w:rsidRPr="003E0A97">
        <w:rPr>
          <w:rFonts w:eastAsia="Calibri" w:cs="Times New Roman"/>
        </w:rPr>
        <w:t>Správa železnic</w:t>
      </w:r>
      <w:r w:rsidR="00B528B0">
        <w:rPr>
          <w:rFonts w:eastAsia="Calibri" w:cs="Times New Roman"/>
        </w:rPr>
        <w:t>, státní organ</w:t>
      </w:r>
      <w:r w:rsidR="007F1282">
        <w:rPr>
          <w:rFonts w:eastAsia="Calibri" w:cs="Times New Roman"/>
        </w:rPr>
        <w:t>i</w:t>
      </w:r>
      <w:r w:rsidR="00B528B0">
        <w:rPr>
          <w:rFonts w:eastAsia="Calibri" w:cs="Times New Roman"/>
        </w:rPr>
        <w:t>zace</w:t>
      </w:r>
    </w:p>
    <w:sectPr w:rsidR="006B6CE3" w:rsidRPr="003E0A97"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18EC5" w14:textId="77777777" w:rsidR="00E1028C" w:rsidRDefault="00E1028C" w:rsidP="00962258">
      <w:pPr>
        <w:spacing w:after="0" w:line="240" w:lineRule="auto"/>
      </w:pPr>
      <w:r>
        <w:separator/>
      </w:r>
    </w:p>
  </w:endnote>
  <w:endnote w:type="continuationSeparator" w:id="0">
    <w:p w14:paraId="19413AD2" w14:textId="77777777" w:rsidR="00E1028C" w:rsidRDefault="00E1028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617E71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06E9">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F06E9">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195648"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5DD026"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C6EA9CD"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06E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F06E9">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77777777" w:rsidR="00592757" w:rsidRDefault="00592757" w:rsidP="00093A53">
          <w:pPr>
            <w:pStyle w:val="Zpat"/>
          </w:pPr>
          <w:r>
            <w:t>www.szdc.cz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C7C09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AD321D"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344FC" w14:textId="77777777" w:rsidR="00E1028C" w:rsidRDefault="00E1028C" w:rsidP="00962258">
      <w:pPr>
        <w:spacing w:after="0" w:line="240" w:lineRule="auto"/>
      </w:pPr>
      <w:r>
        <w:separator/>
      </w:r>
    </w:p>
  </w:footnote>
  <w:footnote w:type="continuationSeparator" w:id="0">
    <w:p w14:paraId="5D21A2C7" w14:textId="77777777" w:rsidR="00E1028C" w:rsidRDefault="00E1028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F254A72"/>
    <w:multiLevelType w:val="multilevel"/>
    <w:tmpl w:val="3D70442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1429" w:hanging="720"/>
      </w:pPr>
      <w:rPr>
        <w:b w:val="0"/>
        <w:bCs/>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F7E5B13"/>
    <w:multiLevelType w:val="hybridMultilevel"/>
    <w:tmpl w:val="6BF03A1E"/>
    <w:lvl w:ilvl="0" w:tplc="04050001">
      <w:start w:val="1"/>
      <w:numFmt w:val="bullet"/>
      <w:lvlText w:val=""/>
      <w:lvlJc w:val="left"/>
      <w:pPr>
        <w:ind w:left="2149" w:hanging="360"/>
      </w:pPr>
      <w:rPr>
        <w:rFonts w:ascii="Symbol" w:hAnsi="Symbol"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7" w15:restartNumberingAfterBreak="0">
    <w:nsid w:val="74070991"/>
    <w:multiLevelType w:val="multilevel"/>
    <w:tmpl w:val="CABE99FC"/>
    <w:numStyleLink w:val="ListNumbermultilevel"/>
  </w:abstractNum>
  <w:num w:numId="1" w16cid:durableId="1806459087">
    <w:abstractNumId w:val="2"/>
  </w:num>
  <w:num w:numId="2" w16cid:durableId="285356987">
    <w:abstractNumId w:val="0"/>
  </w:num>
  <w:num w:numId="3" w16cid:durableId="1574512018">
    <w:abstractNumId w:val="3"/>
  </w:num>
  <w:num w:numId="4" w16cid:durableId="1706759159">
    <w:abstractNumId w:val="7"/>
  </w:num>
  <w:num w:numId="5" w16cid:durableId="416251223">
    <w:abstractNumId w:val="5"/>
  </w:num>
  <w:num w:numId="6" w16cid:durableId="574782327">
    <w:abstractNumId w:val="4"/>
  </w:num>
  <w:num w:numId="7" w16cid:durableId="1514135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78195022">
    <w:abstractNumId w:val="1"/>
  </w:num>
  <w:num w:numId="9" w16cid:durableId="883833301">
    <w:abstractNumId w:val="6"/>
  </w:num>
  <w:num w:numId="10" w16cid:durableId="841168917">
    <w:abstractNumId w:val="4"/>
  </w:num>
  <w:num w:numId="11" w16cid:durableId="640766108">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068C"/>
    <w:rsid w:val="00040B7E"/>
    <w:rsid w:val="00072C1E"/>
    <w:rsid w:val="00073A69"/>
    <w:rsid w:val="00073F1A"/>
    <w:rsid w:val="00093D7C"/>
    <w:rsid w:val="000A1088"/>
    <w:rsid w:val="000A13BC"/>
    <w:rsid w:val="000A3F85"/>
    <w:rsid w:val="000D1A0F"/>
    <w:rsid w:val="000E23A7"/>
    <w:rsid w:val="0010693F"/>
    <w:rsid w:val="00107E5E"/>
    <w:rsid w:val="00111F39"/>
    <w:rsid w:val="00114472"/>
    <w:rsid w:val="00114D30"/>
    <w:rsid w:val="001202C7"/>
    <w:rsid w:val="0013379C"/>
    <w:rsid w:val="001550BC"/>
    <w:rsid w:val="001605B9"/>
    <w:rsid w:val="00170EC5"/>
    <w:rsid w:val="001747C1"/>
    <w:rsid w:val="00174B11"/>
    <w:rsid w:val="00180208"/>
    <w:rsid w:val="00184743"/>
    <w:rsid w:val="001C39FD"/>
    <w:rsid w:val="001F221E"/>
    <w:rsid w:val="001F32C9"/>
    <w:rsid w:val="001F7617"/>
    <w:rsid w:val="00207DF5"/>
    <w:rsid w:val="00210AF2"/>
    <w:rsid w:val="0024533A"/>
    <w:rsid w:val="00280E07"/>
    <w:rsid w:val="0029154D"/>
    <w:rsid w:val="002A2604"/>
    <w:rsid w:val="002C31BF"/>
    <w:rsid w:val="002D08B1"/>
    <w:rsid w:val="002E0CD7"/>
    <w:rsid w:val="002E10A0"/>
    <w:rsid w:val="002F45C8"/>
    <w:rsid w:val="003013FA"/>
    <w:rsid w:val="003071BD"/>
    <w:rsid w:val="003306C5"/>
    <w:rsid w:val="00341DCF"/>
    <w:rsid w:val="003452CE"/>
    <w:rsid w:val="00357BC6"/>
    <w:rsid w:val="00363F48"/>
    <w:rsid w:val="003956C6"/>
    <w:rsid w:val="003A4D59"/>
    <w:rsid w:val="003B39EC"/>
    <w:rsid w:val="003D30CA"/>
    <w:rsid w:val="003D703A"/>
    <w:rsid w:val="003E0A97"/>
    <w:rsid w:val="003F175E"/>
    <w:rsid w:val="003F20D8"/>
    <w:rsid w:val="003F7595"/>
    <w:rsid w:val="00417E0E"/>
    <w:rsid w:val="00441430"/>
    <w:rsid w:val="00450F07"/>
    <w:rsid w:val="00453CD3"/>
    <w:rsid w:val="00460660"/>
    <w:rsid w:val="00486107"/>
    <w:rsid w:val="00491827"/>
    <w:rsid w:val="00492DAB"/>
    <w:rsid w:val="00493B1B"/>
    <w:rsid w:val="00494F81"/>
    <w:rsid w:val="004A27C1"/>
    <w:rsid w:val="004A519A"/>
    <w:rsid w:val="004A6222"/>
    <w:rsid w:val="004B348C"/>
    <w:rsid w:val="004B7BC1"/>
    <w:rsid w:val="004C2FB0"/>
    <w:rsid w:val="004C4399"/>
    <w:rsid w:val="004C728D"/>
    <w:rsid w:val="004C7569"/>
    <w:rsid w:val="004C787C"/>
    <w:rsid w:val="004D31DA"/>
    <w:rsid w:val="004E143C"/>
    <w:rsid w:val="004E1498"/>
    <w:rsid w:val="004E3A53"/>
    <w:rsid w:val="004E7B39"/>
    <w:rsid w:val="004F32C4"/>
    <w:rsid w:val="004F4B9B"/>
    <w:rsid w:val="00503B7A"/>
    <w:rsid w:val="00511AB9"/>
    <w:rsid w:val="00515C11"/>
    <w:rsid w:val="00522467"/>
    <w:rsid w:val="005224E1"/>
    <w:rsid w:val="00523EA7"/>
    <w:rsid w:val="00524163"/>
    <w:rsid w:val="00527421"/>
    <w:rsid w:val="00537B7A"/>
    <w:rsid w:val="00544E19"/>
    <w:rsid w:val="00553375"/>
    <w:rsid w:val="0055612A"/>
    <w:rsid w:val="005736B7"/>
    <w:rsid w:val="00575E5A"/>
    <w:rsid w:val="00592757"/>
    <w:rsid w:val="00597E84"/>
    <w:rsid w:val="005B76DD"/>
    <w:rsid w:val="005D0FA9"/>
    <w:rsid w:val="005D5624"/>
    <w:rsid w:val="005E7A24"/>
    <w:rsid w:val="005F1404"/>
    <w:rsid w:val="0060520C"/>
    <w:rsid w:val="006062F9"/>
    <w:rsid w:val="0061068E"/>
    <w:rsid w:val="00624856"/>
    <w:rsid w:val="00633F0C"/>
    <w:rsid w:val="00660AD3"/>
    <w:rsid w:val="00677B7F"/>
    <w:rsid w:val="006A1FFC"/>
    <w:rsid w:val="006A44EF"/>
    <w:rsid w:val="006A5570"/>
    <w:rsid w:val="006A689C"/>
    <w:rsid w:val="006B3D79"/>
    <w:rsid w:val="006B6CE3"/>
    <w:rsid w:val="006C7697"/>
    <w:rsid w:val="006D7AFE"/>
    <w:rsid w:val="006E0578"/>
    <w:rsid w:val="006E314D"/>
    <w:rsid w:val="006E6E61"/>
    <w:rsid w:val="006F7CD7"/>
    <w:rsid w:val="00702628"/>
    <w:rsid w:val="007061F8"/>
    <w:rsid w:val="00710723"/>
    <w:rsid w:val="00723ED1"/>
    <w:rsid w:val="00730549"/>
    <w:rsid w:val="00743525"/>
    <w:rsid w:val="007510DD"/>
    <w:rsid w:val="0076286B"/>
    <w:rsid w:val="00766846"/>
    <w:rsid w:val="007740B1"/>
    <w:rsid w:val="0077673A"/>
    <w:rsid w:val="007846E1"/>
    <w:rsid w:val="007A0C04"/>
    <w:rsid w:val="007A27FA"/>
    <w:rsid w:val="007A62DB"/>
    <w:rsid w:val="007B570C"/>
    <w:rsid w:val="007C4B82"/>
    <w:rsid w:val="007C589B"/>
    <w:rsid w:val="007D3D9F"/>
    <w:rsid w:val="007E4A6E"/>
    <w:rsid w:val="007F1282"/>
    <w:rsid w:val="007F56A7"/>
    <w:rsid w:val="008077A8"/>
    <w:rsid w:val="00807DD0"/>
    <w:rsid w:val="00810E9B"/>
    <w:rsid w:val="00820AD6"/>
    <w:rsid w:val="00831E57"/>
    <w:rsid w:val="0086114C"/>
    <w:rsid w:val="008659F3"/>
    <w:rsid w:val="00886D4B"/>
    <w:rsid w:val="00895406"/>
    <w:rsid w:val="008A3568"/>
    <w:rsid w:val="008D03B9"/>
    <w:rsid w:val="008E1E86"/>
    <w:rsid w:val="008F06E9"/>
    <w:rsid w:val="008F18D6"/>
    <w:rsid w:val="008F3BC6"/>
    <w:rsid w:val="008F7DFE"/>
    <w:rsid w:val="00904780"/>
    <w:rsid w:val="00922385"/>
    <w:rsid w:val="009223DF"/>
    <w:rsid w:val="009300FB"/>
    <w:rsid w:val="00936091"/>
    <w:rsid w:val="00940D8A"/>
    <w:rsid w:val="00950C1F"/>
    <w:rsid w:val="00962258"/>
    <w:rsid w:val="009678B7"/>
    <w:rsid w:val="00971078"/>
    <w:rsid w:val="009833E1"/>
    <w:rsid w:val="00992D9C"/>
    <w:rsid w:val="00996CB8"/>
    <w:rsid w:val="009A0078"/>
    <w:rsid w:val="009B091C"/>
    <w:rsid w:val="009B14A9"/>
    <w:rsid w:val="009B2E97"/>
    <w:rsid w:val="009B46C1"/>
    <w:rsid w:val="009C651E"/>
    <w:rsid w:val="009D3556"/>
    <w:rsid w:val="009E07F4"/>
    <w:rsid w:val="009F392E"/>
    <w:rsid w:val="00A02EE7"/>
    <w:rsid w:val="00A423CF"/>
    <w:rsid w:val="00A52B36"/>
    <w:rsid w:val="00A53579"/>
    <w:rsid w:val="00A6177B"/>
    <w:rsid w:val="00A66136"/>
    <w:rsid w:val="00AA4CBB"/>
    <w:rsid w:val="00AA65FA"/>
    <w:rsid w:val="00AA7351"/>
    <w:rsid w:val="00AB53C9"/>
    <w:rsid w:val="00AB6759"/>
    <w:rsid w:val="00AD056F"/>
    <w:rsid w:val="00AD6731"/>
    <w:rsid w:val="00B00997"/>
    <w:rsid w:val="00B15D0D"/>
    <w:rsid w:val="00B528B0"/>
    <w:rsid w:val="00B55BD5"/>
    <w:rsid w:val="00B66E16"/>
    <w:rsid w:val="00B75EE1"/>
    <w:rsid w:val="00B77481"/>
    <w:rsid w:val="00B821C3"/>
    <w:rsid w:val="00B8518B"/>
    <w:rsid w:val="00BB184D"/>
    <w:rsid w:val="00BD7E91"/>
    <w:rsid w:val="00BF5E64"/>
    <w:rsid w:val="00C02D0A"/>
    <w:rsid w:val="00C03A6E"/>
    <w:rsid w:val="00C0637F"/>
    <w:rsid w:val="00C23B97"/>
    <w:rsid w:val="00C25494"/>
    <w:rsid w:val="00C31D25"/>
    <w:rsid w:val="00C44F6A"/>
    <w:rsid w:val="00C47AE3"/>
    <w:rsid w:val="00C57038"/>
    <w:rsid w:val="00C920B2"/>
    <w:rsid w:val="00CD1FC4"/>
    <w:rsid w:val="00CF484D"/>
    <w:rsid w:val="00D21061"/>
    <w:rsid w:val="00D31707"/>
    <w:rsid w:val="00D4108E"/>
    <w:rsid w:val="00D6163D"/>
    <w:rsid w:val="00D831A3"/>
    <w:rsid w:val="00D85C5B"/>
    <w:rsid w:val="00DB295F"/>
    <w:rsid w:val="00DC3559"/>
    <w:rsid w:val="00DC75F3"/>
    <w:rsid w:val="00DD46F3"/>
    <w:rsid w:val="00DE56F2"/>
    <w:rsid w:val="00DF116D"/>
    <w:rsid w:val="00E1028C"/>
    <w:rsid w:val="00E61E32"/>
    <w:rsid w:val="00E73DA0"/>
    <w:rsid w:val="00E77EEC"/>
    <w:rsid w:val="00EB104F"/>
    <w:rsid w:val="00ED14BD"/>
    <w:rsid w:val="00EF1804"/>
    <w:rsid w:val="00EF6D54"/>
    <w:rsid w:val="00F0533E"/>
    <w:rsid w:val="00F076A0"/>
    <w:rsid w:val="00F1048D"/>
    <w:rsid w:val="00F12DEC"/>
    <w:rsid w:val="00F1715C"/>
    <w:rsid w:val="00F2706E"/>
    <w:rsid w:val="00F310F8"/>
    <w:rsid w:val="00F35939"/>
    <w:rsid w:val="00F42691"/>
    <w:rsid w:val="00F45607"/>
    <w:rsid w:val="00F659EB"/>
    <w:rsid w:val="00F86BA6"/>
    <w:rsid w:val="00F969C4"/>
    <w:rsid w:val="00FA347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CEE51014-80A9-45E4-9839-7577759D7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character" w:customStyle="1" w:styleId="Nevyeenzmnka2">
    <w:name w:val="Nevyřešená zmínka2"/>
    <w:basedOn w:val="Standardnpsmoodstavce"/>
    <w:uiPriority w:val="99"/>
    <w:semiHidden/>
    <w:unhideWhenUsed/>
    <w:rsid w:val="004C2FB0"/>
    <w:rPr>
      <w:color w:val="605E5C"/>
      <w:shd w:val="clear" w:color="auto" w:fill="E1DFDD"/>
    </w:rPr>
  </w:style>
  <w:style w:type="paragraph" w:customStyle="1" w:styleId="Textbezodsazen">
    <w:name w:val="_Text_bez_odsazení"/>
    <w:basedOn w:val="Normln"/>
    <w:link w:val="TextbezodsazenChar"/>
    <w:qFormat/>
    <w:rsid w:val="00624856"/>
    <w:pPr>
      <w:spacing w:after="120"/>
      <w:jc w:val="both"/>
    </w:pPr>
  </w:style>
  <w:style w:type="character" w:customStyle="1" w:styleId="TextbezodsazenChar">
    <w:name w:val="_Text_bez_odsazení Char"/>
    <w:basedOn w:val="Standardnpsmoodstavce"/>
    <w:link w:val="Textbezodsazen"/>
    <w:rsid w:val="00624856"/>
  </w:style>
  <w:style w:type="paragraph" w:customStyle="1" w:styleId="acnormal">
    <w:name w:val="ac_normal"/>
    <w:basedOn w:val="Normln"/>
    <w:link w:val="acnormalChar"/>
    <w:uiPriority w:val="99"/>
    <w:qFormat/>
    <w:rsid w:val="00624856"/>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4856"/>
    <w:rPr>
      <w:rFonts w:ascii="Calibri" w:eastAsia="Calibri" w:hAnsi="Calibri" w:cs="Times New Roman"/>
      <w:sz w:val="16"/>
      <w:szCs w:val="22"/>
    </w:rPr>
  </w:style>
  <w:style w:type="character" w:styleId="Nevyeenzmnka">
    <w:name w:val="Unresolved Mention"/>
    <w:basedOn w:val="Standardnpsmoodstavce"/>
    <w:uiPriority w:val="99"/>
    <w:semiHidden/>
    <w:unhideWhenUsed/>
    <w:rsid w:val="00831E57"/>
    <w:rPr>
      <w:color w:val="605E5C"/>
      <w:shd w:val="clear" w:color="auto" w:fill="E1DFDD"/>
    </w:rPr>
  </w:style>
  <w:style w:type="paragraph" w:styleId="Revize">
    <w:name w:val="Revision"/>
    <w:hidden/>
    <w:uiPriority w:val="99"/>
    <w:semiHidden/>
    <w:rsid w:val="00E61E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TD@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E9BA65C-9321-43F1-B0E2-DD46969388C8}">
  <ds:schemaRefs>
    <ds:schemaRef ds:uri="http://schemas.openxmlformats.org/officeDocument/2006/bibliography"/>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E5F687FF-1D00-40AE-973D-482343E35C4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2522</Words>
  <Characters>14881</Characters>
  <Application>Microsoft Office Word</Application>
  <DocSecurity>0</DocSecurity>
  <Lines>124</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Mergancová Markéta, Mgr.</cp:lastModifiedBy>
  <cp:revision>8</cp:revision>
  <cp:lastPrinted>2021-07-27T07:33:00Z</cp:lastPrinted>
  <dcterms:created xsi:type="dcterms:W3CDTF">2022-11-15T06:02:00Z</dcterms:created>
  <dcterms:modified xsi:type="dcterms:W3CDTF">2023-01-09T12:08:00Z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