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5C7724" w:rsidRPr="005C7724">
        <w:rPr>
          <w:rFonts w:ascii="Verdana" w:hAnsi="Verdana"/>
          <w:b/>
          <w:sz w:val="18"/>
          <w:szCs w:val="18"/>
        </w:rPr>
        <w:t>Revize a opravy hasicích přenosných přístrojů a hydrantů pro oblast Pardubice 2023 - 2025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5C7724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 xml:space="preserve">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 xml:space="preserve">jinými osobami zakázanou dohodu ve smyslu zákona č. 143/2001 Sb., o 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>změně některých zákonů (zákon o o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C772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C7724" w:rsidRPr="005C77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724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5F429E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87395-6B10-47D9-A7EA-342F0E326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2023-01-04T12:49:00Z</dcterms:modified>
</cp:coreProperties>
</file>