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25039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DE00F59" w:rsidR="00072FD9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5D0299B7" w:rsidR="007A2522" w:rsidRPr="008B5521" w:rsidRDefault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75E5B">
        <w:rPr>
          <w:rFonts w:ascii="Verdana" w:hAnsi="Verdana" w:cstheme="minorHAnsi"/>
          <w:b/>
          <w:sz w:val="28"/>
          <w:szCs w:val="28"/>
          <w:u w:val="single"/>
        </w:rPr>
        <w:t>Dodávka osobních ochranných pracovních prostředků u OŘ HK 2022 - 2023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54E39C60" w:rsidR="00CC5257" w:rsidRDefault="00022D53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3E4F52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3E4F52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3154BF5F" w:rsidR="003228FB" w:rsidRDefault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F97CD6">
        <w:rPr>
          <w:rFonts w:ascii="Verdana" w:hAnsi="Verdana" w:cstheme="minorHAnsi"/>
          <w:b/>
          <w:sz w:val="22"/>
          <w:u w:val="single"/>
        </w:rPr>
        <w:t>64022049</w:t>
      </w:r>
    </w:p>
    <w:p w14:paraId="356CE5DC" w14:textId="42DB1F39" w:rsidR="00072FD9" w:rsidRPr="008B5521" w:rsidRDefault="006F1EC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6941C8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PRODÁVAJÍCÍ]"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22949704" w:rsidR="0022127F" w:rsidRPr="008B5521" w:rsidRDefault="0022127F" w:rsidP="00B2503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B25039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375E5B" w:rsidRDefault="000A5BC6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375E5B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375E5B">
        <w:rPr>
          <w:rFonts w:ascii="Verdana" w:hAnsi="Verdana" w:cstheme="minorHAnsi"/>
          <w:sz w:val="18"/>
          <w:szCs w:val="18"/>
        </w:rPr>
        <w:t> </w:t>
      </w:r>
      <w:r w:rsidR="000B6260" w:rsidRPr="00375E5B">
        <w:rPr>
          <w:rFonts w:ascii="Verdana" w:hAnsi="Verdana" w:cstheme="minorHAnsi"/>
          <w:sz w:val="18"/>
          <w:szCs w:val="18"/>
        </w:rPr>
        <w:t>Praze</w:t>
      </w:r>
      <w:r w:rsidR="001C7A89" w:rsidRPr="00375E5B">
        <w:rPr>
          <w:rFonts w:ascii="Verdana" w:hAnsi="Verdana" w:cstheme="minorHAnsi"/>
          <w:sz w:val="18"/>
          <w:szCs w:val="18"/>
        </w:rPr>
        <w:t>, oddíl A, vložka</w:t>
      </w:r>
      <w:r w:rsidR="00D734CC" w:rsidRPr="00375E5B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72116A5" w:rsidR="00D734CC" w:rsidRDefault="00D734CC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>Zastoupena:</w:t>
      </w:r>
      <w:r w:rsidR="00640C8A" w:rsidRPr="00375E5B">
        <w:rPr>
          <w:rFonts w:ascii="Verdana" w:hAnsi="Verdana" w:cstheme="minorHAnsi"/>
          <w:sz w:val="18"/>
          <w:szCs w:val="18"/>
        </w:rPr>
        <w:tab/>
      </w:r>
      <w:r w:rsidR="003228FB" w:rsidRPr="00375E5B">
        <w:rPr>
          <w:rFonts w:ascii="Verdana" w:hAnsi="Verdana" w:cstheme="minorHAnsi"/>
          <w:sz w:val="18"/>
          <w:szCs w:val="18"/>
        </w:rPr>
        <w:t xml:space="preserve">Ing. </w:t>
      </w:r>
      <w:r w:rsidR="007C1409" w:rsidRPr="00375E5B">
        <w:rPr>
          <w:rFonts w:ascii="Verdana" w:hAnsi="Verdana" w:cstheme="minorHAnsi"/>
          <w:sz w:val="18"/>
          <w:szCs w:val="18"/>
        </w:rPr>
        <w:t>Petrem Vodičkou</w:t>
      </w:r>
      <w:r w:rsidR="003228FB" w:rsidRPr="00375E5B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2B5750" w:rsidRPr="00375E5B">
        <w:rPr>
          <w:rFonts w:ascii="Verdana" w:hAnsi="Verdana" w:cstheme="minorHAnsi"/>
          <w:sz w:val="18"/>
          <w:szCs w:val="18"/>
        </w:rPr>
        <w:t>na </w:t>
      </w:r>
      <w:r w:rsidR="007C1409" w:rsidRPr="00375E5B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0B4B7169" w14:textId="6EB88456" w:rsidR="003E4F52" w:rsidRDefault="001E1F53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B25039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B25039">
      <w:pPr>
        <w:spacing w:before="12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1A506675" w14:textId="33538F40" w:rsidR="00194826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0095D48A" w:rsidR="00CC5257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201FD196" w14:textId="277DE727" w:rsidR="00CC5257" w:rsidRPr="008B5521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1" w:name="Text3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F5D76EA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53F9236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5D28BDB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3562925" w:rsidR="008D7572" w:rsidRPr="007A2522" w:rsidRDefault="008D757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6C6AA4F0" w:rsidR="008D7572" w:rsidRPr="007A2522" w:rsidRDefault="00B55BD0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373C1DAE" w:rsidR="00402E9E" w:rsidRPr="007A2522" w:rsidRDefault="000A5BC6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apsá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582DCC4F" w:rsidR="00CC5257" w:rsidRPr="007A2522" w:rsidRDefault="000A5BC6" w:rsidP="00B25039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576ED18" w14:textId="4932BAE5" w:rsidR="000C051F" w:rsidRPr="007A2522" w:rsidRDefault="000C051F" w:rsidP="00B25039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2B43E83A" w:rsidR="000C051F" w:rsidRPr="000C051F" w:rsidRDefault="000C051F" w:rsidP="00B25039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lastRenderedPageBreak/>
        <w:t xml:space="preserve">Adresa pro doručování písemnosti v elektronické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B25039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75E5B" w:rsidRDefault="00E5485A" w:rsidP="00B2503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</w:t>
      </w:r>
      <w:r w:rsidR="00CC5257" w:rsidRPr="00375E5B">
        <w:rPr>
          <w:rFonts w:ascii="Verdana" w:hAnsi="Verdana" w:cstheme="minorHAnsi"/>
          <w:sz w:val="18"/>
          <w:szCs w:val="18"/>
        </w:rPr>
        <w:t xml:space="preserve">měsíce a roku tuto </w:t>
      </w:r>
      <w:r w:rsidR="00881560" w:rsidRPr="00375E5B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75E5B">
        <w:rPr>
          <w:rFonts w:ascii="Verdana" w:hAnsi="Verdana" w:cstheme="minorHAnsi"/>
          <w:sz w:val="18"/>
          <w:szCs w:val="18"/>
        </w:rPr>
        <w:t>dohodu</w:t>
      </w:r>
    </w:p>
    <w:p w14:paraId="5D72458A" w14:textId="1B3E6592" w:rsidR="000C4186" w:rsidRPr="008B5521" w:rsidRDefault="000B560C" w:rsidP="00B25039">
      <w:pPr>
        <w:jc w:val="both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75E5B">
        <w:rPr>
          <w:rFonts w:ascii="Verdana" w:hAnsi="Verdana" w:cstheme="minorHAnsi"/>
          <w:sz w:val="18"/>
          <w:szCs w:val="18"/>
        </w:rPr>
        <w:t xml:space="preserve">Rámcová </w:t>
      </w:r>
      <w:r w:rsidRPr="00375E5B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375E5B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75E5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75E5B">
        <w:rPr>
          <w:rFonts w:ascii="Verdana" w:hAnsi="Verdana" w:cstheme="minorHAnsi"/>
          <w:sz w:val="18"/>
          <w:szCs w:val="18"/>
        </w:rPr>
        <w:t>dohody odpovídající</w:t>
      </w:r>
      <w:r w:rsidR="00E01062" w:rsidRPr="00375E5B">
        <w:rPr>
          <w:rFonts w:ascii="Verdana" w:hAnsi="Verdana" w:cstheme="minorHAnsi"/>
          <w:sz w:val="18"/>
          <w:szCs w:val="18"/>
        </w:rPr>
        <w:t xml:space="preserve"> </w:t>
      </w:r>
      <w:r w:rsidR="000A53AE" w:rsidRPr="00375E5B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375E5B">
        <w:rPr>
          <w:rFonts w:ascii="Verdana" w:hAnsi="Verdana" w:cstheme="minorHAnsi"/>
          <w:sz w:val="18"/>
          <w:szCs w:val="18"/>
        </w:rPr>
        <w:t>podlimitní sektorov</w:t>
      </w:r>
      <w:r w:rsidR="000A53AE" w:rsidRPr="00375E5B">
        <w:rPr>
          <w:rFonts w:ascii="Verdana" w:hAnsi="Verdana" w:cstheme="minorHAnsi"/>
          <w:sz w:val="18"/>
          <w:szCs w:val="18"/>
        </w:rPr>
        <w:t>ou</w:t>
      </w:r>
      <w:r w:rsidR="005E6DAB" w:rsidRPr="00375E5B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75E5B">
        <w:rPr>
          <w:rFonts w:ascii="Verdana" w:hAnsi="Verdana" w:cstheme="minorHAnsi"/>
          <w:sz w:val="18"/>
          <w:szCs w:val="18"/>
        </w:rPr>
        <w:t>ou</w:t>
      </w:r>
      <w:r w:rsidR="005E6DAB" w:rsidRPr="00375E5B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75E5B">
        <w:rPr>
          <w:rFonts w:ascii="Verdana" w:hAnsi="Verdana" w:cstheme="minorHAnsi"/>
          <w:sz w:val="18"/>
          <w:szCs w:val="18"/>
        </w:rPr>
        <w:t>u</w:t>
      </w:r>
      <w:r w:rsidR="00375E5B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375E5B">
        <w:rPr>
          <w:rFonts w:ascii="Verdana" w:hAnsi="Verdana" w:cstheme="minorHAnsi"/>
          <w:sz w:val="18"/>
          <w:szCs w:val="18"/>
        </w:rPr>
        <w:t>Dodávka osobních ochranných pracovních prostředků u OŘ HK 2022 - 2023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7A2522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7A2522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F97CD6" w:rsidRPr="00F97CD6">
        <w:rPr>
          <w:rFonts w:ascii="Verdana" w:hAnsi="Verdana" w:cstheme="minorHAnsi"/>
          <w:sz w:val="18"/>
          <w:szCs w:val="18"/>
        </w:rPr>
        <w:t>25673/2022-SŽ-OŘ HKR-NPI</w:t>
      </w:r>
      <w:bookmarkStart w:id="2" w:name="_GoBack"/>
      <w:bookmarkEnd w:id="2"/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5031A6CC" w:rsidR="000B560C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Pr="00375E5B">
        <w:t xml:space="preserve">v  </w:t>
      </w:r>
      <w:r w:rsidRPr="00375E5B">
        <w:rPr>
          <w:lang w:eastAsia="cs-CZ"/>
        </w:rPr>
        <w:t xml:space="preserve">příloze č. </w:t>
      </w:r>
      <w:r w:rsidR="007465F2" w:rsidRPr="00375E5B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="002B5750">
        <w:rPr>
          <w:lang w:eastAsia="cs-CZ"/>
        </w:rPr>
        <w:t>této 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2CFF8FE0" w14:textId="4C4BE868" w:rsidR="00893290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3606FAA" w:rsidR="00893290" w:rsidRPr="008B5521" w:rsidRDefault="00893290" w:rsidP="00B25039">
      <w:pPr>
        <w:pStyle w:val="acnormalbulleted"/>
        <w:numPr>
          <w:ilvl w:val="0"/>
          <w:numId w:val="16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="002B5750">
        <w:t xml:space="preserve"> postupem uvedeným v této 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62F86A3B" w:rsidR="00B74412" w:rsidRPr="008B5521" w:rsidRDefault="00D608AA" w:rsidP="00B25039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</w:t>
      </w:r>
      <w:r w:rsidR="00893290" w:rsidRPr="00375E5B">
        <w:t xml:space="preserve">objednávky je splněna, i pokud </w:t>
      </w:r>
      <w:r w:rsidRPr="00375E5B">
        <w:t>Kupující</w:t>
      </w:r>
      <w:r w:rsidR="00893290" w:rsidRPr="00375E5B">
        <w:t xml:space="preserve"> zašle Prodávajícímu objednávku e-mailovou zprávou.</w:t>
      </w:r>
      <w:r w:rsidR="00B74412" w:rsidRPr="00375E5B">
        <w:t xml:space="preserve"> </w:t>
      </w:r>
      <w:r w:rsidR="00986647" w:rsidRPr="00375E5B">
        <w:t xml:space="preserve">Objednávka bude </w:t>
      </w:r>
      <w:r w:rsidR="0068285C" w:rsidRPr="00375E5B">
        <w:t xml:space="preserve">Prodávajícímu </w:t>
      </w:r>
      <w:r w:rsidR="00986647" w:rsidRPr="00375E5B">
        <w:t xml:space="preserve">zaslána nejpozději </w:t>
      </w:r>
      <w:r w:rsidR="00375E5B" w:rsidRPr="00375E5B">
        <w:t>5</w:t>
      </w:r>
      <w:r w:rsidR="00986647" w:rsidRPr="00375E5B">
        <w:t xml:space="preserve"> pracovních dní před předpokládaným dodáním zboží. </w:t>
      </w:r>
      <w:r w:rsidR="00B74412" w:rsidRPr="00375E5B">
        <w:t>Smluvní</w:t>
      </w:r>
      <w:r w:rsidR="00B74412" w:rsidRPr="008B5521">
        <w:t xml:space="preserve">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24513D55" w14:textId="537E0013" w:rsidR="00B74412" w:rsidRPr="008B5521" w:rsidRDefault="007A252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375E5B">
        <w:rPr>
          <w:rFonts w:ascii="Verdana" w:hAnsi="Verdana"/>
          <w:sz w:val="18"/>
          <w:szCs w:val="18"/>
        </w:rPr>
        <w:t>Hojna</w:t>
      </w:r>
      <w:r w:rsidR="00B74412" w:rsidRPr="008B5521">
        <w:rPr>
          <w:rFonts w:ascii="Verdana" w:hAnsi="Verdana"/>
          <w:sz w:val="18"/>
          <w:szCs w:val="18"/>
        </w:rPr>
        <w:t>@</w:t>
      </w:r>
      <w:r w:rsidR="00395B1A">
        <w:rPr>
          <w:rFonts w:ascii="Verdana" w:hAnsi="Verdana"/>
          <w:sz w:val="18"/>
          <w:szCs w:val="18"/>
        </w:rPr>
        <w:t>spravazeleznic</w:t>
      </w:r>
      <w:r w:rsidR="00B74412" w:rsidRPr="008B5521">
        <w:rPr>
          <w:rFonts w:ascii="Verdana" w:hAnsi="Verdana"/>
          <w:sz w:val="18"/>
          <w:szCs w:val="18"/>
        </w:rPr>
        <w:t>.cz</w:t>
      </w:r>
    </w:p>
    <w:p w14:paraId="5BAAA81D" w14:textId="5208593D" w:rsidR="00B74412" w:rsidRPr="008B5521" w:rsidRDefault="00B7441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Prodávající:</w:t>
      </w:r>
      <w:r w:rsidR="007A2522">
        <w:rPr>
          <w:rFonts w:ascii="Verdana" w:hAnsi="Verdana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B25039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375E5B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375E5B">
        <w:rPr>
          <w:rFonts w:ascii="Verdana" w:hAnsi="Verdana" w:cstheme="minorHAnsi"/>
          <w:sz w:val="18"/>
          <w:szCs w:val="18"/>
        </w:rPr>
        <w:t>Kupujícího</w:t>
      </w:r>
      <w:r w:rsidRPr="00375E5B">
        <w:rPr>
          <w:rFonts w:ascii="Verdana" w:hAnsi="Verdana" w:cstheme="minorHAnsi"/>
          <w:sz w:val="18"/>
          <w:szCs w:val="18"/>
        </w:rPr>
        <w:t>,</w:t>
      </w:r>
    </w:p>
    <w:p w14:paraId="7AA48797" w14:textId="460DEC04" w:rsidR="00893290" w:rsidRPr="00375E5B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375E5B" w:rsidRPr="00375E5B">
        <w:rPr>
          <w:rFonts w:ascii="Verdana" w:hAnsi="Verdana" w:cstheme="minorHAnsi"/>
          <w:sz w:val="18"/>
          <w:szCs w:val="18"/>
        </w:rPr>
        <w:t>2</w:t>
      </w:r>
      <w:r w:rsidR="007465F2" w:rsidRPr="00375E5B">
        <w:rPr>
          <w:rFonts w:ascii="Verdana" w:hAnsi="Verdana" w:cstheme="minorHAnsi"/>
          <w:sz w:val="18"/>
          <w:szCs w:val="18"/>
        </w:rPr>
        <w:t xml:space="preserve"> </w:t>
      </w:r>
      <w:r w:rsidRPr="00375E5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75E5B">
        <w:rPr>
          <w:rFonts w:ascii="Verdana" w:hAnsi="Verdana" w:cstheme="minorHAnsi"/>
          <w:sz w:val="18"/>
          <w:szCs w:val="18"/>
        </w:rPr>
        <w:t>Rámcové</w:t>
      </w:r>
      <w:r w:rsidRPr="00375E5B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375E5B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310A08B0" w:rsidR="00893290" w:rsidRPr="000C051F" w:rsidRDefault="00893290" w:rsidP="00B25039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</w:t>
      </w:r>
      <w:r w:rsidR="00BB2B30">
        <w:t> </w:t>
      </w:r>
      <w:r w:rsidRPr="000C051F">
        <w:t xml:space="preserve">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1236A41C" w:rsidR="00893290" w:rsidRPr="00375E5B" w:rsidRDefault="00D608AA" w:rsidP="00B25039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375E5B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</w:t>
      </w:r>
      <w:r w:rsidR="00893290" w:rsidRPr="00375E5B">
        <w:t xml:space="preserve">ustanoveními této </w:t>
      </w:r>
      <w:r w:rsidR="00881560" w:rsidRPr="00375E5B">
        <w:t>Rámcové</w:t>
      </w:r>
      <w:r w:rsidR="00893290" w:rsidRPr="00375E5B">
        <w:t xml:space="preserve"> dohody a jejích příloh. </w:t>
      </w:r>
    </w:p>
    <w:p w14:paraId="37DB95F5" w14:textId="29A8B72E" w:rsidR="000C051F" w:rsidRPr="00375E5B" w:rsidRDefault="000C051F" w:rsidP="00B2503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375E5B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592A8C" w:rsidRPr="00375E5B">
        <w:rPr>
          <w:rFonts w:ascii="Verdana" w:hAnsi="Verdana" w:cstheme="minorHAnsi"/>
          <w:sz w:val="18"/>
          <w:szCs w:val="18"/>
        </w:rPr>
        <w:t>ust</w:t>
      </w:r>
      <w:proofErr w:type="spellEnd"/>
      <w:r w:rsidR="00592A8C" w:rsidRPr="00375E5B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</w:t>
      </w:r>
      <w:r w:rsidR="00BB2B30" w:rsidRPr="00375E5B">
        <w:rPr>
          <w:rFonts w:ascii="Verdana" w:hAnsi="Verdana" w:cstheme="minorHAnsi"/>
          <w:sz w:val="18"/>
          <w:szCs w:val="18"/>
        </w:rPr>
        <w:t> </w:t>
      </w:r>
      <w:r w:rsidR="00592A8C" w:rsidRPr="00375E5B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</w:t>
      </w:r>
      <w:r w:rsidR="00BB2B30" w:rsidRPr="00375E5B">
        <w:rPr>
          <w:rFonts w:ascii="Verdana" w:hAnsi="Verdana" w:cstheme="minorHAnsi"/>
          <w:sz w:val="18"/>
          <w:szCs w:val="18"/>
        </w:rPr>
        <w:t> </w:t>
      </w:r>
      <w:r w:rsidR="00592A8C" w:rsidRPr="00375E5B">
        <w:rPr>
          <w:rFonts w:ascii="Verdana" w:hAnsi="Verdana" w:cstheme="minorHAnsi"/>
          <w:sz w:val="18"/>
          <w:szCs w:val="18"/>
        </w:rPr>
        <w:t>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</w:t>
      </w:r>
      <w:r w:rsidR="00BB2B30" w:rsidRPr="00375E5B">
        <w:rPr>
          <w:rFonts w:ascii="Verdana" w:hAnsi="Verdana" w:cstheme="minorHAnsi"/>
          <w:sz w:val="18"/>
          <w:szCs w:val="18"/>
        </w:rPr>
        <w:t> </w:t>
      </w:r>
      <w:r w:rsidR="00592A8C" w:rsidRPr="00375E5B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375E5B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8822DD1" w:rsidR="00D608AA" w:rsidRPr="00B25039" w:rsidRDefault="00D608AA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dohoda je </w:t>
      </w:r>
      <w:r w:rsidRPr="008B5521">
        <w:t>uzavírána</w:t>
      </w:r>
      <w:r w:rsidRPr="008B5521">
        <w:rPr>
          <w:rFonts w:eastAsiaTheme="majorEastAsia"/>
          <w:bCs/>
        </w:rPr>
        <w:t xml:space="preserve"> na </w:t>
      </w:r>
      <w:r w:rsidRPr="00375E5B">
        <w:rPr>
          <w:rFonts w:eastAsiaTheme="majorEastAsia"/>
          <w:bCs/>
        </w:rPr>
        <w:t>dobu</w:t>
      </w:r>
      <w:r w:rsidR="007A2522" w:rsidRPr="00375E5B">
        <w:rPr>
          <w:rFonts w:eastAsiaTheme="majorEastAsia"/>
          <w:bCs/>
        </w:rPr>
        <w:t xml:space="preserve"> </w:t>
      </w:r>
      <w:r w:rsidR="00375E5B" w:rsidRPr="00375E5B">
        <w:rPr>
          <w:rFonts w:eastAsiaTheme="majorEastAsia"/>
          <w:bCs/>
        </w:rPr>
        <w:t>12</w:t>
      </w:r>
      <w:r w:rsidR="007A2522" w:rsidRPr="00375E5B">
        <w:rPr>
          <w:rFonts w:eastAsiaTheme="majorEastAsia"/>
          <w:bCs/>
        </w:rPr>
        <w:t xml:space="preserve"> </w:t>
      </w:r>
      <w:r w:rsidRPr="00375E5B">
        <w:rPr>
          <w:rFonts w:eastAsiaTheme="majorEastAsia"/>
          <w:bCs/>
        </w:rPr>
        <w:t>měsíců od nabytí její účinnosti</w:t>
      </w:r>
      <w:r w:rsidRPr="008B5521">
        <w:rPr>
          <w:rFonts w:eastAsiaTheme="majorEastAsia"/>
          <w:bCs/>
        </w:rPr>
        <w:t xml:space="preserve">, </w:t>
      </w:r>
      <w:r w:rsidRPr="00B25039">
        <w:t xml:space="preserve">anebo do doby uzavření dílčí smlouvy, na základě které dojde k objednání zboží dle této </w:t>
      </w:r>
      <w:r w:rsidR="00881560" w:rsidRPr="00B25039">
        <w:t>Rámcové</w:t>
      </w:r>
      <w:r w:rsidRPr="00B25039">
        <w:t xml:space="preserve"> dohody (v</w:t>
      </w:r>
      <w:r w:rsidR="00BB2B30" w:rsidRPr="00B25039">
        <w:t> </w:t>
      </w:r>
      <w:r w:rsidRPr="00B25039">
        <w:t xml:space="preserve">součtu všech dílčích smluv) v částce </w:t>
      </w:r>
      <w:r w:rsidRPr="007D710D">
        <w:t xml:space="preserve">převyšující </w:t>
      </w:r>
      <w:r w:rsidR="007D710D" w:rsidRPr="007D710D">
        <w:rPr>
          <w:rFonts w:cstheme="minorHAnsi"/>
        </w:rPr>
        <w:t>2 168 108,50</w:t>
      </w:r>
      <w:r w:rsidR="00B25039" w:rsidRPr="007D710D">
        <w:rPr>
          <w:rFonts w:cstheme="minorHAnsi"/>
        </w:rPr>
        <w:t xml:space="preserve"> Kč</w:t>
      </w:r>
      <w:r w:rsidR="00B25039" w:rsidRPr="007D710D">
        <w:rPr>
          <w:rFonts w:cstheme="minorHAnsi"/>
          <w:b/>
        </w:rPr>
        <w:t xml:space="preserve"> </w:t>
      </w:r>
      <w:r w:rsidR="00B25039" w:rsidRPr="007D710D">
        <w:rPr>
          <w:rFonts w:cstheme="minorHAnsi"/>
        </w:rPr>
        <w:t>bez DPH</w:t>
      </w:r>
      <w:r w:rsidRPr="007D710D">
        <w:t>.</w:t>
      </w:r>
      <w:r w:rsidRPr="00B25039">
        <w:t xml:space="preserve"> V případě, že dojde k ukončení účinnosti této </w:t>
      </w:r>
      <w:r w:rsidR="00881560" w:rsidRPr="00B25039">
        <w:t>Rámcové</w:t>
      </w:r>
      <w:r w:rsidRPr="00B25039">
        <w:t xml:space="preserve"> dohody dle předchozí v</w:t>
      </w:r>
      <w:r w:rsidR="002B5750" w:rsidRPr="00B25039">
        <w:t>ěty, nemá toto ukončení vliv na </w:t>
      </w:r>
      <w:r w:rsidRPr="00B25039">
        <w:t xml:space="preserve">účinnost dílčích smluv, které byly na základě této </w:t>
      </w:r>
      <w:r w:rsidR="00881560" w:rsidRPr="00B25039">
        <w:t>Rámcové</w:t>
      </w:r>
      <w:r w:rsidRPr="00B25039">
        <w:t xml:space="preserve"> dohody uzavřeny. Kupující není oprávněn na </w:t>
      </w:r>
      <w:r w:rsidRPr="007D710D">
        <w:t xml:space="preserve">základě této </w:t>
      </w:r>
      <w:r w:rsidR="00881560" w:rsidRPr="007D710D">
        <w:t>Rámcové</w:t>
      </w:r>
      <w:r w:rsidRPr="007D710D">
        <w:t xml:space="preserve"> dohody učinit objednávky (v součtu všech objednávek) přesahující </w:t>
      </w:r>
      <w:r w:rsidR="00B25039" w:rsidRPr="007D710D">
        <w:rPr>
          <w:rFonts w:cstheme="minorHAnsi"/>
        </w:rPr>
        <w:t>částku</w:t>
      </w:r>
      <w:r w:rsidR="007D710D" w:rsidRPr="007D710D">
        <w:rPr>
          <w:rFonts w:cstheme="minorHAnsi"/>
        </w:rPr>
        <w:t xml:space="preserve"> </w:t>
      </w:r>
      <w:r w:rsidR="007D710D" w:rsidRPr="007D710D">
        <w:rPr>
          <w:rFonts w:eastAsiaTheme="majorEastAsia" w:cstheme="majorBidi"/>
        </w:rPr>
        <w:t>2</w:t>
      </w:r>
      <w:r w:rsidR="007D710D">
        <w:rPr>
          <w:rFonts w:eastAsiaTheme="majorEastAsia" w:cstheme="majorBidi"/>
        </w:rPr>
        <w:t xml:space="preserve"> 173 108,50 </w:t>
      </w:r>
      <w:r w:rsidRPr="00B25039">
        <w:t>Kč</w:t>
      </w:r>
      <w:r w:rsidRPr="00B25039">
        <w:rPr>
          <w:b/>
        </w:rPr>
        <w:t xml:space="preserve"> </w:t>
      </w:r>
      <w:r w:rsidRPr="00B25039">
        <w:t>bez DPH</w:t>
      </w:r>
      <w:r w:rsidRPr="00B25039">
        <w:rPr>
          <w:rFonts w:eastAsiaTheme="majorEastAsia"/>
          <w:bCs/>
        </w:rPr>
        <w:t>.</w:t>
      </w:r>
    </w:p>
    <w:p w14:paraId="7EC44902" w14:textId="024827F3" w:rsidR="00062B10" w:rsidRPr="00375E5B" w:rsidRDefault="00D608AA" w:rsidP="00B25039">
      <w:pPr>
        <w:pStyle w:val="acnormalbulleted"/>
        <w:numPr>
          <w:ilvl w:val="0"/>
          <w:numId w:val="1"/>
        </w:numPr>
      </w:pPr>
      <w:r w:rsidRPr="00375E5B">
        <w:t>Míst</w:t>
      </w:r>
      <w:r w:rsidR="00474AD3" w:rsidRPr="00375E5B">
        <w:t>o</w:t>
      </w:r>
      <w:r w:rsidRPr="00375E5B">
        <w:t xml:space="preserve"> plnění dílčích smluv je zpravidla uvedeno v dílčí smlouvě. </w:t>
      </w:r>
      <w:r w:rsidR="00062B10" w:rsidRPr="00375E5B">
        <w:rPr>
          <w:rFonts w:eastAsiaTheme="majorEastAsia"/>
          <w:bCs/>
        </w:rPr>
        <w:t>Dopravu požadovaného zboží</w:t>
      </w:r>
      <w:r w:rsidR="002B5750" w:rsidRPr="00375E5B">
        <w:rPr>
          <w:rFonts w:eastAsiaTheme="majorEastAsia"/>
          <w:bCs/>
        </w:rPr>
        <w:t xml:space="preserve"> do </w:t>
      </w:r>
      <w:r w:rsidR="00062B10" w:rsidRPr="00375E5B">
        <w:rPr>
          <w:rFonts w:eastAsiaTheme="majorEastAsia"/>
          <w:bCs/>
        </w:rPr>
        <w:t>místa plnění zajišťuje Prodávající.</w:t>
      </w:r>
      <w:r w:rsidR="00062B10" w:rsidRPr="00375E5B">
        <w:t xml:space="preserve"> </w:t>
      </w:r>
    </w:p>
    <w:p w14:paraId="4B31DD05" w14:textId="06A3AB8F" w:rsidR="00D034CB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 </w:t>
      </w:r>
      <w:r w:rsidR="00D034CB" w:rsidRPr="008B5521">
        <w:t xml:space="preserve">Kupující požaduje, aby Prodávající realizoval plnění </w:t>
      </w:r>
      <w:r w:rsidR="00083201" w:rsidRPr="008B5521">
        <w:t>dílčích smluv</w:t>
      </w:r>
      <w:r w:rsidR="00D034CB" w:rsidRPr="008B5521">
        <w:t xml:space="preserve"> ve lhůtách uvedených v</w:t>
      </w:r>
      <w:r w:rsidR="00D608AA" w:rsidRPr="008B5521">
        <w:t> dílčí smlouvě</w:t>
      </w:r>
      <w:r w:rsidR="00D034CB" w:rsidRPr="008B5521">
        <w:t>. Prodávající je povinen tyto lhůty dodržet.</w:t>
      </w:r>
    </w:p>
    <w:p w14:paraId="52F8D611" w14:textId="2C415F5A" w:rsidR="00062B10" w:rsidRPr="008B5521" w:rsidRDefault="00D034CB" w:rsidP="00B25039">
      <w:pPr>
        <w:pStyle w:val="acnormalbulleted"/>
        <w:numPr>
          <w:ilvl w:val="0"/>
          <w:numId w:val="1"/>
        </w:numPr>
      </w:pPr>
      <w:r w:rsidRPr="008B5521"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>s</w:t>
      </w:r>
      <w:r w:rsidR="002B5750">
        <w:t>tran skutečnosti mající vliv na </w:t>
      </w:r>
      <w:r w:rsidR="00062B10" w:rsidRPr="008B5521">
        <w:t xml:space="preserve">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375E5B">
        <w:t>4 pracovní dny</w:t>
      </w:r>
      <w:r w:rsidR="00062B10" w:rsidRPr="008B5521">
        <w:t xml:space="preserve"> před sjednaným </w:t>
      </w:r>
      <w:r w:rsidR="00062B10" w:rsidRPr="008B5521">
        <w:lastRenderedPageBreak/>
        <w:t xml:space="preserve">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2304FA49" w:rsidR="00062B10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3FB70D26" w14:textId="0A3AD7E6" w:rsidR="00062B10" w:rsidRPr="008B5521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375E5B">
        <w:rPr>
          <w:rFonts w:ascii="Verdana" w:hAnsi="Verdana"/>
          <w:sz w:val="18"/>
        </w:rPr>
        <w:t>7:00 – 13:00</w:t>
      </w:r>
      <w:r w:rsidRPr="007A252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6693236E" w:rsidR="00062B10" w:rsidRPr="00375E5B" w:rsidRDefault="00685D2E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>Speciální balení se nevyžaduje</w:t>
      </w:r>
      <w:r w:rsidR="00375E5B" w:rsidRPr="00375E5B">
        <w:rPr>
          <w:rFonts w:ascii="Verdana" w:hAnsi="Verdana" w:cstheme="minorHAnsi"/>
          <w:sz w:val="18"/>
          <w:szCs w:val="18"/>
        </w:rPr>
        <w:t>, prodávající je povinen použít balení dle obvyklých standardů tak, aby byl předmět koupě dostatečně chráněn před poškozením</w:t>
      </w:r>
      <w:r w:rsidRPr="00375E5B">
        <w:rPr>
          <w:rFonts w:ascii="Verdana" w:hAnsi="Verdana" w:cstheme="minorHAnsi"/>
          <w:sz w:val="18"/>
          <w:szCs w:val="18"/>
        </w:rPr>
        <w:t>.</w:t>
      </w:r>
    </w:p>
    <w:p w14:paraId="274D4255" w14:textId="43B30DA0" w:rsidR="00211202" w:rsidRPr="00375E5B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CENA DODÁVEK A PLATEBNÍ </w:t>
      </w:r>
      <w:r w:rsidRPr="00375E5B">
        <w:rPr>
          <w:rFonts w:ascii="Verdana" w:hAnsi="Verdana" w:cstheme="minorHAnsi"/>
          <w:b/>
          <w:sz w:val="22"/>
        </w:rPr>
        <w:t>PODMÍNKY</w:t>
      </w:r>
    </w:p>
    <w:p w14:paraId="59F67093" w14:textId="2ABC3846" w:rsidR="00CB26F1" w:rsidRPr="00CC675F" w:rsidRDefault="00496E5D" w:rsidP="00B25039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75E5B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</w:t>
      </w:r>
      <w:r w:rsidRPr="00CC675F">
        <w:rPr>
          <w:rFonts w:ascii="Verdana" w:hAnsi="Verdana" w:cstheme="minorHAnsi"/>
          <w:sz w:val="18"/>
          <w:szCs w:val="18"/>
        </w:rPr>
        <w:t xml:space="preserve">, je cena za plnění dílčí smlouvy dle jednotkových cen v příloze č. </w:t>
      </w:r>
      <w:r w:rsidR="00375E5B" w:rsidRPr="00CC675F">
        <w:rPr>
          <w:rFonts w:ascii="Verdana" w:hAnsi="Verdana" w:cstheme="minorHAnsi"/>
          <w:sz w:val="18"/>
          <w:szCs w:val="18"/>
        </w:rPr>
        <w:t>2</w:t>
      </w:r>
      <w:r w:rsidR="007465F2" w:rsidRPr="00CC675F">
        <w:rPr>
          <w:rFonts w:ascii="Verdana" w:hAnsi="Verdana" w:cstheme="minorHAnsi"/>
          <w:sz w:val="18"/>
          <w:szCs w:val="18"/>
        </w:rPr>
        <w:t xml:space="preserve"> </w:t>
      </w:r>
      <w:r w:rsidR="002B5750" w:rsidRPr="00CC675F">
        <w:rPr>
          <w:rFonts w:ascii="Verdana" w:hAnsi="Verdana" w:cstheme="minorHAnsi"/>
          <w:sz w:val="18"/>
          <w:szCs w:val="18"/>
        </w:rPr>
        <w:t>této </w:t>
      </w:r>
      <w:r w:rsidR="00881560" w:rsidRPr="00CC675F">
        <w:rPr>
          <w:rFonts w:ascii="Verdana" w:hAnsi="Verdana" w:cstheme="minorHAnsi"/>
          <w:sz w:val="18"/>
          <w:szCs w:val="18"/>
        </w:rPr>
        <w:t>Rámcové</w:t>
      </w:r>
      <w:r w:rsidRPr="00CC675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26BC534E" w:rsidR="00CB26F1" w:rsidRPr="00CC675F" w:rsidRDefault="00E6302B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CC675F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CC675F">
        <w:rPr>
          <w:rFonts w:ascii="Verdana" w:hAnsi="Verdana" w:cstheme="minorHAnsi"/>
          <w:sz w:val="18"/>
          <w:szCs w:val="18"/>
        </w:rPr>
        <w:t>v</w:t>
      </w:r>
      <w:r w:rsidR="00CC675F" w:rsidRPr="00CC675F">
        <w:rPr>
          <w:rFonts w:ascii="Verdana" w:hAnsi="Verdana" w:cstheme="minorHAnsi"/>
          <w:sz w:val="18"/>
          <w:szCs w:val="18"/>
        </w:rPr>
        <w:t> Položkovém soupisu dodávek – CENOVÁ NABÍDKA</w:t>
      </w:r>
      <w:r w:rsidR="00CB26F1" w:rsidRPr="00CC675F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CC675F" w:rsidRPr="00CC675F">
        <w:rPr>
          <w:rFonts w:ascii="Verdana" w:hAnsi="Verdana" w:cstheme="minorHAnsi"/>
          <w:sz w:val="18"/>
          <w:szCs w:val="18"/>
        </w:rPr>
        <w:t>2</w:t>
      </w:r>
      <w:r w:rsidR="00CB26F1" w:rsidRPr="00CC675F">
        <w:rPr>
          <w:rFonts w:ascii="Verdana" w:hAnsi="Verdana" w:cstheme="minorHAnsi"/>
          <w:sz w:val="18"/>
          <w:szCs w:val="18"/>
        </w:rPr>
        <w:t xml:space="preserve"> této Rámcové dohody</w:t>
      </w:r>
      <w:r w:rsidRPr="00CC675F">
        <w:rPr>
          <w:rFonts w:ascii="Verdana" w:hAnsi="Verdana" w:cstheme="minorHAnsi"/>
          <w:sz w:val="18"/>
          <w:szCs w:val="18"/>
        </w:rPr>
        <w:t xml:space="preserve">, </w:t>
      </w:r>
      <w:r w:rsidR="00CB26F1" w:rsidRPr="00CC675F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E40B63B" w:rsidR="00CB26F1" w:rsidRPr="00CC675F" w:rsidRDefault="00CB26F1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 xml:space="preserve">bude uhrazena bankovním převodem na bankovní účet Prodávajícího </w:t>
      </w:r>
      <w:r w:rsidRPr="00CC675F">
        <w:rPr>
          <w:rFonts w:ascii="Verdana" w:hAnsi="Verdana" w:cstheme="minorHAnsi"/>
          <w:sz w:val="18"/>
          <w:szCs w:val="18"/>
        </w:rPr>
        <w:t>specifikovaný v záhlaví této</w:t>
      </w:r>
      <w:r w:rsidR="001228C5" w:rsidRPr="00CC675F">
        <w:rPr>
          <w:rFonts w:ascii="Verdana" w:hAnsi="Verdana" w:cstheme="minorHAnsi"/>
          <w:sz w:val="18"/>
          <w:szCs w:val="18"/>
        </w:rPr>
        <w:t xml:space="preserve"> </w:t>
      </w:r>
      <w:r w:rsidR="00881560" w:rsidRPr="00CC675F">
        <w:rPr>
          <w:rFonts w:ascii="Verdana" w:hAnsi="Verdana" w:cstheme="minorHAnsi"/>
          <w:sz w:val="18"/>
          <w:szCs w:val="18"/>
        </w:rPr>
        <w:t>Rámcové</w:t>
      </w:r>
      <w:r w:rsidRPr="00CC675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CC675F">
        <w:rPr>
          <w:rFonts w:ascii="Verdana" w:hAnsi="Verdana" w:cstheme="minorHAnsi"/>
          <w:sz w:val="18"/>
          <w:szCs w:val="18"/>
        </w:rPr>
        <w:t>dílčí smlouvy</w:t>
      </w:r>
      <w:r w:rsidR="002B5750" w:rsidRPr="00CC675F">
        <w:rPr>
          <w:rFonts w:ascii="Verdana" w:hAnsi="Verdana" w:cstheme="minorHAnsi"/>
          <w:sz w:val="18"/>
          <w:szCs w:val="18"/>
        </w:rPr>
        <w:t xml:space="preserve"> na </w:t>
      </w:r>
      <w:r w:rsidRPr="00CC675F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CC675F">
        <w:rPr>
          <w:rFonts w:ascii="Verdana" w:hAnsi="Verdana" w:cstheme="minorHAnsi"/>
          <w:sz w:val="18"/>
          <w:szCs w:val="18"/>
        </w:rPr>
        <w:t>účetního/</w:t>
      </w:r>
      <w:r w:rsidRPr="00CC675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C675F">
        <w:rPr>
          <w:rFonts w:ascii="Verdana" w:hAnsi="Verdana" w:cstheme="minorHAnsi"/>
          <w:sz w:val="18"/>
          <w:szCs w:val="18"/>
        </w:rPr>
        <w:t>zboží Kupujícím</w:t>
      </w:r>
      <w:r w:rsidRPr="00CC675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C675F">
        <w:rPr>
          <w:rFonts w:ascii="Verdana" w:hAnsi="Verdana" w:cstheme="minorHAnsi"/>
          <w:sz w:val="18"/>
          <w:szCs w:val="18"/>
        </w:rPr>
        <w:t>D</w:t>
      </w:r>
      <w:r w:rsidRPr="00CC675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C675F">
        <w:rPr>
          <w:rFonts w:ascii="Verdana" w:hAnsi="Verdana" w:cstheme="minorHAnsi"/>
          <w:sz w:val="18"/>
          <w:szCs w:val="18"/>
        </w:rPr>
        <w:t>Kupujícím</w:t>
      </w:r>
      <w:r w:rsidRPr="00CC675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CC675F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CC675F">
        <w:rPr>
          <w:rFonts w:ascii="Verdana" w:hAnsi="Verdana" w:cstheme="minorHAnsi"/>
          <w:sz w:val="18"/>
          <w:szCs w:val="18"/>
        </w:rPr>
        <w:t>Rámcové</w:t>
      </w:r>
      <w:r w:rsidR="00A606A2" w:rsidRPr="00CC675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C675F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B25039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C675F">
        <w:rPr>
          <w:rFonts w:ascii="Verdana" w:hAnsi="Verdana" w:cstheme="minorHAnsi"/>
          <w:sz w:val="18"/>
          <w:szCs w:val="18"/>
        </w:rPr>
        <w:t>Daňové doklady, vč. všech příloh</w:t>
      </w:r>
      <w:r w:rsidRPr="00A37858">
        <w:rPr>
          <w:rFonts w:ascii="Verdana" w:hAnsi="Verdana" w:cstheme="minorHAnsi"/>
          <w:sz w:val="18"/>
          <w:szCs w:val="18"/>
        </w:rPr>
        <w:t>, budou zasílány následovně:</w:t>
      </w:r>
    </w:p>
    <w:p w14:paraId="7ED73BC6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Uccchjm</w:t>
      </w:r>
      <w:proofErr w:type="spellEnd"/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4FBE0F1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A37858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3A16378" w14:textId="44D7F475" w:rsidR="00194826" w:rsidRPr="008A1AED" w:rsidRDefault="0068285C" w:rsidP="00B25039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</w:p>
    <w:p w14:paraId="5E51939E" w14:textId="2A574774" w:rsidR="00CB26F1" w:rsidRPr="008B5521" w:rsidRDefault="00CB26F1" w:rsidP="00B25039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splatností. Lhůta splatnosti počíná běžet znovu od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7A9770C6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Záruční doba činí </w:t>
      </w:r>
      <w:r w:rsidRPr="00CC675F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DB1619B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3E5C45E" w:rsidR="006A4A0B" w:rsidRDefault="006A4A0B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</w:t>
      </w:r>
      <w:r w:rsidR="00CC675F">
        <w:rPr>
          <w:rFonts w:ascii="Verdana" w:hAnsi="Verdana" w:cstheme="minorHAnsi"/>
          <w:sz w:val="18"/>
          <w:szCs w:val="18"/>
        </w:rPr>
        <w:t>ele uvedené v příloze č. 3</w:t>
      </w:r>
      <w:r w:rsidR="002B5750">
        <w:rPr>
          <w:rFonts w:ascii="Verdana" w:hAnsi="Verdana" w:cstheme="minorHAnsi"/>
          <w:sz w:val="18"/>
          <w:szCs w:val="18"/>
        </w:rPr>
        <w:t xml:space="preserve"> této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CC675F">
        <w:rPr>
          <w:rFonts w:ascii="Verdana" w:hAnsi="Verdana" w:cstheme="minorHAnsi"/>
          <w:sz w:val="18"/>
          <w:szCs w:val="18"/>
        </w:rPr>
        <w:t>atele neuvedeného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CC675F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D36A1B2" w14:textId="715CE842" w:rsidR="007A2522" w:rsidRPr="000654E7" w:rsidRDefault="007A2522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E0510B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090FDE" w14:textId="6EC2E424" w:rsidR="000654E7" w:rsidRPr="00CC675F" w:rsidRDefault="0077128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1E1E">
        <w:rPr>
          <w:rFonts w:ascii="Verdana" w:hAnsi="Verdana" w:cstheme="minorHAnsi"/>
          <w:sz w:val="18"/>
          <w:szCs w:val="18"/>
        </w:rPr>
        <w:t xml:space="preserve">V případě, že </w:t>
      </w:r>
      <w:r w:rsidR="00411E1E">
        <w:rPr>
          <w:rFonts w:ascii="Verdana" w:hAnsi="Verdana" w:cstheme="minorHAnsi"/>
          <w:sz w:val="18"/>
          <w:szCs w:val="18"/>
        </w:rPr>
        <w:t>P</w:t>
      </w:r>
      <w:r w:rsidRPr="00411E1E">
        <w:rPr>
          <w:rFonts w:ascii="Verdana" w:hAnsi="Verdana" w:cstheme="minorHAnsi"/>
          <w:sz w:val="18"/>
          <w:szCs w:val="18"/>
        </w:rPr>
        <w:t>rodávajícím je společnost obchodních společností ve smyslu § 2716 a násl. občanského zákoníku, nesou v souladu s jejich společnou nabídkou odpovědnost za pln</w:t>
      </w:r>
      <w:r w:rsidR="00B70B10">
        <w:rPr>
          <w:rFonts w:ascii="Verdana" w:hAnsi="Verdana" w:cstheme="minorHAnsi"/>
          <w:sz w:val="18"/>
          <w:szCs w:val="18"/>
        </w:rPr>
        <w:t>ění jejich povinností z rámcové dohody</w:t>
      </w:r>
      <w:r w:rsidRPr="00411E1E">
        <w:rPr>
          <w:rFonts w:ascii="Verdana" w:hAnsi="Verdana" w:cstheme="minorHAnsi"/>
          <w:sz w:val="18"/>
          <w:szCs w:val="18"/>
        </w:rPr>
        <w:t xml:space="preserve"> všichni prodávající společně a nerozdílně. Vedoucí společník prohlašuje, že je oprávněn ve věcech </w:t>
      </w:r>
      <w:r w:rsidR="00B70B10">
        <w:rPr>
          <w:rFonts w:ascii="Verdana" w:hAnsi="Verdana" w:cstheme="minorHAnsi"/>
          <w:sz w:val="18"/>
          <w:szCs w:val="18"/>
        </w:rPr>
        <w:t>rámcové dohody</w:t>
      </w:r>
      <w:r w:rsidRPr="00411E1E">
        <w:rPr>
          <w:rFonts w:ascii="Verdana" w:hAnsi="Verdana" w:cstheme="minorHAnsi"/>
          <w:sz w:val="18"/>
          <w:szCs w:val="18"/>
        </w:rPr>
        <w:t xml:space="preserve"> zastupo</w:t>
      </w:r>
      <w:r w:rsidR="002B5750">
        <w:rPr>
          <w:rFonts w:ascii="Verdana" w:hAnsi="Verdana" w:cstheme="minorHAnsi"/>
          <w:sz w:val="18"/>
          <w:szCs w:val="18"/>
        </w:rPr>
        <w:t>vat každého společníka, jakož i </w:t>
      </w:r>
      <w:r w:rsidRPr="00411E1E">
        <w:rPr>
          <w:rFonts w:ascii="Verdana" w:hAnsi="Verdana" w:cstheme="minorHAnsi"/>
          <w:sz w:val="18"/>
          <w:szCs w:val="18"/>
        </w:rPr>
        <w:t xml:space="preserve">všechny společníky dohromady, a je oprávněn rovněž </w:t>
      </w:r>
      <w:r w:rsidR="00411E1E">
        <w:rPr>
          <w:rFonts w:ascii="Verdana" w:hAnsi="Verdana" w:cstheme="minorHAnsi"/>
          <w:sz w:val="18"/>
          <w:szCs w:val="18"/>
        </w:rPr>
        <w:t>za ně přijímat pokyny a platby K</w:t>
      </w:r>
      <w:r w:rsidRPr="00411E1E">
        <w:rPr>
          <w:rFonts w:ascii="Verdana" w:hAnsi="Verdana" w:cstheme="minorHAnsi"/>
          <w:sz w:val="18"/>
          <w:szCs w:val="18"/>
        </w:rPr>
        <w:t>upujícího. Vystavovat daňové doklady - faktury v souladu s jejich spole</w:t>
      </w:r>
      <w:r w:rsidR="002B5750">
        <w:rPr>
          <w:rFonts w:ascii="Verdana" w:hAnsi="Verdana" w:cstheme="minorHAnsi"/>
          <w:sz w:val="18"/>
          <w:szCs w:val="18"/>
        </w:rPr>
        <w:t>čnou nabídkou je </w:t>
      </w:r>
      <w:r w:rsidR="00411E1E">
        <w:rPr>
          <w:rFonts w:ascii="Verdana" w:hAnsi="Verdana" w:cstheme="minorHAnsi"/>
          <w:sz w:val="18"/>
          <w:szCs w:val="18"/>
        </w:rPr>
        <w:t>oprávněn vůči K</w:t>
      </w:r>
      <w:r w:rsidRPr="00411E1E">
        <w:rPr>
          <w:rFonts w:ascii="Verdana" w:hAnsi="Verdana" w:cstheme="minorHAnsi"/>
          <w:sz w:val="18"/>
          <w:szCs w:val="18"/>
        </w:rPr>
        <w:t>upujícímu pouze vedoucí společník, tj. na daňovém dokladu bude uveden (identifikován) jako osoba uskutečňující ekonomickou činnost jako dodavatel (v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411E1E">
        <w:rPr>
          <w:rFonts w:ascii="Verdana" w:hAnsi="Verdana" w:cstheme="minorHAnsi"/>
          <w:sz w:val="18"/>
          <w:szCs w:val="18"/>
        </w:rPr>
        <w:t xml:space="preserve">souladu se </w:t>
      </w:r>
      <w:r w:rsidRPr="00CC675F">
        <w:rPr>
          <w:rFonts w:ascii="Verdana" w:hAnsi="Verdana" w:cstheme="minorHAnsi"/>
          <w:sz w:val="18"/>
          <w:szCs w:val="18"/>
        </w:rPr>
        <w:t>zákonem č. 235/2004 Sb. o dani z přidané hodnoty)</w:t>
      </w:r>
      <w:r w:rsidR="000654E7" w:rsidRPr="00CC675F">
        <w:rPr>
          <w:rFonts w:ascii="Verdana" w:hAnsi="Verdana" w:cstheme="minorHAnsi"/>
          <w:sz w:val="18"/>
          <w:szCs w:val="18"/>
        </w:rPr>
        <w:t>.</w:t>
      </w:r>
    </w:p>
    <w:p w14:paraId="1BE34037" w14:textId="778C57BA" w:rsidR="0047664B" w:rsidRPr="00CC675F" w:rsidRDefault="0047664B" w:rsidP="0047664B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CC675F">
        <w:rPr>
          <w:rFonts w:ascii="Verdana" w:hAnsi="Verdana" w:cstheme="minorHAnsi"/>
          <w:b/>
          <w:sz w:val="22"/>
        </w:rPr>
        <w:t>ODPOVĚDNÉ ZADÁVÁNÍ</w:t>
      </w:r>
    </w:p>
    <w:p w14:paraId="5E0E6ABD" w14:textId="121C195A" w:rsidR="00CC675F" w:rsidRPr="00CC675F" w:rsidRDefault="00CC675F" w:rsidP="00CC675F">
      <w:pPr>
        <w:spacing w:before="240" w:after="120"/>
        <w:ind w:left="720"/>
        <w:rPr>
          <w:rFonts w:ascii="Verdana" w:hAnsi="Verdana" w:cstheme="minorHAnsi"/>
          <w:sz w:val="18"/>
          <w:szCs w:val="18"/>
        </w:rPr>
      </w:pPr>
      <w:r w:rsidRPr="00CC675F">
        <w:rPr>
          <w:rFonts w:ascii="Verdana" w:hAnsi="Verdana" w:cstheme="minorHAnsi"/>
          <w:sz w:val="18"/>
          <w:szCs w:val="18"/>
        </w:rPr>
        <w:t>Neobsazeno</w:t>
      </w:r>
    </w:p>
    <w:p w14:paraId="756DD8D4" w14:textId="77777777" w:rsidR="0047664B" w:rsidRPr="00236C83" w:rsidRDefault="0047664B" w:rsidP="0047664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KONFLIKTEM NA UKRAJINĚ</w:t>
      </w:r>
    </w:p>
    <w:p w14:paraId="1224288A" w14:textId="77777777" w:rsidR="0047664B" w:rsidRPr="00CF3ED5" w:rsidRDefault="0047664B" w:rsidP="0047664B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03402CA" w14:textId="77777777" w:rsidR="0047664B" w:rsidRPr="00CF3ED5" w:rsidRDefault="0047664B" w:rsidP="0047664B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365BABE4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75DE1F9E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</w:t>
      </w:r>
      <w:r w:rsidRPr="00CF3ED5">
        <w:rPr>
          <w:rFonts w:ascii="Verdana" w:hAnsi="Verdana" w:cstheme="minorHAnsi"/>
          <w:sz w:val="18"/>
          <w:szCs w:val="18"/>
        </w:rPr>
        <w:lastRenderedPageBreak/>
        <w:t>svrchovanost a nezávislost Ukrajiny, ve znění pozdějších předpisů, a dalších prováděcích předpisů k tomuto nařízení Rady (EU) č. 269/2014 (dále jen „Sankční seznamy“).</w:t>
      </w:r>
    </w:p>
    <w:p w14:paraId="656FEFC6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124E770B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7399AFD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FBCC61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01DC715F" w14:textId="61D51539" w:rsidR="0047664B" w:rsidRPr="007D710D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47664B">
        <w:rPr>
          <w:rFonts w:ascii="Verdana" w:hAnsi="Verdana" w:cstheme="minorHAnsi"/>
          <w:sz w:val="18"/>
          <w:szCs w:val="18"/>
        </w:rPr>
        <w:t>článku VIII jako nepravdivá nebo poruší-li Prodávající svou oznamovací povinnost dle odstavce 4 tohoto článku VIII nebo povinnosti dle odstavců 5 nebo 6 tohoto článku VIII, je Kupující oprávněn odstoupit od této Rámcové dohody. Kupující je vedle toho oprávněn odstoupit od těch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</w:t>
      </w:r>
      <w:r w:rsidRPr="007D710D">
        <w:rPr>
          <w:rFonts w:ascii="Verdana" w:hAnsi="Verdana" w:cstheme="minorHAnsi"/>
          <w:sz w:val="18"/>
          <w:szCs w:val="18"/>
        </w:rPr>
        <w:t>povinen zaplatit za každé jednotlivé porušení povinností dle věty první tohoto odstavce smluvní pokutu ve výši 3</w:t>
      </w:r>
      <w:r w:rsidR="00422D92" w:rsidRPr="007D710D">
        <w:rPr>
          <w:rFonts w:ascii="Verdana" w:hAnsi="Verdana" w:cstheme="minorHAnsi"/>
          <w:sz w:val="18"/>
          <w:szCs w:val="18"/>
        </w:rPr>
        <w:t>00.000 </w:t>
      </w:r>
      <w:r w:rsidRPr="007D710D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73F400CB" w14:textId="36A795CA" w:rsidR="00CC5257" w:rsidRPr="007D710D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7D710D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B25039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2E1201F3" w:rsidR="008135F0" w:rsidRPr="007A2522" w:rsidRDefault="008135F0" w:rsidP="00B25039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CC675F">
        <w:rPr>
          <w:rFonts w:ascii="Verdana" w:hAnsi="Verdana"/>
          <w:sz w:val="18"/>
          <w:szCs w:val="18"/>
        </w:rPr>
        <w:t>Petra Hojná</w:t>
      </w:r>
      <w:r w:rsidR="007F03C6" w:rsidRPr="007A2522">
        <w:rPr>
          <w:rFonts w:ascii="Verdana" w:hAnsi="Verdana" w:cstheme="minorHAnsi"/>
          <w:sz w:val="18"/>
          <w:szCs w:val="18"/>
        </w:rPr>
        <w:t xml:space="preserve">, </w:t>
      </w:r>
      <w:r w:rsidR="00CC675F">
        <w:rPr>
          <w:rFonts w:ascii="Verdana" w:hAnsi="Verdana"/>
          <w:sz w:val="18"/>
          <w:szCs w:val="18"/>
        </w:rPr>
        <w:t>Hojna</w:t>
      </w:r>
      <w:r w:rsidR="007A2522" w:rsidRPr="008B5521">
        <w:rPr>
          <w:rFonts w:ascii="Verdana" w:hAnsi="Verdana"/>
          <w:sz w:val="18"/>
          <w:szCs w:val="18"/>
        </w:rPr>
        <w:t>@</w:t>
      </w:r>
      <w:r w:rsidR="007A2522">
        <w:rPr>
          <w:rFonts w:ascii="Verdana" w:hAnsi="Verdana"/>
          <w:sz w:val="18"/>
          <w:szCs w:val="18"/>
        </w:rPr>
        <w:t>spravazeleznic</w:t>
      </w:r>
      <w:r w:rsidR="007A2522" w:rsidRPr="008B5521">
        <w:rPr>
          <w:rFonts w:ascii="Verdana" w:hAnsi="Verdana"/>
          <w:sz w:val="18"/>
          <w:szCs w:val="18"/>
        </w:rPr>
        <w:t>.cz</w:t>
      </w:r>
      <w:r w:rsidR="007F03C6" w:rsidRPr="007A2522">
        <w:rPr>
          <w:rFonts w:ascii="Verdana" w:hAnsi="Verdana" w:cstheme="minorHAnsi"/>
          <w:sz w:val="18"/>
          <w:szCs w:val="18"/>
        </w:rPr>
        <w:t xml:space="preserve">, tel.: </w:t>
      </w:r>
      <w:r w:rsidR="00CC675F">
        <w:rPr>
          <w:rFonts w:ascii="Verdana" w:hAnsi="Verdana"/>
          <w:sz w:val="18"/>
          <w:szCs w:val="18"/>
        </w:rPr>
        <w:t>+420 972 341 029</w:t>
      </w:r>
    </w:p>
    <w:p w14:paraId="700F0137" w14:textId="1A53CB95" w:rsidR="008135F0" w:rsidRPr="007A2522" w:rsidRDefault="008135F0" w:rsidP="00B25039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PRODÁVAJÍCÍ]&quot; jméno, email, tel.č.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3" w:name="Text5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 jméno, email, tel.č.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3"/>
      <w:r w:rsidR="00C52F0E" w:rsidRPr="007A2522">
        <w:rPr>
          <w:rFonts w:ascii="Verdana" w:hAnsi="Verdana" w:cstheme="minorHAnsi"/>
          <w:sz w:val="18"/>
          <w:szCs w:val="18"/>
        </w:rPr>
        <w:t xml:space="preserve">, </w:t>
      </w:r>
      <w:r w:rsidR="00E9006D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...@..."/>
            </w:textInput>
          </w:ffData>
        </w:fldChar>
      </w:r>
      <w:r w:rsidR="00E9006D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E9006D">
        <w:rPr>
          <w:rFonts w:ascii="Verdana" w:hAnsi="Verdana"/>
          <w:sz w:val="18"/>
          <w:szCs w:val="18"/>
          <w:highlight w:val="yellow"/>
        </w:rPr>
      </w:r>
      <w:r w:rsidR="00E9006D">
        <w:rPr>
          <w:rFonts w:ascii="Verdana" w:hAnsi="Verdana"/>
          <w:sz w:val="18"/>
          <w:szCs w:val="18"/>
          <w:highlight w:val="yellow"/>
        </w:rPr>
        <w:fldChar w:fldCharType="separate"/>
      </w:r>
      <w:r w:rsidR="00E9006D">
        <w:rPr>
          <w:rFonts w:ascii="Verdana" w:hAnsi="Verdana"/>
          <w:noProof/>
          <w:sz w:val="18"/>
          <w:szCs w:val="18"/>
          <w:highlight w:val="yellow"/>
        </w:rPr>
        <w:t>...@...</w:t>
      </w:r>
      <w:r w:rsidR="00E9006D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</w:t>
      </w:r>
      <w:r w:rsidR="00E71957" w:rsidRPr="007A2522">
        <w:rPr>
          <w:rFonts w:ascii="Verdana" w:hAnsi="Verdana" w:cstheme="minorHAnsi"/>
          <w:sz w:val="18"/>
          <w:szCs w:val="18"/>
        </w:rPr>
        <w:t>tel</w:t>
      </w:r>
      <w:r w:rsidR="00C52F0E" w:rsidRPr="007A2522">
        <w:rPr>
          <w:rFonts w:ascii="Verdana" w:hAnsi="Verdana" w:cstheme="minorHAnsi"/>
          <w:sz w:val="18"/>
          <w:szCs w:val="18"/>
        </w:rPr>
        <w:t xml:space="preserve">.: 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0"/>
            <w:enabled/>
            <w:calcOnExit w:val="0"/>
            <w:textInput>
              <w:default w:val="......"/>
            </w:textInput>
          </w:ffData>
        </w:fldChar>
      </w:r>
      <w:r w:rsidR="00C57FD3" w:rsidRPr="00C57FD3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C57FD3" w:rsidRPr="00C57FD3">
        <w:rPr>
          <w:rFonts w:ascii="Verdana" w:hAnsi="Verdana"/>
          <w:sz w:val="18"/>
          <w:szCs w:val="18"/>
          <w:highlight w:val="yellow"/>
        </w:rPr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separate"/>
      </w:r>
      <w:r w:rsidR="00C57FD3" w:rsidRPr="00C57FD3">
        <w:rPr>
          <w:rFonts w:ascii="Verdana" w:hAnsi="Verdana"/>
          <w:noProof/>
          <w:sz w:val="18"/>
          <w:szCs w:val="18"/>
          <w:highlight w:val="yellow"/>
        </w:rPr>
        <w:t>......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466130E5" w:rsidR="00966347" w:rsidRDefault="00935934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>h svobodné vůle určitě, vážně 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23B9EF59" w:rsidR="006F1EC7" w:rsidRPr="008B5521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</w:t>
      </w:r>
      <w:r w:rsidR="000735B1">
        <w:rPr>
          <w:rFonts w:ascii="Verdana" w:hAnsi="Verdana" w:cstheme="minorHAnsi"/>
          <w:sz w:val="18"/>
          <w:szCs w:val="18"/>
        </w:rPr>
        <w:t>, nestanoví-li Obchodní podmínky jinak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2025571" w14:textId="0585BFC8" w:rsidR="006F1EC7" w:rsidRPr="008B5521" w:rsidRDefault="000B560C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</w:t>
      </w:r>
      <w:r w:rsidR="00BB2B30">
        <w:rPr>
          <w:rFonts w:ascii="Verdana" w:hAnsi="Verdana" w:cstheme="minorHAnsi"/>
          <w:sz w:val="18"/>
          <w:szCs w:val="18"/>
        </w:rPr>
        <w:t> </w:t>
      </w:r>
      <w:r w:rsidR="002B5750">
        <w:rPr>
          <w:rFonts w:ascii="Verdana" w:hAnsi="Verdana" w:cstheme="minorHAnsi"/>
          <w:sz w:val="18"/>
          <w:szCs w:val="18"/>
        </w:rPr>
        <w:t>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771B035D" w:rsidR="008A1AED" w:rsidRDefault="008A1AED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</w:t>
      </w:r>
      <w:r w:rsidR="00BB2B30">
        <w:rPr>
          <w:rFonts w:ascii="Verdana" w:hAnsi="Verdana" w:cstheme="minorHAnsi"/>
          <w:sz w:val="18"/>
          <w:szCs w:val="18"/>
          <w:highlight w:val="yellow"/>
        </w:rPr>
        <w:t> 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kvalifikovaným elektronickým podpisem.</w:t>
      </w:r>
    </w:p>
    <w:p w14:paraId="1E94AF70" w14:textId="51561F8A" w:rsidR="006F1EC7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</w:instrText>
      </w:r>
      <w:bookmarkStart w:id="4" w:name="Text16"/>
      <w:r w:rsidR="006941C8">
        <w:rPr>
          <w:rFonts w:ascii="Verdana" w:hAnsi="Verdana" w:cstheme="minorHAnsi"/>
          <w:sz w:val="18"/>
          <w:szCs w:val="18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bookmarkEnd w:id="4"/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7218129C" w:rsidR="00CB43FB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96FD4" w:rsidRDefault="00402D7F" w:rsidP="006941C8">
      <w:pPr>
        <w:spacing w:before="120" w:after="120"/>
        <w:ind w:left="425"/>
        <w:rPr>
          <w:rFonts w:ascii="Verdana" w:hAnsi="Verdana" w:cstheme="minorHAnsi"/>
          <w:sz w:val="10"/>
          <w:szCs w:val="10"/>
        </w:rPr>
      </w:pPr>
    </w:p>
    <w:p w14:paraId="79D46AF0" w14:textId="77777777" w:rsidR="00CC5257" w:rsidRPr="008B5521" w:rsidRDefault="00A02B02" w:rsidP="00B25039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AE63082" w:rsidR="007465F2" w:rsidRPr="008B5521" w:rsidRDefault="007465F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>ní podmínky k rámcové dohodě</w:t>
      </w:r>
    </w:p>
    <w:p w14:paraId="6517756B" w14:textId="37BCB6A1" w:rsidR="00CB26F1" w:rsidRPr="008B5521" w:rsidRDefault="00CB26F1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CC675F">
        <w:rPr>
          <w:rFonts w:ascii="Verdana" w:hAnsi="Verdana" w:cstheme="minorHAnsi"/>
          <w:sz w:val="18"/>
          <w:szCs w:val="18"/>
        </w:rPr>
        <w:t>Položkový soupis dodávek – CENOVÁ NABÍDKA</w:t>
      </w:r>
    </w:p>
    <w:p w14:paraId="14D810A5" w14:textId="3D8E26B2" w:rsidR="006A4A0B" w:rsidRPr="008B5521" w:rsidRDefault="006A4A0B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CC675F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CCD4DB6" w:rsidR="00935934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D8514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4268B64A" w14:textId="3AF18D45" w:rsidR="00126B7E" w:rsidRPr="00F163AE" w:rsidRDefault="00126B7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2600EF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AFEB8AD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00D67E7" w14:textId="322C8AA5" w:rsidR="00F163AE" w:rsidRPr="00F163AE" w:rsidRDefault="00F163AE" w:rsidP="00B25039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57F6D6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32A55B7D" w14:textId="2511F29A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DBEF78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Ing. Petr Vodička</w:t>
            </w:r>
          </w:p>
          <w:p w14:paraId="077EC7C2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Správa železnic, státní organizace</w:t>
            </w:r>
          </w:p>
          <w:p w14:paraId="25C205F1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 Oblastního ředitelství</w:t>
            </w:r>
          </w:p>
          <w:p w14:paraId="1F6AA553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480228F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2BAA6A9" w14:textId="3FBB71D6" w:rsidR="00F163AE" w:rsidRPr="00F163AE" w:rsidRDefault="006941C8" w:rsidP="00B25039">
            <w:pPr>
              <w:tabs>
                <w:tab w:val="left" w:pos="-2694"/>
              </w:tabs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Prodávající</w:t>
            </w:r>
          </w:p>
        </w:tc>
      </w:tr>
    </w:tbl>
    <w:p w14:paraId="599F51A8" w14:textId="7452B1CD" w:rsidR="007729F6" w:rsidRPr="002B1AF8" w:rsidRDefault="007729F6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270FE2" w14:textId="461F7BB9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269AFEE" w14:textId="2A7DD185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7DBA1AD" w14:textId="259E1BEF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DA275C4" w14:textId="77777777" w:rsidR="002B1AF8" w:rsidRPr="00F95451" w:rsidRDefault="002B1AF8" w:rsidP="00B25039">
      <w:pPr>
        <w:suppressAutoHyphens/>
        <w:spacing w:before="120" w:after="240"/>
        <w:rPr>
          <w:rFonts w:ascii="Verdana" w:hAnsi="Verdana" w:cstheme="minorHAnsi"/>
          <w:i/>
          <w:sz w:val="18"/>
          <w:szCs w:val="18"/>
        </w:rPr>
        <w:sectPr w:rsidR="002B1AF8" w:rsidRPr="00F95451" w:rsidSect="0000685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0802E2D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370814ED" w:rsidR="00680894" w:rsidRDefault="00680894" w:rsidP="00B25039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CC675F">
        <w:rPr>
          <w:rFonts w:ascii="Verdana" w:hAnsi="Verdana"/>
        </w:rPr>
        <w:t>Dodávka osobních ochranných pracovních prostředků u OŘ HK 2022 - 2023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07AF483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77777777" w:rsidR="00680894" w:rsidRPr="00CC675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CC675F">
        <w:rPr>
          <w:rFonts w:ascii="Verdana" w:hAnsi="Verdana" w:cstheme="minorHAnsi"/>
        </w:rPr>
        <w:lastRenderedPageBreak/>
        <w:t>Příloha č. 2</w:t>
      </w:r>
    </w:p>
    <w:p w14:paraId="3BA5A774" w14:textId="79571B8D" w:rsidR="00680894" w:rsidRPr="00A27D3F" w:rsidRDefault="00CC675F" w:rsidP="00B25039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dodávek – CENOVÁ NABÍDKA</w:t>
      </w:r>
    </w:p>
    <w:p w14:paraId="5D15CE7A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89F0726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9CE7E24" w14:textId="0FD85A13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="00CC675F">
        <w:rPr>
          <w:rFonts w:ascii="Verdana" w:hAnsi="Verdana" w:cstheme="minorHAnsi"/>
        </w:rPr>
        <w:t>. 3</w:t>
      </w:r>
      <w:r w:rsidRPr="008D3BB8">
        <w:rPr>
          <w:rFonts w:ascii="Verdana" w:hAnsi="Verdana" w:cstheme="minorHAnsi"/>
        </w:rPr>
        <w:t xml:space="preserve"> </w:t>
      </w:r>
    </w:p>
    <w:p w14:paraId="11CA0359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DEF1FC3" w14:textId="77777777" w:rsidR="00680894" w:rsidRDefault="00680894" w:rsidP="00B25039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80894" w:rsidRPr="00F95FBD" w14:paraId="45EFB007" w14:textId="77777777" w:rsidTr="006E5637">
        <w:tc>
          <w:tcPr>
            <w:tcW w:w="2774" w:type="dxa"/>
          </w:tcPr>
          <w:p w14:paraId="29A238AF" w14:textId="77777777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4F6557EE" w14:textId="45F3EF94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781607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7DEB34CD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3559987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272C96" w:rsidRPr="00F95FBD" w14:paraId="231CEA77" w14:textId="77777777" w:rsidTr="006E5637">
        <w:tc>
          <w:tcPr>
            <w:tcW w:w="2774" w:type="dxa"/>
          </w:tcPr>
          <w:p w14:paraId="1740CA2C" w14:textId="3E52F6FD" w:rsidR="00272C96" w:rsidRPr="00272C96" w:rsidRDefault="006941C8" w:rsidP="006941C8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B98B45B" w14:textId="4DCD9CAE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C4BCDA5" w14:textId="7D81F501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5C6EE6FB" w14:textId="77777777" w:rsidTr="006E5637">
        <w:tc>
          <w:tcPr>
            <w:tcW w:w="2774" w:type="dxa"/>
          </w:tcPr>
          <w:p w14:paraId="275BA190" w14:textId="0FDA2C8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151CBFC" w14:textId="6400A722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A0B3EA4" w14:textId="6938264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12095DD4" w14:textId="77777777" w:rsidTr="006E5637">
        <w:tc>
          <w:tcPr>
            <w:tcW w:w="2774" w:type="dxa"/>
          </w:tcPr>
          <w:p w14:paraId="25A0027A" w14:textId="322A92D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68BCD41" w14:textId="0C335BB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4DDC4E" w14:textId="2952D167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61380E" w14:textId="77777777" w:rsidR="00680894" w:rsidRDefault="00680894">
      <w:pPr>
        <w:pStyle w:val="Textbezodsazen"/>
        <w:jc w:val="left"/>
        <w:rPr>
          <w:rFonts w:ascii="Verdana" w:hAnsi="Verdana"/>
        </w:rPr>
      </w:pPr>
    </w:p>
    <w:p w14:paraId="02BA04C6" w14:textId="0514BF44" w:rsidR="00EE01ED" w:rsidRPr="008B5521" w:rsidRDefault="00EE01ED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00FA9031" w14:textId="074C78F3" w:rsidR="00BF4D4D" w:rsidRPr="008B5521" w:rsidRDefault="00BF4D4D" w:rsidP="00B25039">
      <w:pPr>
        <w:spacing w:after="120" w:line="264" w:lineRule="auto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0777D" w14:textId="77777777" w:rsidR="00037142" w:rsidRDefault="00037142" w:rsidP="003706CB">
      <w:pPr>
        <w:spacing w:after="0" w:line="240" w:lineRule="auto"/>
      </w:pPr>
      <w:r>
        <w:separator/>
      </w:r>
    </w:p>
  </w:endnote>
  <w:endnote w:type="continuationSeparator" w:id="0">
    <w:p w14:paraId="3813B063" w14:textId="77777777" w:rsidR="00037142" w:rsidRDefault="00037142" w:rsidP="003706CB">
      <w:pPr>
        <w:spacing w:after="0" w:line="240" w:lineRule="auto"/>
      </w:pPr>
      <w:r>
        <w:continuationSeparator/>
      </w:r>
    </w:p>
  </w:endnote>
  <w:endnote w:type="continuationNotice" w:id="1">
    <w:p w14:paraId="7003FA3B" w14:textId="77777777" w:rsidR="00037142" w:rsidRDefault="000371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64EA4035" w:rsidR="00006859" w:rsidRPr="00914E29" w:rsidRDefault="00006859" w:rsidP="00375E5B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F97CD6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F97CD6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375E5B">
      <w:rPr>
        <w:rFonts w:ascii="Verdana" w:eastAsia="Verdana" w:hAnsi="Verdana"/>
        <w:sz w:val="14"/>
        <w:szCs w:val="18"/>
      </w:rPr>
      <w:t>Dodávka osobních ochranných pracovních prostředků u OŘ HK 2022 - 2023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63C132ED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97CD6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F97CD6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4A2A8931" w:rsidR="00006859" w:rsidRPr="00914E29" w:rsidRDefault="00CC675F" w:rsidP="00CC675F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color w:val="FF5200"/>
        <w:sz w:val="16"/>
        <w:szCs w:val="18"/>
      </w:rPr>
      <w:tab/>
    </w:r>
    <w:r>
      <w:rPr>
        <w:rFonts w:ascii="Verdana" w:eastAsia="Verdana" w:hAnsi="Verdana"/>
        <w:sz w:val="14"/>
        <w:szCs w:val="18"/>
      </w:rPr>
      <w:t>Dodávka osobních ochranných pracovních prostředků u OŘ HK 2022 - 2023</w:t>
    </w:r>
  </w:p>
  <w:p w14:paraId="5C69526E" w14:textId="77777777" w:rsidR="00680894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B206F" w14:textId="77777777" w:rsidR="00037142" w:rsidRDefault="00037142" w:rsidP="003706CB">
      <w:pPr>
        <w:spacing w:after="0" w:line="240" w:lineRule="auto"/>
      </w:pPr>
      <w:r>
        <w:separator/>
      </w:r>
    </w:p>
  </w:footnote>
  <w:footnote w:type="continuationSeparator" w:id="0">
    <w:p w14:paraId="3128D8F8" w14:textId="77777777" w:rsidR="00037142" w:rsidRDefault="00037142" w:rsidP="003706CB">
      <w:pPr>
        <w:spacing w:after="0" w:line="240" w:lineRule="auto"/>
      </w:pPr>
      <w:r>
        <w:continuationSeparator/>
      </w:r>
    </w:p>
  </w:footnote>
  <w:footnote w:type="continuationNotice" w:id="1">
    <w:p w14:paraId="4D5DBF47" w14:textId="77777777" w:rsidR="00037142" w:rsidRDefault="000371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B60426E" w:rsidR="00925A19" w:rsidRPr="007A2522" w:rsidRDefault="00900CF8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 w:rsidRPr="007A2522">
      <w:rPr>
        <w:rFonts w:ascii="Verdana" w:hAnsi="Verdana"/>
        <w:sz w:val="16"/>
      </w:rPr>
      <w:t>Č.</w:t>
    </w:r>
    <w:r w:rsidR="007A2522">
      <w:rPr>
        <w:rFonts w:ascii="Verdana" w:hAnsi="Verdana"/>
        <w:sz w:val="16"/>
      </w:rPr>
      <w:t xml:space="preserve"> </w:t>
    </w:r>
    <w:r w:rsidR="00194826" w:rsidRPr="007A2522">
      <w:rPr>
        <w:rFonts w:ascii="Verdana" w:hAnsi="Verdana"/>
        <w:sz w:val="16"/>
      </w:rPr>
      <w:t xml:space="preserve">j.: </w:t>
    </w:r>
    <w:r w:rsidR="007A2522"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9397" w14:textId="44E75C89" w:rsidR="00680894" w:rsidRPr="00680894" w:rsidRDefault="00680894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7B4C" w14:textId="77777777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4"/>
  </w:num>
  <w:num w:numId="12">
    <w:abstractNumId w:val="15"/>
  </w:num>
  <w:num w:numId="13">
    <w:abstractNumId w:val="9"/>
  </w:num>
  <w:num w:numId="14">
    <w:abstractNumId w:val="13"/>
  </w:num>
  <w:num w:numId="15">
    <w:abstractNumId w:val="6"/>
  </w:num>
  <w:num w:numId="16">
    <w:abstractNumId w:val="11"/>
    <w:lvlOverride w:ilvl="0">
      <w:startOverride w:val="1"/>
    </w:lvlOverride>
  </w:num>
  <w:num w:numId="17">
    <w:abstractNumId w:val="11"/>
  </w:num>
  <w:num w:numId="18">
    <w:abstractNumId w:val="3"/>
  </w:num>
  <w:num w:numId="19">
    <w:abstractNumId w:val="5"/>
  </w:num>
  <w:num w:numId="20">
    <w:abstractNumId w:val="18"/>
  </w:num>
  <w:num w:numId="21">
    <w:abstractNumId w:val="7"/>
  </w:num>
  <w:num w:numId="22">
    <w:abstractNumId w:val="12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16936"/>
    <w:rsid w:val="00020FF6"/>
    <w:rsid w:val="00021634"/>
    <w:rsid w:val="00022D53"/>
    <w:rsid w:val="00025AEC"/>
    <w:rsid w:val="00025E36"/>
    <w:rsid w:val="000266FE"/>
    <w:rsid w:val="00030FD1"/>
    <w:rsid w:val="00031989"/>
    <w:rsid w:val="00037142"/>
    <w:rsid w:val="000410F1"/>
    <w:rsid w:val="00042633"/>
    <w:rsid w:val="00053B1E"/>
    <w:rsid w:val="00055411"/>
    <w:rsid w:val="00062B10"/>
    <w:rsid w:val="000654E7"/>
    <w:rsid w:val="00070D89"/>
    <w:rsid w:val="00071E57"/>
    <w:rsid w:val="000726C6"/>
    <w:rsid w:val="00072FD9"/>
    <w:rsid w:val="000735B1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C41"/>
    <w:rsid w:val="001119A2"/>
    <w:rsid w:val="00113027"/>
    <w:rsid w:val="001228C5"/>
    <w:rsid w:val="00125333"/>
    <w:rsid w:val="00126B7E"/>
    <w:rsid w:val="001302AD"/>
    <w:rsid w:val="00137760"/>
    <w:rsid w:val="00137BD3"/>
    <w:rsid w:val="00157D66"/>
    <w:rsid w:val="001630FB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2DB"/>
    <w:rsid w:val="0023151B"/>
    <w:rsid w:val="00232C23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2C96"/>
    <w:rsid w:val="00277C3D"/>
    <w:rsid w:val="0028212C"/>
    <w:rsid w:val="00287BC5"/>
    <w:rsid w:val="002A11CD"/>
    <w:rsid w:val="002A6636"/>
    <w:rsid w:val="002A7690"/>
    <w:rsid w:val="002B152E"/>
    <w:rsid w:val="002B1AF8"/>
    <w:rsid w:val="002B51FC"/>
    <w:rsid w:val="002B5750"/>
    <w:rsid w:val="002B5ECC"/>
    <w:rsid w:val="002B6DFB"/>
    <w:rsid w:val="002B75C6"/>
    <w:rsid w:val="002C32BA"/>
    <w:rsid w:val="002C4F9C"/>
    <w:rsid w:val="002C50C8"/>
    <w:rsid w:val="002C5B14"/>
    <w:rsid w:val="002C635F"/>
    <w:rsid w:val="002D1B5C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5E5B"/>
    <w:rsid w:val="003761EF"/>
    <w:rsid w:val="003826CD"/>
    <w:rsid w:val="003847FF"/>
    <w:rsid w:val="00385E26"/>
    <w:rsid w:val="003862BB"/>
    <w:rsid w:val="003934CC"/>
    <w:rsid w:val="00395493"/>
    <w:rsid w:val="00395B1A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4F52"/>
    <w:rsid w:val="003E662A"/>
    <w:rsid w:val="00402D7F"/>
    <w:rsid w:val="00402E9E"/>
    <w:rsid w:val="0040306C"/>
    <w:rsid w:val="00404FCB"/>
    <w:rsid w:val="0040600D"/>
    <w:rsid w:val="00410560"/>
    <w:rsid w:val="00411E1E"/>
    <w:rsid w:val="004135D3"/>
    <w:rsid w:val="00415792"/>
    <w:rsid w:val="00422D92"/>
    <w:rsid w:val="00425375"/>
    <w:rsid w:val="0044630D"/>
    <w:rsid w:val="0045586A"/>
    <w:rsid w:val="00457E76"/>
    <w:rsid w:val="004618C1"/>
    <w:rsid w:val="004633C5"/>
    <w:rsid w:val="00465DAD"/>
    <w:rsid w:val="004662B3"/>
    <w:rsid w:val="0046631B"/>
    <w:rsid w:val="00467459"/>
    <w:rsid w:val="0047043C"/>
    <w:rsid w:val="00474AD3"/>
    <w:rsid w:val="004760BE"/>
    <w:rsid w:val="0047664B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71BA"/>
    <w:rsid w:val="004B744D"/>
    <w:rsid w:val="004C3347"/>
    <w:rsid w:val="004D235B"/>
    <w:rsid w:val="004D3F5F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2A8C"/>
    <w:rsid w:val="005962BE"/>
    <w:rsid w:val="0059769D"/>
    <w:rsid w:val="005A40FB"/>
    <w:rsid w:val="005A4E1A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6DAB"/>
    <w:rsid w:val="005F45C7"/>
    <w:rsid w:val="005F731D"/>
    <w:rsid w:val="006007E5"/>
    <w:rsid w:val="00610175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5602"/>
    <w:rsid w:val="0068035D"/>
    <w:rsid w:val="00680894"/>
    <w:rsid w:val="00681F22"/>
    <w:rsid w:val="0068231E"/>
    <w:rsid w:val="0068285C"/>
    <w:rsid w:val="006848CF"/>
    <w:rsid w:val="00685C12"/>
    <w:rsid w:val="00685D2E"/>
    <w:rsid w:val="00687186"/>
    <w:rsid w:val="006941C8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0FED"/>
    <w:rsid w:val="00757FBB"/>
    <w:rsid w:val="00762D8F"/>
    <w:rsid w:val="0076361F"/>
    <w:rsid w:val="00764F8D"/>
    <w:rsid w:val="00770533"/>
    <w:rsid w:val="00771284"/>
    <w:rsid w:val="00771835"/>
    <w:rsid w:val="007729F6"/>
    <w:rsid w:val="00772E48"/>
    <w:rsid w:val="00781607"/>
    <w:rsid w:val="00781A98"/>
    <w:rsid w:val="0078646A"/>
    <w:rsid w:val="00790982"/>
    <w:rsid w:val="007A1D6A"/>
    <w:rsid w:val="007A2522"/>
    <w:rsid w:val="007A7666"/>
    <w:rsid w:val="007B2AB1"/>
    <w:rsid w:val="007C1338"/>
    <w:rsid w:val="007C1409"/>
    <w:rsid w:val="007C2A7C"/>
    <w:rsid w:val="007C4F9C"/>
    <w:rsid w:val="007C5684"/>
    <w:rsid w:val="007C6153"/>
    <w:rsid w:val="007D583A"/>
    <w:rsid w:val="007D710D"/>
    <w:rsid w:val="007E11A3"/>
    <w:rsid w:val="007E2B43"/>
    <w:rsid w:val="007E3252"/>
    <w:rsid w:val="007E7948"/>
    <w:rsid w:val="007F03C6"/>
    <w:rsid w:val="007F062A"/>
    <w:rsid w:val="007F0F0A"/>
    <w:rsid w:val="007F1A24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96FD4"/>
    <w:rsid w:val="008A1AED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313FD"/>
    <w:rsid w:val="00933111"/>
    <w:rsid w:val="00935934"/>
    <w:rsid w:val="00953CAE"/>
    <w:rsid w:val="0095693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6647"/>
    <w:rsid w:val="00987103"/>
    <w:rsid w:val="0098748B"/>
    <w:rsid w:val="00997082"/>
    <w:rsid w:val="009A14C7"/>
    <w:rsid w:val="009A46B3"/>
    <w:rsid w:val="009A69E5"/>
    <w:rsid w:val="009A7946"/>
    <w:rsid w:val="009B0FEE"/>
    <w:rsid w:val="009B4571"/>
    <w:rsid w:val="009C167C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72DB9"/>
    <w:rsid w:val="00A741B7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119A"/>
    <w:rsid w:val="00AF6ADD"/>
    <w:rsid w:val="00B03468"/>
    <w:rsid w:val="00B06AEE"/>
    <w:rsid w:val="00B10516"/>
    <w:rsid w:val="00B1114B"/>
    <w:rsid w:val="00B122AD"/>
    <w:rsid w:val="00B14409"/>
    <w:rsid w:val="00B148AD"/>
    <w:rsid w:val="00B176EA"/>
    <w:rsid w:val="00B22F67"/>
    <w:rsid w:val="00B24A1F"/>
    <w:rsid w:val="00B25039"/>
    <w:rsid w:val="00B2530C"/>
    <w:rsid w:val="00B26887"/>
    <w:rsid w:val="00B26E20"/>
    <w:rsid w:val="00B32A80"/>
    <w:rsid w:val="00B34482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B10"/>
    <w:rsid w:val="00B74412"/>
    <w:rsid w:val="00B753AA"/>
    <w:rsid w:val="00B9007F"/>
    <w:rsid w:val="00BA19C0"/>
    <w:rsid w:val="00BA3F41"/>
    <w:rsid w:val="00BA4430"/>
    <w:rsid w:val="00BA5837"/>
    <w:rsid w:val="00BA7E2F"/>
    <w:rsid w:val="00BB0757"/>
    <w:rsid w:val="00BB2B30"/>
    <w:rsid w:val="00BB5E7C"/>
    <w:rsid w:val="00BC380A"/>
    <w:rsid w:val="00BC5D86"/>
    <w:rsid w:val="00BD7195"/>
    <w:rsid w:val="00BE24DE"/>
    <w:rsid w:val="00BE3E01"/>
    <w:rsid w:val="00BF4D4D"/>
    <w:rsid w:val="00C01FDB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3F40"/>
    <w:rsid w:val="00C448C0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90BCF"/>
    <w:rsid w:val="00C928F9"/>
    <w:rsid w:val="00C94B9B"/>
    <w:rsid w:val="00C951D3"/>
    <w:rsid w:val="00CA5E7B"/>
    <w:rsid w:val="00CA7C40"/>
    <w:rsid w:val="00CB09BC"/>
    <w:rsid w:val="00CB26F1"/>
    <w:rsid w:val="00CB43FB"/>
    <w:rsid w:val="00CB6B7E"/>
    <w:rsid w:val="00CC0C1D"/>
    <w:rsid w:val="00CC2D9E"/>
    <w:rsid w:val="00CC5257"/>
    <w:rsid w:val="00CC675F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53A5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D7FDD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006D"/>
    <w:rsid w:val="00E92321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0EA9"/>
    <w:rsid w:val="00ED1C3B"/>
    <w:rsid w:val="00ED4450"/>
    <w:rsid w:val="00ED7AEE"/>
    <w:rsid w:val="00EE01ED"/>
    <w:rsid w:val="00EE07E0"/>
    <w:rsid w:val="00EE18A0"/>
    <w:rsid w:val="00EE77D8"/>
    <w:rsid w:val="00EF0BF5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832D7"/>
    <w:rsid w:val="00F85922"/>
    <w:rsid w:val="00F91956"/>
    <w:rsid w:val="00F92D22"/>
    <w:rsid w:val="00F935C4"/>
    <w:rsid w:val="00F9370C"/>
    <w:rsid w:val="00F95451"/>
    <w:rsid w:val="00F9718B"/>
    <w:rsid w:val="00F97CD6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1369-A619-42FD-8E1D-46DB3F3B511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36A35-8DF6-4F9B-B68E-87F83C4D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3805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Krumlová Nikola</cp:lastModifiedBy>
  <cp:revision>2</cp:revision>
  <cp:lastPrinted>2018-02-12T13:27:00Z</cp:lastPrinted>
  <dcterms:created xsi:type="dcterms:W3CDTF">2022-09-05T07:34:00Z</dcterms:created>
  <dcterms:modified xsi:type="dcterms:W3CDTF">2022-09-05T07:34:00Z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