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9E9CA2" w14:textId="77777777" w:rsidR="00F422D3" w:rsidRDefault="00633B07" w:rsidP="00B42F40">
      <w:pPr>
        <w:pStyle w:val="Titul1"/>
      </w:pPr>
      <w:r>
        <w:t>KUPNÍ SMLOUVA</w:t>
      </w:r>
    </w:p>
    <w:p w14:paraId="67EBBAEE" w14:textId="77777777" w:rsidR="00F422D3" w:rsidRDefault="00F422D3" w:rsidP="00B42F40">
      <w:pPr>
        <w:pStyle w:val="Titul2"/>
      </w:pPr>
      <w:r>
        <w:t>Název zakázky: „</w:t>
      </w:r>
      <w:r w:rsidR="002A25FE" w:rsidRPr="002A25FE">
        <w:t>Dodávka traktoru s příslušenstvím</w:t>
      </w:r>
      <w:r>
        <w:t>“</w:t>
      </w:r>
      <w:r w:rsidR="00485CE8">
        <w:t xml:space="preserve"> </w:t>
      </w:r>
    </w:p>
    <w:p w14:paraId="596F329F" w14:textId="77777777" w:rsidR="007A6E42" w:rsidRPr="00D32554" w:rsidRDefault="007A6E42" w:rsidP="00067B13">
      <w:pPr>
        <w:pStyle w:val="Nadpis1-1"/>
        <w:numPr>
          <w:ilvl w:val="0"/>
          <w:numId w:val="0"/>
        </w:numPr>
      </w:pPr>
      <w:r>
        <w:t>Smluvní strany</w:t>
      </w:r>
    </w:p>
    <w:p w14:paraId="19F5E8C3" w14:textId="77777777" w:rsidR="001C2A3F" w:rsidRPr="001C2A3F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09EF4301" w14:textId="77777777" w:rsidR="001C2A3F" w:rsidRPr="001C2A3F" w:rsidRDefault="001C2A3F" w:rsidP="001C2A3F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3AEA3FC0" w14:textId="77777777" w:rsidR="001C2A3F" w:rsidRPr="001C2A3F" w:rsidRDefault="001C2A3F" w:rsidP="001C2A3F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479C800B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59E8F0EC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586F8026" w14:textId="77777777" w:rsidR="001C2A3F" w:rsidRPr="001C2A3F" w:rsidRDefault="00022D32" w:rsidP="00022D32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489419A8" w14:textId="77777777" w:rsidR="001C2A3F" w:rsidRPr="00136679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 xml:space="preserve">, </w:t>
      </w:r>
      <w:r w:rsidRPr="00136679">
        <w:rPr>
          <w:rFonts w:eastAsia="Times New Roman" w:cs="Arial"/>
          <w:snapToGrid w:val="0"/>
          <w:lang w:eastAsia="cs-CZ"/>
        </w:rPr>
        <w:t>ředitelem Oblastního ředitelství Hradec Králové</w:t>
      </w:r>
    </w:p>
    <w:p w14:paraId="74A9126D" w14:textId="77777777" w:rsidR="002A398D" w:rsidRPr="001C2A3F" w:rsidRDefault="002A398D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36679">
        <w:rPr>
          <w:rFonts w:eastAsia="Times New Roman" w:cs="Arial"/>
          <w:snapToGrid w:val="0"/>
          <w:lang w:eastAsia="cs-CZ"/>
        </w:rPr>
        <w:tab/>
      </w:r>
      <w:r w:rsidRPr="00136679">
        <w:rPr>
          <w:rFonts w:eastAsia="Times New Roman" w:cs="Arial"/>
          <w:snapToGrid w:val="0"/>
          <w:lang w:eastAsia="cs-CZ"/>
        </w:rPr>
        <w:tab/>
        <w:t>na základě pověření č. 3053 ze dne 10. 3. 2021</w:t>
      </w:r>
    </w:p>
    <w:p w14:paraId="1534DBFB" w14:textId="77777777" w:rsidR="001C2A3F" w:rsidRPr="001C2A3F" w:rsidRDefault="001C2A3F" w:rsidP="001C2A3F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27E7F3BE" w14:textId="77777777" w:rsidR="001C2A3F" w:rsidRPr="001C2A3F" w:rsidRDefault="001C2A3F" w:rsidP="001C2A3F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087E8569" w14:textId="77777777" w:rsidR="001C2A3F" w:rsidRPr="005340CB" w:rsidRDefault="007162F4" w:rsidP="007162F4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78D0C843" w14:textId="77777777" w:rsidR="00633B07" w:rsidRDefault="001C2A3F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7C9F983D" w14:textId="77777777" w:rsidR="001C2A3F" w:rsidRPr="001C2A3F" w:rsidRDefault="001C2A3F" w:rsidP="00633B07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11A05D91" w14:textId="77777777" w:rsidR="001C2A3F" w:rsidRPr="001C2A3F" w:rsidRDefault="00633B07" w:rsidP="001C2A3F">
      <w:p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50322B76" w14:textId="77777777" w:rsidR="001C2A3F" w:rsidRDefault="002A398D" w:rsidP="001C2A3F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2FBA3904" w14:textId="77777777" w:rsidR="002A25FE" w:rsidRPr="002A25FE" w:rsidRDefault="002A25FE" w:rsidP="002A25FE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2A25FE">
        <w:rPr>
          <w:rFonts w:eastAsia="Times New Roman" w:cs="Arial"/>
          <w:snapToGrid w:val="0"/>
          <w:lang w:eastAsia="cs-CZ"/>
        </w:rPr>
        <w:t>p. Zdeněk Kvapil, mob.: 724 403 563, email: Kvapil@spravazeleznic.cz</w:t>
      </w:r>
    </w:p>
    <w:p w14:paraId="162A1E8E" w14:textId="77777777" w:rsidR="001C2A3F" w:rsidRPr="001C2A3F" w:rsidRDefault="002A25FE" w:rsidP="002A25FE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  <w:r w:rsidRPr="002A25FE">
        <w:rPr>
          <w:rFonts w:eastAsia="Times New Roman" w:cs="Arial"/>
          <w:snapToGrid w:val="0"/>
          <w:lang w:eastAsia="cs-CZ"/>
        </w:rPr>
        <w:t>p. Jan Frnka, mob.: 702 021 554, email: Frnka@spravazeleznic.cz</w:t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ab/>
      </w:r>
    </w:p>
    <w:p w14:paraId="68E2E7BA" w14:textId="77777777" w:rsidR="008D6EDE" w:rsidRPr="005340CB" w:rsidRDefault="001C2A3F" w:rsidP="001C2A3F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3E0C8F9" w14:textId="77777777" w:rsidR="008D6EDE" w:rsidRPr="005340CB" w:rsidRDefault="005340CB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418AE2B5" w14:textId="77777777" w:rsidR="008D6EDE" w:rsidRDefault="008D6EDE" w:rsidP="005340C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snapToGrid w:val="0"/>
          <w:lang w:eastAsia="cs-CZ"/>
        </w:rPr>
      </w:pPr>
    </w:p>
    <w:p w14:paraId="082802F6" w14:textId="77777777" w:rsidR="001C2A3F" w:rsidRPr="008D6EDE" w:rsidRDefault="005340CB" w:rsidP="005340C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02065C9B" w14:textId="77777777" w:rsidR="001C2A3F" w:rsidRPr="001C2A3F" w:rsidRDefault="007162F4" w:rsidP="007162F4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491B537D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85ED08F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2873C8E1" w14:textId="77777777" w:rsidR="001C2A3F" w:rsidRPr="001C2A3F" w:rsidRDefault="001C2A3F" w:rsidP="009020D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7CEE2BC9" w14:textId="77777777" w:rsidR="001C2A3F" w:rsidRDefault="001C2A3F" w:rsidP="001C2A3F">
      <w:pPr>
        <w:pStyle w:val="Textbezodsazen"/>
      </w:pPr>
    </w:p>
    <w:p w14:paraId="5812CC3B" w14:textId="77777777" w:rsidR="008D6EDE" w:rsidRPr="001D580D" w:rsidRDefault="008D6EDE" w:rsidP="008D6EDE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6431EA58" w14:textId="6B1B35BE" w:rsidR="008D6EDE" w:rsidRDefault="008D6EDE" w:rsidP="008D6EDE">
      <w:pPr>
        <w:pStyle w:val="Textbezodsazen"/>
        <w:ind w:firstLine="567"/>
      </w:pPr>
      <w:r>
        <w:t xml:space="preserve">E-mail: </w:t>
      </w:r>
      <w:r w:rsidR="006145EB" w:rsidRPr="006145EB">
        <w:t>ePodatelnaCFU@spravazeleznic.cz</w:t>
      </w:r>
    </w:p>
    <w:p w14:paraId="69F815EC" w14:textId="77777777" w:rsidR="008D6EDE" w:rsidRDefault="008D6EDE" w:rsidP="00436951">
      <w:pPr>
        <w:pStyle w:val="Textbezodsazen"/>
        <w:spacing w:after="0"/>
      </w:pPr>
    </w:p>
    <w:p w14:paraId="6D6DE469" w14:textId="77777777" w:rsidR="00B42F40" w:rsidRPr="002A398D" w:rsidRDefault="009020DB" w:rsidP="00436951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2BE07CA4" w14:textId="5460F978" w:rsidR="00436951" w:rsidRPr="002A398D" w:rsidRDefault="00436951" w:rsidP="006F3400">
      <w:pPr>
        <w:pStyle w:val="Textbezodsazen"/>
        <w:spacing w:after="0"/>
      </w:pPr>
      <w:r w:rsidRPr="002A398D">
        <w:t xml:space="preserve">          ev. č. registru VZ: </w:t>
      </w:r>
      <w:r w:rsidR="004E6917">
        <w:t>64021052</w:t>
      </w:r>
      <w:bookmarkStart w:id="1" w:name="_GoBack"/>
      <w:bookmarkEnd w:id="1"/>
    </w:p>
    <w:p w14:paraId="5E1A7A04" w14:textId="77777777" w:rsidR="006F3400" w:rsidRPr="002A398D" w:rsidRDefault="006F3400" w:rsidP="006F3400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38C7CE82" w14:textId="77777777" w:rsidR="006F3400" w:rsidRPr="006F3400" w:rsidRDefault="006F3400" w:rsidP="006F3400">
      <w:pPr>
        <w:pStyle w:val="Textbezodsazen"/>
        <w:spacing w:after="0"/>
      </w:pPr>
    </w:p>
    <w:p w14:paraId="644A3002" w14:textId="77777777" w:rsidR="00067B13" w:rsidRPr="00067B13" w:rsidRDefault="00067B13" w:rsidP="009020D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0D20B451" w14:textId="77777777" w:rsidR="00B42F40" w:rsidRPr="00B42F40" w:rsidRDefault="00F422D3" w:rsidP="009020DB">
      <w:pPr>
        <w:pStyle w:val="Textbezodsazen"/>
        <w:ind w:firstLine="709"/>
      </w:pPr>
      <w:r w:rsidRPr="00B42F40">
        <w:t>a</w:t>
      </w:r>
    </w:p>
    <w:p w14:paraId="3AB23702" w14:textId="77777777" w:rsidR="009020DB" w:rsidRPr="009020DB" w:rsidRDefault="00067B13" w:rsidP="00067B13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61F50850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2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2"/>
      <w:r w:rsidRPr="002A398D">
        <w:rPr>
          <w:rFonts w:eastAsia="Times New Roman" w:cs="Arial"/>
          <w:snapToGrid w:val="0"/>
          <w:lang w:eastAsia="cs-CZ"/>
        </w:rPr>
        <w:tab/>
      </w:r>
    </w:p>
    <w:p w14:paraId="104CD4EF" w14:textId="77777777" w:rsidR="009020DB" w:rsidRPr="002A398D" w:rsidRDefault="009020DB" w:rsidP="009020D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E918F91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13D9719" w14:textId="77777777" w:rsidR="009020DB" w:rsidRPr="002A398D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2DA89CE" w14:textId="77777777" w:rsidR="009020DB" w:rsidRPr="002A398D" w:rsidRDefault="009020DB" w:rsidP="009020D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4E550A4" w14:textId="77777777" w:rsidR="009020DB" w:rsidRPr="009020DB" w:rsidRDefault="009020DB" w:rsidP="009020D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C53953E" w14:textId="77777777" w:rsidR="009020DB" w:rsidRPr="009020DB" w:rsidRDefault="009020DB" w:rsidP="009020D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D915A6B" w14:textId="77777777" w:rsidR="009020DB" w:rsidRPr="000C6E14" w:rsidRDefault="009020DB" w:rsidP="009020D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C468E1F" w14:textId="77777777" w:rsidR="009020DB" w:rsidRPr="009020DB" w:rsidRDefault="009020DB" w:rsidP="009020D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9C6E72C" w14:textId="77777777" w:rsidR="009020DB" w:rsidRDefault="009020DB" w:rsidP="002A398D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E9F4765" w14:textId="77777777" w:rsidR="002A398D" w:rsidRPr="009020DB" w:rsidRDefault="002A398D" w:rsidP="002A398D">
      <w:pPr>
        <w:tabs>
          <w:tab w:val="left" w:pos="567"/>
          <w:tab w:val="left" w:pos="3544"/>
        </w:tabs>
        <w:spacing w:after="0" w:line="240" w:lineRule="auto"/>
        <w:ind w:left="1134"/>
        <w:rPr>
          <w:rFonts w:eastAsia="Times New Roman" w:cs="Arial"/>
          <w:snapToGrid w:val="0"/>
          <w:lang w:eastAsia="cs-CZ"/>
        </w:rPr>
      </w:pPr>
    </w:p>
    <w:p w14:paraId="2F82C150" w14:textId="77777777" w:rsidR="009020DB" w:rsidRPr="009020DB" w:rsidRDefault="009020DB" w:rsidP="009020DB">
      <w:pPr>
        <w:tabs>
          <w:tab w:val="left" w:pos="426"/>
          <w:tab w:val="left" w:pos="1985"/>
          <w:tab w:val="left" w:pos="4395"/>
        </w:tabs>
        <w:spacing w:after="0" w:line="240" w:lineRule="auto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463EE8D0" w14:textId="77777777" w:rsidR="009020DB" w:rsidRPr="009020DB" w:rsidRDefault="009910DA" w:rsidP="009020D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767649BA" w14:textId="77777777" w:rsidR="00067B13" w:rsidRDefault="009020DB" w:rsidP="009020D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2F7606E" w14:textId="77777777" w:rsidR="00F422D3" w:rsidRPr="00B42F40" w:rsidRDefault="00F422D3" w:rsidP="009020D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573B192D" w14:textId="77777777" w:rsidR="00B42F40" w:rsidRPr="00B42F40" w:rsidRDefault="00D32554" w:rsidP="00B42F40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1141BC8D" w14:textId="77777777" w:rsidR="00F24489" w:rsidRDefault="00D32554" w:rsidP="00D32554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21EB219A" w14:textId="77777777" w:rsidR="002A25FE" w:rsidRDefault="002A25FE" w:rsidP="00D32554">
      <w:pPr>
        <w:pStyle w:val="Textbezodsazen"/>
        <w:rPr>
          <w:b/>
        </w:rPr>
      </w:pPr>
    </w:p>
    <w:p w14:paraId="5474C325" w14:textId="77777777" w:rsidR="00EF05B5" w:rsidRDefault="00067B13" w:rsidP="00EF05B5">
      <w:pPr>
        <w:pStyle w:val="Nadpis1-1"/>
      </w:pPr>
      <w:r>
        <w:t>PŘEDMĚT SMLOUVY</w:t>
      </w:r>
    </w:p>
    <w:p w14:paraId="1E6F571B" w14:textId="77777777" w:rsidR="00067B13" w:rsidRPr="00067B13" w:rsidRDefault="00067B13" w:rsidP="002A25FE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2A25FE" w:rsidRPr="002A25FE">
        <w:t>Dodávka traktoru s příslušenstvím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2A25FE" w:rsidRPr="002A25FE">
        <w:t>traktoru s příkopovým ramenem</w:t>
      </w:r>
      <w:r w:rsidR="002A25FE">
        <w:t xml:space="preserve"> a dvou </w:t>
      </w:r>
      <w:r w:rsidR="00F96183">
        <w:t>kusů štěpkovačů za traktor</w:t>
      </w:r>
      <w:r w:rsidR="002A25FE" w:rsidRPr="002A25FE">
        <w:t xml:space="preserve"> uvedených </w:t>
      </w:r>
      <w:r w:rsidRPr="00067B13">
        <w:t xml:space="preserve">v příloze č. 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06D7988" w14:textId="77777777" w:rsidR="007972AC" w:rsidRPr="007972AC" w:rsidRDefault="007972AC" w:rsidP="007972AC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Pr="007972AC">
        <w:t>upujícímu nabýt k tomuto předmětu koupě vlastnické právo.</w:t>
      </w:r>
    </w:p>
    <w:p w14:paraId="72DC1E42" w14:textId="77777777" w:rsidR="007972AC" w:rsidRPr="007972AC" w:rsidRDefault="007972AC" w:rsidP="007972AC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0181D19A" w14:textId="77777777" w:rsidR="007972AC" w:rsidRPr="007972AC" w:rsidRDefault="007972AC" w:rsidP="007972AC">
      <w:pPr>
        <w:pStyle w:val="Text1-1"/>
      </w:pPr>
      <w:r w:rsidRPr="007972AC">
        <w:t>Jakost ani provedení předmětu koupě není určeno vzorkem ani předlohou.</w:t>
      </w:r>
    </w:p>
    <w:p w14:paraId="6C52ABBA" w14:textId="77777777" w:rsidR="007972AC" w:rsidRDefault="007972AC" w:rsidP="007972AC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3A92F3E9" w14:textId="77777777" w:rsidR="002A25FE" w:rsidRPr="007972AC" w:rsidRDefault="002A25FE" w:rsidP="002A25FE">
      <w:pPr>
        <w:pStyle w:val="Text1-1"/>
        <w:numPr>
          <w:ilvl w:val="0"/>
          <w:numId w:val="0"/>
        </w:numPr>
        <w:ind w:left="737"/>
        <w:rPr>
          <w:rFonts w:eastAsia="Times New Roman" w:cs="Arial"/>
          <w:snapToGrid w:val="0"/>
          <w:lang w:eastAsia="cs-CZ"/>
        </w:rPr>
      </w:pPr>
    </w:p>
    <w:p w14:paraId="32A401E5" w14:textId="77777777" w:rsidR="00F24489" w:rsidRDefault="007972AC" w:rsidP="00F24489">
      <w:pPr>
        <w:pStyle w:val="Nadpis1-1"/>
      </w:pPr>
      <w:r>
        <w:t>KUPNÍ CENA předmětu koupě, platební podmínky</w:t>
      </w:r>
    </w:p>
    <w:p w14:paraId="58E97645" w14:textId="77777777" w:rsidR="007972AC" w:rsidRDefault="007972AC" w:rsidP="007972AC">
      <w:pPr>
        <w:pStyle w:val="Text1-1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 xml:space="preserve">základě zadávacího řízení, je sjednána jako maximální a činí celkem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bez DPH</w:t>
      </w:r>
    </w:p>
    <w:p w14:paraId="0F6B2B3B" w14:textId="77777777" w:rsidR="006C76CE" w:rsidRPr="007972AC" w:rsidRDefault="006C76CE" w:rsidP="006C76CE">
      <w:pPr>
        <w:pStyle w:val="Text1-1"/>
        <w:numPr>
          <w:ilvl w:val="0"/>
          <w:numId w:val="0"/>
        </w:numPr>
        <w:ind w:left="737"/>
      </w:pPr>
      <w:r w:rsidRPr="006C76CE">
        <w:t xml:space="preserve">(slovy: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6C76CE">
        <w:t xml:space="preserve"> korun českých).</w:t>
      </w:r>
    </w:p>
    <w:p w14:paraId="1D663B12" w14:textId="77777777" w:rsidR="00557DDF" w:rsidRPr="00DB766B" w:rsidRDefault="00DB766B" w:rsidP="00DB766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75F4E3B3" w14:textId="77777777" w:rsidR="00DB766B" w:rsidRDefault="00DB766B" w:rsidP="00DB766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4ED032C7" w14:textId="77777777" w:rsidR="00DB766B" w:rsidRPr="00EB7183" w:rsidRDefault="00414958" w:rsidP="00414958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</w:t>
      </w:r>
      <w:r w:rsidRPr="00EB7183">
        <w:t xml:space="preserve">jiného poškození na místo plnění určené v čl. 3.1 této </w:t>
      </w:r>
      <w:r w:rsidR="009910DA" w:rsidRPr="00EB7183">
        <w:t>S</w:t>
      </w:r>
      <w:r w:rsidRPr="00EB7183">
        <w:t>mlouvy.</w:t>
      </w:r>
    </w:p>
    <w:p w14:paraId="2438D3BC" w14:textId="0DE9AC25" w:rsidR="00D17950" w:rsidRPr="00EB7183" w:rsidRDefault="00D17950" w:rsidP="00D17950">
      <w:pPr>
        <w:pStyle w:val="Text1-1"/>
      </w:pPr>
      <w:r w:rsidRPr="00EB7183">
        <w:t xml:space="preserve">Kupní cena bude placena na základě daňového dokladu (faktury) vystaveného </w:t>
      </w:r>
      <w:r w:rsidR="00AB4C40" w:rsidRPr="00EB7183">
        <w:t>P</w:t>
      </w:r>
      <w:r w:rsidRPr="00EB7183">
        <w:t xml:space="preserve">rodávajícím se splatností </w:t>
      </w:r>
      <w:r w:rsidR="00EB7183" w:rsidRPr="00EB7183">
        <w:t>6</w:t>
      </w:r>
      <w:r w:rsidRPr="00EB7183">
        <w:t xml:space="preserve">0 kalendářních dnů od data doručení daňového dokladu (faktury) </w:t>
      </w:r>
      <w:r w:rsidR="009910DA" w:rsidRPr="00EB7183">
        <w:t>K</w:t>
      </w:r>
      <w:r w:rsidRPr="00EB7183">
        <w:t xml:space="preserve">upujícímu, a to převodním příkazem na účet </w:t>
      </w:r>
      <w:r w:rsidR="009910DA" w:rsidRPr="00EB7183">
        <w:t>P</w:t>
      </w:r>
      <w:r w:rsidRPr="00EB7183">
        <w:t xml:space="preserve">rodávajícího. Daňový doklad (faktura) je považován za uhrazený dnem odepsání fakturované částky z účtu </w:t>
      </w:r>
      <w:r w:rsidR="009910DA" w:rsidRPr="00EB7183">
        <w:t>K</w:t>
      </w:r>
      <w:r w:rsidRPr="00EB7183">
        <w:t>upujícího.</w:t>
      </w:r>
    </w:p>
    <w:p w14:paraId="331FAC2A" w14:textId="77777777" w:rsidR="00D17950" w:rsidRDefault="00D17950" w:rsidP="00D17950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611C8B11" w14:textId="77777777" w:rsidR="00D17950" w:rsidRDefault="00D17950" w:rsidP="00D17950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1F0FF3C7" w14:textId="77777777" w:rsidR="00690655" w:rsidRDefault="00690655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4207E2A6" w14:textId="77777777" w:rsidR="002A25FE" w:rsidRPr="00557DDF" w:rsidRDefault="002A25FE" w:rsidP="002A25FE">
      <w:pPr>
        <w:pStyle w:val="Text1-1"/>
        <w:numPr>
          <w:ilvl w:val="0"/>
          <w:numId w:val="0"/>
        </w:numPr>
        <w:ind w:left="737"/>
      </w:pPr>
    </w:p>
    <w:p w14:paraId="438ECD7A" w14:textId="77777777" w:rsidR="00F24489" w:rsidRDefault="00D17950" w:rsidP="00D53CA1">
      <w:pPr>
        <w:pStyle w:val="Nadpis1-1"/>
      </w:pPr>
      <w:r>
        <w:t xml:space="preserve">způsob a místo dodání předmětu </w:t>
      </w:r>
      <w:r w:rsidR="00D53CA1">
        <w:t>koupě a čas plnění</w:t>
      </w:r>
    </w:p>
    <w:p w14:paraId="586D8C9F" w14:textId="77777777" w:rsidR="00782D29" w:rsidRPr="00D53CA1" w:rsidRDefault="00782D29" w:rsidP="00782D29">
      <w:pPr>
        <w:pStyle w:val="Text1-1"/>
      </w:pPr>
      <w:r w:rsidRPr="00D53CA1">
        <w:rPr>
          <w:rFonts w:eastAsia="Times New Roman" w:cs="Arial"/>
          <w:lang w:eastAsia="cs-CZ"/>
        </w:rPr>
        <w:t xml:space="preserve">Prodávající se zavazuje předmět koupě dopravit </w:t>
      </w:r>
      <w:r w:rsidR="009910DA">
        <w:rPr>
          <w:rFonts w:eastAsia="Times New Roman" w:cs="Arial"/>
          <w:lang w:eastAsia="cs-CZ"/>
        </w:rPr>
        <w:t>K</w:t>
      </w:r>
      <w:r w:rsidRPr="00D53CA1">
        <w:rPr>
          <w:rFonts w:eastAsia="Times New Roman" w:cs="Arial"/>
          <w:lang w:eastAsia="cs-CZ"/>
        </w:rPr>
        <w:t>upujícímu do místa plnění, kterým je sídlo organizační jednotky kupujícího:</w:t>
      </w:r>
    </w:p>
    <w:p w14:paraId="7DB89EA7" w14:textId="77777777" w:rsidR="00E30CC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 w:rsidRPr="00D53CA1">
        <w:rPr>
          <w:rFonts w:eastAsia="Times New Roman" w:cs="Arial"/>
          <w:lang w:eastAsia="cs-CZ"/>
        </w:rPr>
        <w:t>S</w:t>
      </w:r>
      <w:r w:rsidR="00E30CC9">
        <w:rPr>
          <w:rFonts w:eastAsia="Times New Roman" w:cs="Arial"/>
          <w:lang w:eastAsia="cs-CZ"/>
        </w:rPr>
        <w:t>práva železnic</w:t>
      </w:r>
      <w:r>
        <w:rPr>
          <w:rFonts w:eastAsia="Times New Roman" w:cs="Arial"/>
          <w:lang w:eastAsia="cs-CZ"/>
        </w:rPr>
        <w:t>, s</w:t>
      </w:r>
      <w:r w:rsidR="00E30CC9">
        <w:rPr>
          <w:rFonts w:eastAsia="Times New Roman" w:cs="Arial"/>
          <w:lang w:eastAsia="cs-CZ"/>
        </w:rPr>
        <w:t>tátní organizace</w:t>
      </w:r>
    </w:p>
    <w:p w14:paraId="2EAB6647" w14:textId="77777777" w:rsidR="00782D29" w:rsidRDefault="00782D29" w:rsidP="00782D29">
      <w:pPr>
        <w:pStyle w:val="Text1-1"/>
        <w:numPr>
          <w:ilvl w:val="0"/>
          <w:numId w:val="0"/>
        </w:numPr>
        <w:spacing w:after="0"/>
        <w:ind w:left="737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Oblastní ředitelství Hradec Králové</w:t>
      </w:r>
    </w:p>
    <w:p w14:paraId="007F8425" w14:textId="77777777" w:rsidR="002A25FE" w:rsidRPr="002A25FE" w:rsidRDefault="002A25FE" w:rsidP="002A25FE">
      <w:pPr>
        <w:pStyle w:val="Text1-1"/>
        <w:numPr>
          <w:ilvl w:val="0"/>
          <w:numId w:val="0"/>
        </w:numPr>
        <w:ind w:left="737"/>
      </w:pPr>
      <w:r w:rsidRPr="002A25FE">
        <w:rPr>
          <w:rFonts w:eastAsia="Times New Roman" w:cs="Arial"/>
          <w:lang w:eastAsia="cs-CZ"/>
        </w:rPr>
        <w:t xml:space="preserve">TO Letohrad, Tyršova 260, Letohrad 565 51  </w:t>
      </w:r>
    </w:p>
    <w:p w14:paraId="36FD2475" w14:textId="77777777" w:rsidR="00782D29" w:rsidRDefault="00782D29" w:rsidP="002A25FE">
      <w:pPr>
        <w:pStyle w:val="Text1-1"/>
      </w:pPr>
      <w:r w:rsidRPr="00782D29">
        <w:t xml:space="preserve">Termín dodávky předmětu koupě: </w:t>
      </w:r>
      <w:r w:rsidRPr="00782D29">
        <w:tab/>
      </w:r>
      <w:r w:rsidR="00136679">
        <w:t xml:space="preserve">do </w:t>
      </w:r>
      <w:r w:rsidR="002A25FE">
        <w:t>30. 11. 2021</w:t>
      </w:r>
    </w:p>
    <w:p w14:paraId="286C6C01" w14:textId="77777777" w:rsidR="00782D29" w:rsidRDefault="00782D29" w:rsidP="002A25FE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2A25FE">
        <w:t xml:space="preserve">pracovní dny v době od 7.00 do 13.00 hodin kdykoliv v termínu účinnosti této </w:t>
      </w:r>
      <w:r w:rsidR="00183EDF" w:rsidRPr="002A25FE">
        <w:t>S</w:t>
      </w:r>
      <w:r w:rsidRPr="002A25FE">
        <w:t xml:space="preserve">mlouvy s tím, že termín plnění bude oznámen v předstihu 2 pracovních dní </w:t>
      </w:r>
      <w:r w:rsidR="00183EDF" w:rsidRPr="002A25FE">
        <w:t>P</w:t>
      </w:r>
      <w:r w:rsidRPr="002A25FE">
        <w:t xml:space="preserve">rodávajícím </w:t>
      </w:r>
      <w:r w:rsidR="00183EDF" w:rsidRPr="002A25FE">
        <w:t>K</w:t>
      </w:r>
      <w:r w:rsidRPr="002A25FE">
        <w:t xml:space="preserve">upujícímu </w:t>
      </w:r>
      <w:r w:rsidR="002A25FE" w:rsidRPr="002A25FE">
        <w:t>(emailem na adresu Kvapil@spravazeleznic.cz a v kopii na Frnka@spravazeleznic.cz)</w:t>
      </w:r>
      <w:r w:rsidRPr="00782D29">
        <w:t xml:space="preserve"> 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62783CF3" w14:textId="77777777" w:rsidR="00782D29" w:rsidRDefault="00782D29" w:rsidP="00782D29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39C72745" w14:textId="77777777" w:rsidR="00782D29" w:rsidRDefault="00782D29" w:rsidP="00782D29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283A589C" w14:textId="77777777" w:rsidR="00782D29" w:rsidRDefault="00782D29" w:rsidP="00782D29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61662AA4" w14:textId="77777777" w:rsidR="00782D29" w:rsidRDefault="00782D29" w:rsidP="00782D29">
      <w:pPr>
        <w:pStyle w:val="Text1-1"/>
      </w:pPr>
      <w:r w:rsidRPr="00782D29">
        <w:lastRenderedPageBreak/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277ECAD8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46387E36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dodacího listu a datum vystavení,</w:t>
      </w:r>
    </w:p>
    <w:p w14:paraId="004EAADF" w14:textId="77777777" w:rsidR="00782D29" w:rsidRPr="00782D29" w:rsidRDefault="00782D29" w:rsidP="00782D29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64FDEAE7" w14:textId="77777777" w:rsidR="00782D29" w:rsidRPr="00782D29" w:rsidRDefault="00782D29" w:rsidP="00782D29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7C297B1B" w14:textId="77777777" w:rsidR="00782D29" w:rsidRDefault="00782D29" w:rsidP="00A47166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5E64A535" w14:textId="77777777" w:rsidR="002A25FE" w:rsidRPr="00AF77E4" w:rsidRDefault="002A25FE" w:rsidP="002A25FE">
      <w:pPr>
        <w:pStyle w:val="Text1-1"/>
        <w:numPr>
          <w:ilvl w:val="0"/>
          <w:numId w:val="0"/>
        </w:numPr>
        <w:ind w:left="737"/>
      </w:pPr>
    </w:p>
    <w:p w14:paraId="5622B965" w14:textId="77777777" w:rsidR="00F24489" w:rsidRDefault="00782D29" w:rsidP="00214C3E">
      <w:pPr>
        <w:pStyle w:val="Nadpis1-1"/>
      </w:pPr>
      <w:r>
        <w:t>vady předmětu koupě (reklamace)</w:t>
      </w:r>
    </w:p>
    <w:p w14:paraId="0D2F3B0D" w14:textId="77777777" w:rsidR="00782D29" w:rsidRDefault="00782D29" w:rsidP="00782D29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67F90FA7" w14:textId="77777777" w:rsidR="00782D29" w:rsidRDefault="00782D29" w:rsidP="00782D29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58DA60C5" w14:textId="0C73A9A9" w:rsidR="002A25FE" w:rsidRPr="002A25FE" w:rsidRDefault="002A25FE" w:rsidP="002A25FE">
      <w:pPr>
        <w:pStyle w:val="Text1-1"/>
      </w:pPr>
      <w:r w:rsidRPr="002A25FE">
        <w:t xml:space="preserve">Prodávající poskytuje </w:t>
      </w:r>
      <w:r w:rsidR="003F7B31">
        <w:t>K</w:t>
      </w:r>
      <w:r w:rsidRPr="002A25FE">
        <w:t>upujícímu záruku za jakost předmětu koupě v délce 48 měsíců na traktor</w:t>
      </w:r>
      <w:r w:rsidR="003F7B31">
        <w:t>,</w:t>
      </w:r>
      <w:r w:rsidRPr="002A25FE">
        <w:t xml:space="preserve"> 12 měsíců na příkopové rameno</w:t>
      </w:r>
      <w:r>
        <w:t xml:space="preserve"> a 12 měsíců na </w:t>
      </w:r>
      <w:r w:rsidR="00136679">
        <w:t>štěpk</w:t>
      </w:r>
      <w:r>
        <w:t>ovače</w:t>
      </w:r>
      <w:r w:rsidR="003F7B31">
        <w:t>, a to</w:t>
      </w:r>
      <w:r w:rsidRPr="002A25FE">
        <w:t xml:space="preserve"> ode dne předání a převzetí předmětu koupě </w:t>
      </w:r>
      <w:r w:rsidR="003F7B31">
        <w:t>K</w:t>
      </w:r>
      <w:r w:rsidRPr="002A25FE">
        <w:t xml:space="preserve">upujícím. V případech, kdy by záruční doba poskytnutá výrobci předmětu koupě překročila výše uvedenou dobu, zavazuje se </w:t>
      </w:r>
      <w:r w:rsidR="003F7B31">
        <w:t>P</w:t>
      </w:r>
      <w:r w:rsidRPr="002A25FE">
        <w:t xml:space="preserve">rodávající poskytnout </w:t>
      </w:r>
      <w:r w:rsidR="003F7B31">
        <w:t>K</w:t>
      </w:r>
      <w:r w:rsidRPr="002A25FE">
        <w:t>upujícímu záruku za jakost předmětu koupě v této delší době dané výrobci předmětu koupě.</w:t>
      </w:r>
    </w:p>
    <w:p w14:paraId="463A5EF1" w14:textId="2ED92F0F" w:rsidR="005959F4" w:rsidRDefault="005959F4" w:rsidP="00DB3E86">
      <w:pPr>
        <w:pStyle w:val="Text1-1"/>
      </w:pPr>
      <w:r>
        <w:t xml:space="preserve">Prodávající sdělí kupujícímu adresu specializovaného servisu určeného k zajištění záručního servisu a záručních oprav. Tento specializovaný servis se musí nacházet na území Pardubického kraje. Pokud prodávající nezajistí specializovaný servis na území Pardubického kraje, je povinen zajistit dopravu stroje a/nebo jeho příslušenství do specializovaného servisu a dopravu zpět na místo předání na vlastní náklady. Za místo předání stroje a/nebo jeho příslušenství se v takovém případě považuje místo dodání předmětu koupě dle této smlouvy, nedohodnou-li se smluvní strany jinak. </w:t>
      </w:r>
    </w:p>
    <w:p w14:paraId="4CBF3D02" w14:textId="12439867" w:rsidR="00DB3E86" w:rsidRDefault="00DB3E86" w:rsidP="00DB3E86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5F944E97" w14:textId="77777777" w:rsidR="00DB3E86" w:rsidRDefault="00DB3E86" w:rsidP="00DB3E86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5797E107" w14:textId="77777777" w:rsidR="00403C48" w:rsidRDefault="00403C48" w:rsidP="00403C48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78A0B224" w14:textId="77777777" w:rsidR="00403C48" w:rsidRDefault="00403C48" w:rsidP="00403C48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 xml:space="preserve">upující nebo jeho zástupce nesrovnalosti ve specifikaci nebo 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47DEFECC" w14:textId="77777777" w:rsidR="00403C48" w:rsidRDefault="00403C48" w:rsidP="00403C48">
      <w:pPr>
        <w:pStyle w:val="Text1-1"/>
      </w:pPr>
      <w:r>
        <w:lastRenderedPageBreak/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0E1AB5B" w14:textId="77777777" w:rsidR="00403C48" w:rsidRDefault="00403C48" w:rsidP="00403C48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7C779454" w14:textId="77777777" w:rsidR="002A25FE" w:rsidRDefault="002A25FE" w:rsidP="002A25FE">
      <w:pPr>
        <w:pStyle w:val="Text1-1"/>
        <w:numPr>
          <w:ilvl w:val="0"/>
          <w:numId w:val="0"/>
        </w:numPr>
        <w:ind w:left="737"/>
      </w:pPr>
    </w:p>
    <w:p w14:paraId="1282454B" w14:textId="77777777" w:rsidR="006C7460" w:rsidRDefault="00403C48" w:rsidP="00214C3E">
      <w:pPr>
        <w:pStyle w:val="Nadpis1-1"/>
      </w:pPr>
      <w:r>
        <w:t>sankce (smluvní pokuty, úroky z prodlení)</w:t>
      </w:r>
    </w:p>
    <w:p w14:paraId="2AA8FB94" w14:textId="77777777" w:rsidR="00403C48" w:rsidRDefault="00403C48" w:rsidP="00403C48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2FC8327C" w14:textId="77777777" w:rsidR="00403C48" w:rsidRDefault="00403C48" w:rsidP="00403C48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>dohodly, 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2E459118" w14:textId="77777777" w:rsidR="00403C48" w:rsidRDefault="00403C48" w:rsidP="00403C48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3DDC1B96" w14:textId="77777777" w:rsidR="00403C48" w:rsidRDefault="00403C48" w:rsidP="00403C48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401B297A" w14:textId="77777777" w:rsidR="00403C48" w:rsidRDefault="00403C48" w:rsidP="00403C48">
      <w:pPr>
        <w:pStyle w:val="Text1-1"/>
      </w:pPr>
      <w:r w:rsidRPr="00403C48">
        <w:t>Povinnost zaplatit</w:t>
      </w:r>
    </w:p>
    <w:p w14:paraId="6D12FAF2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0C31F6A6" w14:textId="77777777" w:rsidR="00403C48" w:rsidRPr="00403C48" w:rsidRDefault="00403C48" w:rsidP="00403C48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73D004F6" w14:textId="77777777" w:rsidR="00281052" w:rsidRDefault="00281052" w:rsidP="00281052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tj. od počátku.</w:t>
      </w:r>
    </w:p>
    <w:p w14:paraId="0E5B3639" w14:textId="77777777" w:rsidR="00281052" w:rsidRDefault="00281052" w:rsidP="00281052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5C3BEF10" w14:textId="77777777" w:rsidR="006C7460" w:rsidRDefault="00281052" w:rsidP="00281052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024F2829" w14:textId="77777777" w:rsidR="002A25FE" w:rsidRPr="00092818" w:rsidRDefault="002A25FE" w:rsidP="002A25FE">
      <w:pPr>
        <w:pStyle w:val="Text1-1"/>
        <w:numPr>
          <w:ilvl w:val="0"/>
          <w:numId w:val="0"/>
        </w:numPr>
        <w:ind w:left="737"/>
      </w:pPr>
    </w:p>
    <w:p w14:paraId="31C45D39" w14:textId="77777777" w:rsidR="007A7344" w:rsidRDefault="00281052" w:rsidP="00214C3E">
      <w:pPr>
        <w:pStyle w:val="Nadpis1-1"/>
      </w:pPr>
      <w:r>
        <w:t>společná a závěrečná ustanovení</w:t>
      </w:r>
    </w:p>
    <w:p w14:paraId="5539339E" w14:textId="77777777" w:rsidR="0031424A" w:rsidRDefault="0031424A" w:rsidP="0031424A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0E7E1210" w14:textId="77777777" w:rsidR="0031424A" w:rsidRDefault="0031424A" w:rsidP="0031424A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587A53D" w14:textId="77777777" w:rsidR="0031424A" w:rsidRDefault="0031424A" w:rsidP="0031424A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nejpozději do 10 </w:t>
      </w:r>
      <w:r>
        <w:lastRenderedPageBreak/>
        <w:t xml:space="preserve">dnů ode dne doručení výzvy. Veškeré spory z této </w:t>
      </w:r>
      <w:r w:rsidR="00022D32">
        <w:t>S</w:t>
      </w:r>
      <w:r>
        <w:t xml:space="preserve">mlouvy, u nichž nedojde k dohodě, budou řešit soudy České republiky. </w:t>
      </w:r>
    </w:p>
    <w:p w14:paraId="0FDADC32" w14:textId="77777777" w:rsidR="0031424A" w:rsidRDefault="0031424A" w:rsidP="0031424A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5A3E2522" w14:textId="77777777" w:rsidR="0031424A" w:rsidRDefault="0031424A" w:rsidP="0031424A">
      <w:pPr>
        <w:pStyle w:val="Text1-1"/>
      </w:pPr>
      <w:r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1D236152" w14:textId="77777777" w:rsidR="0031424A" w:rsidRDefault="0031424A" w:rsidP="0031424A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715943B4" w14:textId="77777777" w:rsidR="0031424A" w:rsidRDefault="0031424A" w:rsidP="0031424A">
      <w:pPr>
        <w:pStyle w:val="Text1-1"/>
      </w:pPr>
      <w:r>
        <w:t xml:space="preserve">Prodávající bere na vědomí, že </w:t>
      </w:r>
      <w:r w:rsidR="00022D32">
        <w:t>K</w:t>
      </w:r>
      <w:r>
        <w:t>upující je povinným subjektem dle zákona č. 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>takovým uveřejněním textu smlouvy, jejích příloh i případných dodatků (bez identifikace osob, které nejsou uvedeny ve veřejně přístupných rejstřících, kontaktů a</w:t>
      </w:r>
      <w:r w:rsidR="00690655">
        <w:t> </w:t>
      </w:r>
      <w:r>
        <w:t xml:space="preserve">bankovních spojení). Zaslání smlouvy správci registru smluv k uveřejnění smluv obvykle zajišťuje </w:t>
      </w:r>
      <w:r w:rsidR="00022D32">
        <w:t>K</w:t>
      </w:r>
      <w:r>
        <w:t xml:space="preserve">upující, nicméně odpovědnost za uveřejnění smlouvy v 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8874415" w14:textId="77777777" w:rsidR="0031424A" w:rsidRDefault="0031424A" w:rsidP="0031424A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924AC8">
        <w:t> </w:t>
      </w:r>
      <w:r w:rsidRPr="00090317">
        <w:t>obchodní</w:t>
      </w:r>
      <w:r>
        <w:t xml:space="preserve">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4B9E7D" w14:textId="77777777" w:rsidR="0031424A" w:rsidRDefault="0031424A" w:rsidP="0031424A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 xml:space="preserve">upující jako s obchodním tajemstvím nakládat a ani zodpovídat za případnou škodu či 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180BF87B" w14:textId="77777777" w:rsidR="002A25FE" w:rsidRDefault="0031424A" w:rsidP="002A25FE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4A8A9FFC" w14:textId="77777777" w:rsidR="009E542D" w:rsidRPr="00EE1D3D" w:rsidRDefault="009E542D" w:rsidP="009E542D">
      <w:pPr>
        <w:pStyle w:val="Text1-1"/>
        <w:rPr>
          <w:highlight w:val="yellow"/>
        </w:rPr>
      </w:pPr>
      <w:r w:rsidRPr="00EE1D3D">
        <w:rPr>
          <w:highlight w:val="yellow"/>
        </w:rPr>
        <w:t xml:space="preserve">Tato </w:t>
      </w:r>
      <w:r>
        <w:rPr>
          <w:highlight w:val="yellow"/>
        </w:rPr>
        <w:t>S</w:t>
      </w:r>
      <w:r w:rsidRPr="00EE1D3D">
        <w:rPr>
          <w:highlight w:val="yellow"/>
        </w:rPr>
        <w:t xml:space="preserve">mlouva je vyhotovena v elektronické podobě, přičemž obě </w:t>
      </w:r>
      <w:r>
        <w:rPr>
          <w:highlight w:val="yellow"/>
        </w:rPr>
        <w:t>s</w:t>
      </w:r>
      <w:r w:rsidRPr="00EE1D3D">
        <w:rPr>
          <w:highlight w:val="yellow"/>
        </w:rPr>
        <w:t>mluvní strany obdrží její elektronický originál opatřený elektronickými podpisy.</w:t>
      </w:r>
    </w:p>
    <w:p w14:paraId="43286269" w14:textId="77777777" w:rsidR="009E542D" w:rsidRDefault="009E542D" w:rsidP="009E542D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>s platností originálu, přičemž Kupující</w:t>
      </w:r>
      <w:r w:rsidRPr="00EE1D3D">
        <w:rPr>
          <w:highlight w:val="yellow"/>
        </w:rPr>
        <w:t xml:space="preserve"> obdrží dva stejnopisy, </w:t>
      </w:r>
      <w:r>
        <w:rPr>
          <w:highlight w:val="yellow"/>
        </w:rPr>
        <w:t>Prodávající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7F542424" w14:textId="77777777" w:rsidR="009E542D" w:rsidRPr="00EE1D3D" w:rsidRDefault="009E542D" w:rsidP="009E542D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lastRenderedPageBreak/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544DC42B" w14:textId="77777777" w:rsidR="0031424A" w:rsidRDefault="0031424A" w:rsidP="0031424A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66B8C59" w14:textId="77777777" w:rsidR="002A25FE" w:rsidRDefault="002A25FE" w:rsidP="002A25FE">
      <w:pPr>
        <w:pStyle w:val="Text1-1"/>
        <w:numPr>
          <w:ilvl w:val="0"/>
          <w:numId w:val="0"/>
        </w:numPr>
        <w:ind w:left="737"/>
      </w:pPr>
    </w:p>
    <w:p w14:paraId="26F40D4C" w14:textId="77777777" w:rsidR="002A25FE" w:rsidRDefault="002A25FE" w:rsidP="002A25FE">
      <w:pPr>
        <w:pStyle w:val="Text1-1"/>
        <w:numPr>
          <w:ilvl w:val="0"/>
          <w:numId w:val="0"/>
        </w:numPr>
        <w:ind w:left="737"/>
      </w:pPr>
    </w:p>
    <w:p w14:paraId="7BAEE3B7" w14:textId="77777777" w:rsidR="002A25FE" w:rsidRDefault="002A25FE" w:rsidP="002A25FE">
      <w:pPr>
        <w:pStyle w:val="Text1-1"/>
        <w:numPr>
          <w:ilvl w:val="0"/>
          <w:numId w:val="0"/>
        </w:numPr>
        <w:ind w:left="737"/>
      </w:pPr>
    </w:p>
    <w:p w14:paraId="7F62CBC7" w14:textId="77777777" w:rsidR="002A25FE" w:rsidRDefault="002A25FE" w:rsidP="002A25FE">
      <w:pPr>
        <w:pStyle w:val="Text1-1"/>
        <w:numPr>
          <w:ilvl w:val="0"/>
          <w:numId w:val="0"/>
        </w:numPr>
        <w:ind w:left="737"/>
      </w:pPr>
    </w:p>
    <w:p w14:paraId="0C308B81" w14:textId="77777777" w:rsidR="00927364" w:rsidRDefault="00927364" w:rsidP="00927364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3D64913B" w14:textId="77777777" w:rsidR="00214C3E" w:rsidRPr="00F97DBD" w:rsidRDefault="00214C3E" w:rsidP="00214C3E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214C3E" w:rsidRPr="00F97DBD" w14:paraId="66EE3310" w14:textId="77777777" w:rsidTr="00DF5182">
        <w:trPr>
          <w:jc w:val="center"/>
        </w:trPr>
        <w:tc>
          <w:tcPr>
            <w:tcW w:w="1253" w:type="pct"/>
          </w:tcPr>
          <w:bookmarkStart w:id="3" w:name="ListAnnex01"/>
          <w:p w14:paraId="56245535" w14:textId="77777777" w:rsidR="00214C3E" w:rsidRPr="00F97DBD" w:rsidRDefault="00214C3E" w:rsidP="00214C3E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3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4AE5A4C0" w14:textId="77777777" w:rsidR="00214C3E" w:rsidRPr="00F97DBD" w:rsidRDefault="00DF5182" w:rsidP="00DF5182">
            <w:pPr>
              <w:pStyle w:val="Textbezslovn"/>
            </w:pPr>
            <w:r>
              <w:t>Cenová nabídka</w:t>
            </w:r>
          </w:p>
        </w:tc>
      </w:tr>
      <w:tr w:rsidR="00667A0D" w:rsidRPr="00F97DBD" w14:paraId="73810421" w14:textId="77777777" w:rsidTr="00DF5182">
        <w:trPr>
          <w:jc w:val="center"/>
        </w:trPr>
        <w:tc>
          <w:tcPr>
            <w:tcW w:w="1253" w:type="pct"/>
          </w:tcPr>
          <w:p w14:paraId="5B29DA6E" w14:textId="77777777" w:rsidR="00667A0D" w:rsidRPr="00667A0D" w:rsidRDefault="00667A0D" w:rsidP="00214C3E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</w:tc>
        <w:tc>
          <w:tcPr>
            <w:tcW w:w="3747" w:type="pct"/>
          </w:tcPr>
          <w:p w14:paraId="6FADA432" w14:textId="77777777" w:rsidR="00667A0D" w:rsidRPr="00F97DBD" w:rsidRDefault="00DF5182" w:rsidP="00DF5182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</w:tc>
      </w:tr>
    </w:tbl>
    <w:p w14:paraId="37884A78" w14:textId="77777777" w:rsidR="00F422D3" w:rsidRDefault="00F422D3" w:rsidP="009F0867">
      <w:pPr>
        <w:pStyle w:val="Textbezodsazen"/>
      </w:pPr>
    </w:p>
    <w:p w14:paraId="029DA767" w14:textId="77777777" w:rsidR="00F422D3" w:rsidRPr="00214C3E" w:rsidRDefault="00214C3E" w:rsidP="00214C3E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752BCAAB" w14:textId="77777777" w:rsidR="00EE1D3D" w:rsidRDefault="00EE1D3D" w:rsidP="009F0867">
      <w:pPr>
        <w:pStyle w:val="Textbezodsazen"/>
      </w:pPr>
    </w:p>
    <w:p w14:paraId="2C0B016E" w14:textId="77777777" w:rsidR="00EE1D3D" w:rsidRDefault="00EE1D3D" w:rsidP="009F0867">
      <w:pPr>
        <w:pStyle w:val="Textbezodsazen"/>
      </w:pPr>
    </w:p>
    <w:p w14:paraId="3D429461" w14:textId="77777777" w:rsidR="00EE1D3D" w:rsidRDefault="00EE1D3D" w:rsidP="009F0867">
      <w:pPr>
        <w:pStyle w:val="Textbezodsazen"/>
      </w:pPr>
    </w:p>
    <w:p w14:paraId="3E4328A7" w14:textId="77777777" w:rsidR="00EE1D3D" w:rsidRDefault="00EE1D3D" w:rsidP="009F0867">
      <w:pPr>
        <w:pStyle w:val="Textbezodsazen"/>
      </w:pPr>
    </w:p>
    <w:p w14:paraId="317B5939" w14:textId="77777777" w:rsidR="00EE1D3D" w:rsidRDefault="00EE1D3D" w:rsidP="009F0867">
      <w:pPr>
        <w:pStyle w:val="Textbezodsazen"/>
      </w:pPr>
    </w:p>
    <w:p w14:paraId="641AAF47" w14:textId="77777777" w:rsidR="00EE1D3D" w:rsidRDefault="00EE1D3D" w:rsidP="009F0867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2639DC72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6EC3333F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  <w:r w:rsidRPr="00EE1D3D">
              <w:rPr>
                <w:sz w:val="18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5191ECC6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66354F8E" w14:textId="77777777" w:rsidR="00EE1D3D" w:rsidRPr="00EE1D3D" w:rsidRDefault="00EE1D3D" w:rsidP="00EE1D3D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V ………………………… dne</w:t>
            </w:r>
          </w:p>
        </w:tc>
      </w:tr>
      <w:tr w:rsidR="00EE1D3D" w:rsidRPr="00EE1D3D" w14:paraId="5B5C9B2B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14CABD6F" w14:textId="77777777" w:rsidR="00EE1D3D" w:rsidRPr="00EE1D3D" w:rsidRDefault="00EE1D3D" w:rsidP="00EE1D3D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0D211C2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56000F6D" w14:textId="77777777" w:rsidR="00EE1D3D" w:rsidRPr="00EE1D3D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485EC45D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AB9A0E8" w14:textId="77777777" w:rsidR="00EE1D3D" w:rsidRPr="00136679" w:rsidRDefault="00EE1D3D" w:rsidP="009910DA">
            <w:pPr>
              <w:pStyle w:val="Textbezodsazen"/>
              <w:spacing w:after="0" w:line="264" w:lineRule="auto"/>
              <w:rPr>
                <w:sz w:val="18"/>
                <w:highlight w:val="yellow"/>
              </w:rPr>
            </w:pPr>
          </w:p>
          <w:p w14:paraId="0E5EA76C" w14:textId="77777777" w:rsidR="00136679" w:rsidRPr="00136679" w:rsidRDefault="00136679" w:rsidP="00136679">
            <w:pPr>
              <w:jc w:val="both"/>
              <w:rPr>
                <w:i/>
                <w:noProof/>
                <w:sz w:val="18"/>
                <w:highlight w:val="yellow"/>
              </w:rPr>
            </w:pPr>
            <w:r w:rsidRPr="00136679">
              <w:rPr>
                <w:i/>
                <w:noProof/>
                <w:sz w:val="18"/>
                <w:highlight w:val="yellow"/>
              </w:rPr>
              <w:t>(podepsnáno elektronicky)</w:t>
            </w:r>
          </w:p>
          <w:p w14:paraId="6049841E" w14:textId="77777777" w:rsidR="00EE1D3D" w:rsidRPr="00136679" w:rsidRDefault="00EE1D3D" w:rsidP="00696C30">
            <w:pPr>
              <w:pStyle w:val="Textbezodsazen"/>
              <w:spacing w:after="0" w:line="264" w:lineRule="auto"/>
              <w:rPr>
                <w:sz w:val="18"/>
                <w:highlight w:val="yellow"/>
              </w:rPr>
            </w:pPr>
            <w:r w:rsidRPr="00136679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F5E6157" w14:textId="77777777" w:rsidR="00EE1D3D" w:rsidRPr="00136679" w:rsidRDefault="00EE1D3D" w:rsidP="00EE1D3D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shd w:val="clear" w:color="auto" w:fill="auto"/>
          </w:tcPr>
          <w:p w14:paraId="62C93CC4" w14:textId="77777777" w:rsidR="00EE1D3D" w:rsidRPr="00136679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  <w:p w14:paraId="5D2D1646" w14:textId="77777777" w:rsidR="00136679" w:rsidRPr="00136679" w:rsidRDefault="00136679" w:rsidP="0013667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noProof/>
                <w:sz w:val="18"/>
                <w:highlight w:val="yellow"/>
              </w:rPr>
            </w:pPr>
            <w:r w:rsidRPr="00136679">
              <w:rPr>
                <w:i/>
                <w:noProof/>
                <w:sz w:val="18"/>
                <w:highlight w:val="yellow"/>
              </w:rPr>
              <w:t>(podepsnáno elektronicky)</w:t>
            </w:r>
          </w:p>
          <w:p w14:paraId="25BC6AED" w14:textId="77777777" w:rsidR="00EE1D3D" w:rsidRPr="00136679" w:rsidRDefault="00EE1D3D" w:rsidP="00696C30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36679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1AE0F837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69FFB73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727E588B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7417D0BE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50AFF9CA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0A0EA276" w14:textId="77777777" w:rsidR="00EE1D3D" w:rsidRPr="00EE1D3D" w:rsidRDefault="00EE1D3D" w:rsidP="009910DA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6E7B47CE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A7E99DB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EE1D3D">
              <w:rPr>
                <w:bCs/>
                <w:sz w:val="18"/>
                <w:highlight w:val="yellow"/>
              </w:rPr>
              <w:t>Zhotovitel</w:t>
            </w:r>
          </w:p>
          <w:p w14:paraId="35E12F51" w14:textId="77777777" w:rsidR="00EE1D3D" w:rsidRPr="00EE1D3D" w:rsidRDefault="00EE1D3D" w:rsidP="009910DA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439F1BE4" w14:textId="77777777" w:rsidR="00EE1D3D" w:rsidRDefault="00EE1D3D" w:rsidP="009F0867">
      <w:pPr>
        <w:pStyle w:val="Textbezodsazen"/>
      </w:pPr>
    </w:p>
    <w:p w14:paraId="49FDBF5C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6A31BD8" w14:textId="77777777" w:rsidR="00593C6C" w:rsidRDefault="00593C6C" w:rsidP="004E76EE">
      <w:pPr>
        <w:pStyle w:val="Textbezodsazen"/>
        <w:spacing w:after="0"/>
      </w:pPr>
    </w:p>
    <w:p w14:paraId="5A6FE4C4" w14:textId="77777777" w:rsidR="004E76EE" w:rsidRDefault="004E76EE" w:rsidP="004E76EE">
      <w:pPr>
        <w:pStyle w:val="Textbezodsazen"/>
        <w:spacing w:after="0"/>
      </w:pPr>
      <w:r>
        <w:tab/>
      </w:r>
      <w:r>
        <w:tab/>
      </w:r>
    </w:p>
    <w:p w14:paraId="11A80EFE" w14:textId="77777777" w:rsidR="00F422D3" w:rsidRDefault="00F422D3" w:rsidP="009F0867">
      <w:pPr>
        <w:pStyle w:val="Textbezodsazen"/>
      </w:pPr>
    </w:p>
    <w:p w14:paraId="7753ED4D" w14:textId="77777777" w:rsidR="00C203DE" w:rsidRDefault="00C203DE" w:rsidP="00C203DE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69C3AAAA" w14:textId="77777777" w:rsidR="00CB4F6D" w:rsidRDefault="00CB4F6D">
      <w:r>
        <w:br w:type="page"/>
      </w:r>
    </w:p>
    <w:p w14:paraId="12773A2A" w14:textId="77777777" w:rsidR="00CB4F6D" w:rsidRDefault="00CB4F6D" w:rsidP="009F0867">
      <w:pPr>
        <w:pStyle w:val="Textbezodsazen"/>
        <w:sectPr w:rsidR="00CB4F6D" w:rsidSect="002A25FE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284" w:right="1134" w:bottom="1474" w:left="1418" w:header="601" w:footer="624" w:gutter="652"/>
          <w:cols w:space="708"/>
          <w:titlePg/>
          <w:docGrid w:linePitch="360"/>
        </w:sectPr>
      </w:pPr>
    </w:p>
    <w:p w14:paraId="02FF2126" w14:textId="77777777" w:rsidR="00DF5182" w:rsidRDefault="00DF5182" w:rsidP="00DF5182">
      <w:pPr>
        <w:pStyle w:val="Nadpisbezsl1-1"/>
      </w:pPr>
      <w:r>
        <w:lastRenderedPageBreak/>
        <w:t>Příloha č. 1</w:t>
      </w:r>
    </w:p>
    <w:p w14:paraId="10A751A6" w14:textId="77777777" w:rsidR="00DF5182" w:rsidRDefault="00DF5182" w:rsidP="00DF5182">
      <w:pPr>
        <w:pStyle w:val="Nadpisbezsl1-2"/>
      </w:pPr>
      <w:r>
        <w:t>Cenová nabídka</w:t>
      </w:r>
    </w:p>
    <w:p w14:paraId="7DF4128A" w14:textId="77777777" w:rsidR="00294C85" w:rsidRDefault="00294C85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294C85">
        <w:rPr>
          <w:rFonts w:ascii="Verdana" w:hAnsi="Verdana"/>
          <w:b w:val="0"/>
          <w:sz w:val="18"/>
          <w:szCs w:val="18"/>
        </w:rPr>
        <w:t xml:space="preserve">Součástí </w:t>
      </w:r>
      <w:r w:rsidR="00022D32">
        <w:rPr>
          <w:rFonts w:ascii="Verdana" w:hAnsi="Verdana"/>
          <w:b w:val="0"/>
          <w:sz w:val="18"/>
          <w:szCs w:val="18"/>
        </w:rPr>
        <w:t>této S</w:t>
      </w:r>
      <w:r>
        <w:rPr>
          <w:rFonts w:ascii="Verdana" w:hAnsi="Verdana"/>
          <w:b w:val="0"/>
          <w:sz w:val="18"/>
          <w:szCs w:val="18"/>
        </w:rPr>
        <w:t>mlouvy</w:t>
      </w:r>
      <w:r w:rsidRPr="00294C85">
        <w:rPr>
          <w:rFonts w:ascii="Verdana" w:hAnsi="Verdana"/>
          <w:b w:val="0"/>
          <w:sz w:val="18"/>
          <w:szCs w:val="18"/>
        </w:rPr>
        <w:t xml:space="preserve"> je </w:t>
      </w:r>
      <w:r>
        <w:rPr>
          <w:rFonts w:ascii="Verdana" w:hAnsi="Verdana"/>
          <w:b w:val="0"/>
          <w:sz w:val="18"/>
          <w:szCs w:val="18"/>
        </w:rPr>
        <w:t>cenová nabídka</w:t>
      </w:r>
      <w:r w:rsidRPr="00294C85">
        <w:rPr>
          <w:rFonts w:ascii="Verdana" w:hAnsi="Verdana"/>
          <w:b w:val="0"/>
          <w:sz w:val="18"/>
          <w:szCs w:val="18"/>
        </w:rPr>
        <w:t>, kter</w:t>
      </w:r>
      <w:r>
        <w:rPr>
          <w:rFonts w:ascii="Verdana" w:hAnsi="Verdana"/>
          <w:b w:val="0"/>
          <w:sz w:val="18"/>
          <w:szCs w:val="18"/>
        </w:rPr>
        <w:t>á</w:t>
      </w:r>
      <w:r w:rsidRPr="00294C85">
        <w:rPr>
          <w:rFonts w:ascii="Verdana" w:hAnsi="Verdana"/>
          <w:b w:val="0"/>
          <w:sz w:val="18"/>
          <w:szCs w:val="18"/>
        </w:rPr>
        <w:t xml:space="preserve"> je uveden</w:t>
      </w:r>
      <w:r>
        <w:rPr>
          <w:rFonts w:ascii="Verdana" w:hAnsi="Verdana"/>
          <w:b w:val="0"/>
          <w:sz w:val="18"/>
          <w:szCs w:val="18"/>
        </w:rPr>
        <w:t>a</w:t>
      </w:r>
      <w:r w:rsidRPr="00294C85">
        <w:rPr>
          <w:rFonts w:ascii="Verdana" w:hAnsi="Verdana"/>
          <w:b w:val="0"/>
          <w:sz w:val="18"/>
          <w:szCs w:val="18"/>
        </w:rPr>
        <w:t xml:space="preserve"> v nabídce </w:t>
      </w:r>
      <w:r w:rsidR="00AB4C40">
        <w:rPr>
          <w:rFonts w:ascii="Verdana" w:hAnsi="Verdana"/>
          <w:b w:val="0"/>
          <w:sz w:val="18"/>
          <w:szCs w:val="18"/>
        </w:rPr>
        <w:t>P</w:t>
      </w:r>
      <w:r w:rsidR="00AF37A3">
        <w:rPr>
          <w:rFonts w:ascii="Verdana" w:hAnsi="Verdana"/>
          <w:b w:val="0"/>
          <w:sz w:val="18"/>
          <w:szCs w:val="18"/>
        </w:rPr>
        <w:t>rodávajícího</w:t>
      </w:r>
      <w:r w:rsidR="00A70CD1">
        <w:rPr>
          <w:rFonts w:ascii="Verdana" w:hAnsi="Verdana"/>
          <w:b w:val="0"/>
          <w:sz w:val="18"/>
          <w:szCs w:val="18"/>
        </w:rPr>
        <w:t>, která </w:t>
      </w:r>
      <w:r w:rsidR="00EE1D3D">
        <w:rPr>
          <w:rFonts w:ascii="Verdana" w:hAnsi="Verdana"/>
          <w:b w:val="0"/>
          <w:sz w:val="18"/>
          <w:szCs w:val="18"/>
        </w:rPr>
        <w:t xml:space="preserve">byla kupujícímu doručena prostřednictvím elektronického nástroje E-ZAK dne 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EE1D3D" w:rsidRPr="00EE1D3D">
        <w:rPr>
          <w:rFonts w:ascii="Verdana" w:hAnsi="Verdana"/>
          <w:b w:val="0"/>
          <w:sz w:val="18"/>
          <w:highlight w:val="cyan"/>
        </w:rPr>
        <w:instrText xml:space="preserve"> FORMTEXT </w:instrText>
      </w:r>
      <w:r w:rsidR="00EE1D3D" w:rsidRPr="00EE1D3D">
        <w:rPr>
          <w:rFonts w:ascii="Verdana" w:hAnsi="Verdana"/>
          <w:b w:val="0"/>
          <w:sz w:val="18"/>
          <w:highlight w:val="cyan"/>
        </w:rPr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separate"/>
      </w:r>
      <w:r w:rsidR="00EE1D3D" w:rsidRPr="00EE1D3D">
        <w:rPr>
          <w:rFonts w:ascii="Verdana" w:hAnsi="Verdana"/>
          <w:b w:val="0"/>
          <w:noProof/>
          <w:sz w:val="18"/>
          <w:highlight w:val="cyan"/>
        </w:rPr>
        <w:t>[datum doručení nabídky]</w:t>
      </w:r>
      <w:r w:rsidR="00EE1D3D" w:rsidRPr="00EE1D3D">
        <w:rPr>
          <w:rFonts w:ascii="Verdana" w:hAnsi="Verdana"/>
          <w:b w:val="0"/>
          <w:sz w:val="18"/>
          <w:highlight w:val="cyan"/>
        </w:rPr>
        <w:fldChar w:fldCharType="end"/>
      </w:r>
      <w:bookmarkEnd w:id="4"/>
      <w:r w:rsidR="00EE1D3D">
        <w:rPr>
          <w:rFonts w:ascii="Verdana" w:hAnsi="Verdana"/>
          <w:b w:val="0"/>
          <w:sz w:val="18"/>
        </w:rPr>
        <w:t>.</w:t>
      </w:r>
    </w:p>
    <w:p w14:paraId="177822AF" w14:textId="77777777" w:rsidR="00BD5C70" w:rsidRDefault="00BD5C70" w:rsidP="00AB4C40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76D75270" w14:textId="77777777" w:rsidR="00BD5C70" w:rsidRPr="00294C85" w:rsidRDefault="00BD5C70" w:rsidP="00DF5182">
      <w:pPr>
        <w:pStyle w:val="Nadpisbezsl1-2"/>
        <w:rPr>
          <w:b w:val="0"/>
          <w:sz w:val="18"/>
          <w:szCs w:val="18"/>
        </w:rPr>
        <w:sectPr w:rsidR="00BD5C70" w:rsidRPr="00294C85" w:rsidSect="00C67F6A">
          <w:headerReference w:type="default" r:id="rId15"/>
          <w:footerReference w:type="default" r:id="rId16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3D827BBD" w14:textId="77777777" w:rsidR="00CB4F6D" w:rsidRDefault="00CB4F6D" w:rsidP="00F762A8">
      <w:pPr>
        <w:pStyle w:val="Nadpisbezsl1-1"/>
      </w:pPr>
      <w:r>
        <w:lastRenderedPageBreak/>
        <w:t xml:space="preserve">Příloha č. </w:t>
      </w:r>
      <w:r w:rsidR="00FF39A1">
        <w:t>2</w:t>
      </w:r>
    </w:p>
    <w:p w14:paraId="51D1CE9C" w14:textId="77777777" w:rsidR="00502690" w:rsidRDefault="00E463D2" w:rsidP="00687CE8">
      <w:pPr>
        <w:pStyle w:val="Nadpisbezsl1-2"/>
      </w:pPr>
      <w:r w:rsidRPr="00E463D2">
        <w:t>Obchodní podmínky</w:t>
      </w:r>
      <w:r w:rsidR="00687CE8">
        <w:t xml:space="preserve"> ke kupní smlouvě</w:t>
      </w:r>
    </w:p>
    <w:p w14:paraId="78F0256A" w14:textId="77777777" w:rsidR="00593C6C" w:rsidRDefault="00593C6C" w:rsidP="00593C6C">
      <w:pPr>
        <w:pStyle w:val="Textbezodsazen"/>
      </w:pPr>
    </w:p>
    <w:p w14:paraId="2FD83F2E" w14:textId="77777777" w:rsidR="00EE1D3D" w:rsidRDefault="00593C6C" w:rsidP="00593C6C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5FCA24D" w14:textId="77777777" w:rsidR="00593C6C" w:rsidRPr="00F97DBD" w:rsidRDefault="00EE1D3D" w:rsidP="00593C6C">
      <w:pPr>
        <w:pStyle w:val="Textbezodsazen"/>
        <w:rPr>
          <w:b/>
          <w:bCs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sectPr w:rsidR="00593C6C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5BFC8E" w14:textId="77777777" w:rsidR="00253111" w:rsidRDefault="00253111" w:rsidP="00962258">
      <w:pPr>
        <w:spacing w:after="0" w:line="240" w:lineRule="auto"/>
      </w:pPr>
      <w:r>
        <w:separator/>
      </w:r>
    </w:p>
  </w:endnote>
  <w:endnote w:type="continuationSeparator" w:id="0">
    <w:p w14:paraId="431244B9" w14:textId="77777777" w:rsidR="00253111" w:rsidRDefault="002531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495"/>
    </w:tblGrid>
    <w:tr w:rsidR="006C7460" w14:paraId="6050601C" w14:textId="77777777" w:rsidTr="00C67F6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D787B1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84" w:type="dxa"/>
          <w:shd w:val="clear" w:color="auto" w:fill="auto"/>
          <w:tcMar>
            <w:left w:w="0" w:type="dxa"/>
            <w:right w:w="0" w:type="dxa"/>
          </w:tcMar>
        </w:tcPr>
        <w:p w14:paraId="747D7CBF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279783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42EC3443" w14:textId="3C3A5EEA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691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4E6917">
            <w:rPr>
              <w:b/>
              <w:noProof/>
              <w:color w:val="FF5200" w:themeColor="accent2"/>
              <w:sz w:val="14"/>
              <w:szCs w:val="14"/>
            </w:rPr>
            <w:t>7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5" w:type="dxa"/>
          <w:shd w:val="clear" w:color="auto" w:fill="auto"/>
          <w:tcMar>
            <w:left w:w="0" w:type="dxa"/>
            <w:right w:w="0" w:type="dxa"/>
          </w:tcMar>
        </w:tcPr>
        <w:p w14:paraId="7A9DC69A" w14:textId="77777777" w:rsidR="006C7460" w:rsidRDefault="006C7460" w:rsidP="00B8518B">
          <w:pPr>
            <w:pStyle w:val="Zpat"/>
          </w:pPr>
        </w:p>
      </w:tc>
      <w:tc>
        <w:tcPr>
          <w:tcW w:w="8505" w:type="dxa"/>
        </w:tcPr>
        <w:p w14:paraId="11D9011A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D0BFF5D" w14:textId="77777777" w:rsidR="006C7460" w:rsidRDefault="002A25FE" w:rsidP="00F422D3">
          <w:pPr>
            <w:pStyle w:val="Zpat0"/>
          </w:pPr>
          <w:r w:rsidRPr="002A25FE">
            <w:rPr>
              <w:sz w:val="14"/>
            </w:rPr>
            <w:t xml:space="preserve">Dodávka traktoru s příslušenstvím </w:t>
          </w:r>
        </w:p>
      </w:tc>
    </w:tr>
  </w:tbl>
  <w:p w14:paraId="0683FD66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0B391A" w14:textId="77777777" w:rsidR="006C7460" w:rsidRPr="00B8518B" w:rsidRDefault="006C7460" w:rsidP="00460660">
    <w:pPr>
      <w:pStyle w:val="Zpat"/>
      <w:rPr>
        <w:sz w:val="2"/>
        <w:szCs w:val="2"/>
      </w:rPr>
    </w:pPr>
  </w:p>
  <w:p w14:paraId="619A9CF8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294534BC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29D74467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4267F610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957AB1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34A6A31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78D8AA6C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2B0EDC29" w14:textId="77777777" w:rsidR="000B073C" w:rsidRPr="00C67F6A" w:rsidRDefault="000B073C" w:rsidP="00E7049B">
          <w:pPr>
            <w:pStyle w:val="Zpat"/>
            <w:ind w:right="760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7420CC29" w14:textId="77777777" w:rsidR="000B073C" w:rsidRPr="00C67F6A" w:rsidRDefault="002A25FE" w:rsidP="00C67F6A">
          <w:pPr>
            <w:pStyle w:val="Zpat"/>
            <w:jc w:val="right"/>
            <w:rPr>
              <w:rStyle w:val="slostrnky"/>
            </w:rPr>
          </w:pPr>
          <w:r w:rsidRPr="002A25FE">
            <w:t>Dodávka traktoru s příslušenstvím</w:t>
          </w:r>
          <w:r w:rsidRPr="00C67F6A">
            <w:rPr>
              <w:rStyle w:val="slostrnky"/>
            </w:rPr>
            <w:t xml:space="preserve"> </w:t>
          </w:r>
        </w:p>
      </w:tc>
    </w:tr>
  </w:tbl>
  <w:p w14:paraId="5F04E33E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D52609" w14:textId="77777777" w:rsidR="00253111" w:rsidRDefault="00253111" w:rsidP="00962258">
      <w:pPr>
        <w:spacing w:after="0" w:line="240" w:lineRule="auto"/>
      </w:pPr>
      <w:r>
        <w:separator/>
      </w:r>
    </w:p>
  </w:footnote>
  <w:footnote w:type="continuationSeparator" w:id="0">
    <w:p w14:paraId="61BF8B34" w14:textId="77777777" w:rsidR="00253111" w:rsidRDefault="002531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33EFE0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D21F728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B13A02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F4FF38" w14:textId="77777777" w:rsidR="006C7460" w:rsidRPr="00D6163D" w:rsidRDefault="006C7460" w:rsidP="00D6163D">
          <w:pPr>
            <w:pStyle w:val="Druhdokumentu"/>
          </w:pPr>
        </w:p>
      </w:tc>
    </w:tr>
  </w:tbl>
  <w:p w14:paraId="1484BAEA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10864A14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DB408DC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779D53A0" wp14:editId="699E2452">
                <wp:extent cx="1727835" cy="640715"/>
                <wp:effectExtent l="0" t="0" r="5715" b="6985"/>
                <wp:docPr id="16" name="Obrázek 1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C4DEB4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1A05FC1" w14:textId="77777777" w:rsidR="006C7460" w:rsidRPr="00D6163D" w:rsidRDefault="006C7460" w:rsidP="00FC6389">
          <w:pPr>
            <w:pStyle w:val="Druhdokumentu"/>
          </w:pPr>
        </w:p>
      </w:tc>
    </w:tr>
    <w:tr w:rsidR="006C7460" w14:paraId="013CA871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0AD4A860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4C2CD1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45FFB68" w14:textId="77777777" w:rsidR="006C7460" w:rsidRPr="00D6163D" w:rsidRDefault="006C7460" w:rsidP="00FC6389">
          <w:pPr>
            <w:pStyle w:val="Druhdokumentu"/>
          </w:pPr>
        </w:p>
      </w:tc>
    </w:tr>
  </w:tbl>
  <w:p w14:paraId="0F169A7F" w14:textId="77777777" w:rsidR="006C7460" w:rsidRPr="00D6163D" w:rsidRDefault="006C7460" w:rsidP="00FC6389">
    <w:pPr>
      <w:pStyle w:val="Zhlav"/>
      <w:rPr>
        <w:sz w:val="8"/>
        <w:szCs w:val="8"/>
      </w:rPr>
    </w:pPr>
  </w:p>
  <w:p w14:paraId="7131AA64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786D18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6CB1991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A07AEA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F980F12" w14:textId="77777777" w:rsidR="006C7460" w:rsidRPr="00D6163D" w:rsidRDefault="006C7460" w:rsidP="00D6163D">
          <w:pPr>
            <w:pStyle w:val="Druhdokumentu"/>
          </w:pPr>
        </w:p>
      </w:tc>
    </w:tr>
  </w:tbl>
  <w:p w14:paraId="6A20CD0E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112864"/>
    <w:rsid w:val="00114472"/>
    <w:rsid w:val="00114988"/>
    <w:rsid w:val="00115069"/>
    <w:rsid w:val="001150F2"/>
    <w:rsid w:val="00123BBA"/>
    <w:rsid w:val="001265C9"/>
    <w:rsid w:val="00136679"/>
    <w:rsid w:val="00143EC0"/>
    <w:rsid w:val="00156A8D"/>
    <w:rsid w:val="001656A2"/>
    <w:rsid w:val="00165977"/>
    <w:rsid w:val="00170EC5"/>
    <w:rsid w:val="00173ED3"/>
    <w:rsid w:val="001747C1"/>
    <w:rsid w:val="00177D6B"/>
    <w:rsid w:val="00183EDF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1F5AEE"/>
    <w:rsid w:val="002038D5"/>
    <w:rsid w:val="002071BB"/>
    <w:rsid w:val="00207DF5"/>
    <w:rsid w:val="00214C3E"/>
    <w:rsid w:val="002310FF"/>
    <w:rsid w:val="00240B81"/>
    <w:rsid w:val="00247D01"/>
    <w:rsid w:val="00253111"/>
    <w:rsid w:val="00261A5B"/>
    <w:rsid w:val="00262E5B"/>
    <w:rsid w:val="00276AFE"/>
    <w:rsid w:val="00281052"/>
    <w:rsid w:val="00290E0D"/>
    <w:rsid w:val="00294C85"/>
    <w:rsid w:val="002A25FE"/>
    <w:rsid w:val="002A398D"/>
    <w:rsid w:val="002A3B57"/>
    <w:rsid w:val="002A5468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274B"/>
    <w:rsid w:val="0034719F"/>
    <w:rsid w:val="00350A35"/>
    <w:rsid w:val="003571D8"/>
    <w:rsid w:val="00357BC6"/>
    <w:rsid w:val="00361422"/>
    <w:rsid w:val="0037545D"/>
    <w:rsid w:val="00381EFC"/>
    <w:rsid w:val="00392910"/>
    <w:rsid w:val="00392EB6"/>
    <w:rsid w:val="003956C6"/>
    <w:rsid w:val="003A197F"/>
    <w:rsid w:val="003C33F2"/>
    <w:rsid w:val="003D756E"/>
    <w:rsid w:val="003E044A"/>
    <w:rsid w:val="003E420D"/>
    <w:rsid w:val="003E4C13"/>
    <w:rsid w:val="003F7B31"/>
    <w:rsid w:val="00403C48"/>
    <w:rsid w:val="004078F3"/>
    <w:rsid w:val="00414958"/>
    <w:rsid w:val="00427794"/>
    <w:rsid w:val="00436951"/>
    <w:rsid w:val="0044764B"/>
    <w:rsid w:val="00450F07"/>
    <w:rsid w:val="00453CD3"/>
    <w:rsid w:val="0046002F"/>
    <w:rsid w:val="00460660"/>
    <w:rsid w:val="00464BA9"/>
    <w:rsid w:val="00483969"/>
    <w:rsid w:val="00485CE8"/>
    <w:rsid w:val="00486107"/>
    <w:rsid w:val="00491827"/>
    <w:rsid w:val="004B26ED"/>
    <w:rsid w:val="004C4399"/>
    <w:rsid w:val="004C47D6"/>
    <w:rsid w:val="004C787C"/>
    <w:rsid w:val="004D09FB"/>
    <w:rsid w:val="004E6917"/>
    <w:rsid w:val="004E76EE"/>
    <w:rsid w:val="004E7A1F"/>
    <w:rsid w:val="004F4B9B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93C6C"/>
    <w:rsid w:val="005959F4"/>
    <w:rsid w:val="005A0FE8"/>
    <w:rsid w:val="005A1F44"/>
    <w:rsid w:val="005B5ACA"/>
    <w:rsid w:val="005D3C39"/>
    <w:rsid w:val="005D572B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3150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341C0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2D29"/>
    <w:rsid w:val="007846E1"/>
    <w:rsid w:val="007847D6"/>
    <w:rsid w:val="007972AC"/>
    <w:rsid w:val="007A5172"/>
    <w:rsid w:val="007A67A0"/>
    <w:rsid w:val="007A6E42"/>
    <w:rsid w:val="007A7344"/>
    <w:rsid w:val="007B3F34"/>
    <w:rsid w:val="007B570C"/>
    <w:rsid w:val="007C7B4D"/>
    <w:rsid w:val="007D0186"/>
    <w:rsid w:val="007E4A6E"/>
    <w:rsid w:val="007F56A7"/>
    <w:rsid w:val="00800851"/>
    <w:rsid w:val="00807DD0"/>
    <w:rsid w:val="00821D01"/>
    <w:rsid w:val="00826B7B"/>
    <w:rsid w:val="00846789"/>
    <w:rsid w:val="00855979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35E7"/>
    <w:rsid w:val="00904780"/>
    <w:rsid w:val="0090635B"/>
    <w:rsid w:val="00913FE5"/>
    <w:rsid w:val="00917783"/>
    <w:rsid w:val="00922385"/>
    <w:rsid w:val="009223DF"/>
    <w:rsid w:val="00924AC8"/>
    <w:rsid w:val="00927364"/>
    <w:rsid w:val="00936091"/>
    <w:rsid w:val="00940D8A"/>
    <w:rsid w:val="00962258"/>
    <w:rsid w:val="009678B7"/>
    <w:rsid w:val="00970037"/>
    <w:rsid w:val="00971DFA"/>
    <w:rsid w:val="009910DA"/>
    <w:rsid w:val="00992D9C"/>
    <w:rsid w:val="00996CB8"/>
    <w:rsid w:val="009B0111"/>
    <w:rsid w:val="009B2E97"/>
    <w:rsid w:val="009B4201"/>
    <w:rsid w:val="009B5146"/>
    <w:rsid w:val="009C418E"/>
    <w:rsid w:val="009C442C"/>
    <w:rsid w:val="009E07F4"/>
    <w:rsid w:val="009E542D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6136"/>
    <w:rsid w:val="00A70CD1"/>
    <w:rsid w:val="00A71189"/>
    <w:rsid w:val="00A7364A"/>
    <w:rsid w:val="00A74DCC"/>
    <w:rsid w:val="00A753ED"/>
    <w:rsid w:val="00A77512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F37A3"/>
    <w:rsid w:val="00AF77E4"/>
    <w:rsid w:val="00B008D5"/>
    <w:rsid w:val="00B02F73"/>
    <w:rsid w:val="00B05B31"/>
    <w:rsid w:val="00B0619F"/>
    <w:rsid w:val="00B11AEA"/>
    <w:rsid w:val="00B13A26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8518B"/>
    <w:rsid w:val="00B955DF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BF1DF0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A23"/>
    <w:rsid w:val="00C67F6A"/>
    <w:rsid w:val="00C708EA"/>
    <w:rsid w:val="00C778A5"/>
    <w:rsid w:val="00C95162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48FB"/>
    <w:rsid w:val="00D450A7"/>
    <w:rsid w:val="00D53CA1"/>
    <w:rsid w:val="00D6163D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E11823"/>
    <w:rsid w:val="00E16FF7"/>
    <w:rsid w:val="00E26D68"/>
    <w:rsid w:val="00E30CC9"/>
    <w:rsid w:val="00E36A17"/>
    <w:rsid w:val="00E378A4"/>
    <w:rsid w:val="00E44045"/>
    <w:rsid w:val="00E463D2"/>
    <w:rsid w:val="00E618C4"/>
    <w:rsid w:val="00E7049B"/>
    <w:rsid w:val="00E7415D"/>
    <w:rsid w:val="00E87509"/>
    <w:rsid w:val="00E878EE"/>
    <w:rsid w:val="00E901A3"/>
    <w:rsid w:val="00EA1E76"/>
    <w:rsid w:val="00EA585B"/>
    <w:rsid w:val="00EA6EC7"/>
    <w:rsid w:val="00EB104F"/>
    <w:rsid w:val="00EB46E5"/>
    <w:rsid w:val="00EB7183"/>
    <w:rsid w:val="00ED14BD"/>
    <w:rsid w:val="00ED29F1"/>
    <w:rsid w:val="00EE1D3D"/>
    <w:rsid w:val="00EE4BE9"/>
    <w:rsid w:val="00EF05B5"/>
    <w:rsid w:val="00F016C7"/>
    <w:rsid w:val="00F12DEC"/>
    <w:rsid w:val="00F1715C"/>
    <w:rsid w:val="00F24489"/>
    <w:rsid w:val="00F310F8"/>
    <w:rsid w:val="00F35939"/>
    <w:rsid w:val="00F422D3"/>
    <w:rsid w:val="00F45607"/>
    <w:rsid w:val="00F4722B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96183"/>
    <w:rsid w:val="00FA3330"/>
    <w:rsid w:val="00FA4D85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72753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94AF18-4FC7-4B74-B338-6141A64A0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ŠABL-NL_Smlouva_oboustr_tisk.dotx</Template>
  <TotalTime>40</TotalTime>
  <Pages>11</Pages>
  <Words>2979</Words>
  <Characters>17579</Characters>
  <Application>Microsoft Office Word</Application>
  <DocSecurity>0</DocSecurity>
  <Lines>146</Lines>
  <Paragraphs>41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Šimiaková Nikola</cp:lastModifiedBy>
  <cp:revision>17</cp:revision>
  <cp:lastPrinted>2019-03-12T14:16:00Z</cp:lastPrinted>
  <dcterms:created xsi:type="dcterms:W3CDTF">2021-04-08T08:03:00Z</dcterms:created>
  <dcterms:modified xsi:type="dcterms:W3CDTF">2021-06-21T05:12:00Z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