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C90833">
        <w:rPr>
          <w:rFonts w:ascii="Verdana" w:hAnsi="Verdana"/>
          <w:b/>
          <w:sz w:val="18"/>
          <w:szCs w:val="18"/>
        </w:rPr>
        <w:t>N</w:t>
      </w:r>
      <w:r w:rsidR="00C72134" w:rsidRPr="00C72134">
        <w:rPr>
          <w:rFonts w:ascii="Verdana" w:hAnsi="Verdana"/>
          <w:b/>
          <w:sz w:val="18"/>
          <w:szCs w:val="18"/>
        </w:rPr>
        <w:t xml:space="preserve">ákup </w:t>
      </w:r>
      <w:r w:rsidR="00C90833">
        <w:rPr>
          <w:rFonts w:ascii="Verdana" w:hAnsi="Verdana"/>
          <w:b/>
          <w:sz w:val="18"/>
          <w:szCs w:val="18"/>
        </w:rPr>
        <w:t>testeru digitálních ochran s příslušenstvím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908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90833" w:rsidRPr="00C908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72134"/>
    <w:rsid w:val="00C9083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AB0DA2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B72952-42DB-48E6-BD03-17CF4B8A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2021-06-01T09:09:00Z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