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3C83E376" w14:textId="74317F06" w:rsidR="00BF54FE" w:rsidRDefault="0005497E" w:rsidP="006C2343">
      <w:pPr>
        <w:pStyle w:val="Tituldatum"/>
      </w:pPr>
      <w:r>
        <w:rPr>
          <w:rStyle w:val="Nzevakce"/>
        </w:rPr>
        <w:t>„</w:t>
      </w:r>
      <w:r w:rsidRPr="00BE37D8">
        <w:rPr>
          <w:rStyle w:val="Nzevakce"/>
        </w:rPr>
        <w:t>Oprava mostů v úseku Polička - Borová u Poličky</w:t>
      </w:r>
      <w:r>
        <w:rPr>
          <w:rStyle w:val="Nzevakce"/>
        </w:rPr>
        <w:t>“</w:t>
      </w:r>
      <w:r w:rsidRPr="00BC51B8" w:rsidDel="0005497E">
        <w:rPr>
          <w:rStyle w:val="Nzevakce"/>
          <w:highlight w:val="green"/>
        </w:rPr>
        <w:t xml:space="preserve"> </w:t>
      </w: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2719BDB2" w14:textId="7A317ABE" w:rsidR="00DA1C67" w:rsidRPr="0005497E" w:rsidRDefault="006C2343" w:rsidP="0005497E">
      <w:pPr>
        <w:pStyle w:val="Tituldatum"/>
      </w:pPr>
      <w:r w:rsidRPr="0005497E">
        <w:t xml:space="preserve">Datum vydání: </w:t>
      </w:r>
      <w:r w:rsidRPr="0005497E">
        <w:tab/>
      </w:r>
      <w:r w:rsidR="00D677E2">
        <w:t>1</w:t>
      </w:r>
      <w:r w:rsidRPr="0005497E">
        <w:t xml:space="preserve">. </w:t>
      </w:r>
      <w:r w:rsidR="00D677E2">
        <w:t>2</w:t>
      </w:r>
      <w:r w:rsidRPr="0005497E">
        <w:t>. 20</w:t>
      </w:r>
      <w:r w:rsidR="002C0924" w:rsidRPr="0005497E">
        <w:t>2</w:t>
      </w:r>
      <w:r w:rsidR="0005497E" w:rsidRPr="0005497E">
        <w:t>1</w:t>
      </w:r>
      <w:r w:rsidR="0076790E">
        <w:t xml:space="preserve"> </w:t>
      </w:r>
    </w:p>
    <w:p w14:paraId="218F1CA0" w14:textId="77777777" w:rsidR="00DA1C67" w:rsidRDefault="00DA1C67" w:rsidP="00DA1C67"/>
    <w:p w14:paraId="0A49DA21" w14:textId="77777777" w:rsidR="00DA1C67" w:rsidRDefault="00DA1C67"/>
    <w:p w14:paraId="4E41D9B6" w14:textId="77777777" w:rsidR="00DA1C67" w:rsidRDefault="00DA1C67"/>
    <w:p w14:paraId="4F49FE06" w14:textId="77777777" w:rsidR="00DA1C67" w:rsidRDefault="00DA1C67"/>
    <w:p w14:paraId="64A2FD07" w14:textId="77777777" w:rsidR="00DA1C67" w:rsidRDefault="00DA1C67">
      <w:r>
        <w:br w:type="page"/>
      </w:r>
    </w:p>
    <w:p w14:paraId="5BD1CF0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96702F3" w14:textId="07F92DC4" w:rsidR="002100E4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410981" w:history="1">
        <w:r w:rsidR="002100E4" w:rsidRPr="00A673E1">
          <w:rPr>
            <w:rStyle w:val="Hypertextovodkaz"/>
          </w:rPr>
          <w:t>SEZNAM ZKRATEK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_Toc63410981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2</w:t>
        </w:r>
        <w:r w:rsidR="002100E4">
          <w:rPr>
            <w:noProof/>
            <w:webHidden/>
          </w:rPr>
          <w:fldChar w:fldCharType="end"/>
        </w:r>
      </w:hyperlink>
    </w:p>
    <w:p w14:paraId="4FE8E53D" w14:textId="7346836F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82" w:history="1">
        <w:r w:rsidR="002100E4" w:rsidRPr="00A673E1">
          <w:rPr>
            <w:rStyle w:val="Hypertextovodkaz"/>
          </w:rPr>
          <w:t>1.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SPECIFIKACE PŘEDMĚTU DÍLA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_Toc63410982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34AF4182" w14:textId="3FC7C421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83" w:history="1">
        <w:r w:rsidR="002100E4" w:rsidRPr="00A673E1">
          <w:rPr>
            <w:rStyle w:val="Hypertextovodkaz"/>
          </w:rPr>
          <w:t>1.1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Účel a rozsah předmětu Díla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_Toc63410983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4270E4BB" w14:textId="5BE08BE8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84" w:history="1">
        <w:r w:rsidR="002100E4" w:rsidRPr="00A673E1">
          <w:rPr>
            <w:rStyle w:val="Hypertextovodkaz"/>
          </w:rPr>
          <w:t>1.2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Umístění stavby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_Toc63410984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00039EDF" w14:textId="56323600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85" w:history="1">
        <w:r w:rsidR="002100E4" w:rsidRPr="00A673E1">
          <w:rPr>
            <w:rStyle w:val="Hypertextovodkaz"/>
          </w:rPr>
          <w:t>2.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PŘEHLED VÝCHOZÍCH PODKLADŮ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_Toc63410985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25F288AF" w14:textId="18AC81BC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86" w:history="1">
        <w:r w:rsidR="002100E4" w:rsidRPr="00A673E1">
          <w:rPr>
            <w:rStyle w:val="Hypertextovodkaz"/>
          </w:rPr>
          <w:t>2.1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Projektová dokumentace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_Toc63410986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647279D7" w14:textId="406BA5FD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87" w:history="1">
        <w:r w:rsidR="002100E4" w:rsidRPr="00A673E1">
          <w:rPr>
            <w:rStyle w:val="Hypertextovodkaz"/>
          </w:rPr>
          <w:t>3.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KOORDINACE S JINÝMI STAVBAMI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_Toc63410987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16B913B9" w14:textId="7552B537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88" w:history="1">
        <w:r w:rsidR="002100E4" w:rsidRPr="00A673E1">
          <w:rPr>
            <w:rStyle w:val="Hypertextovodkaz"/>
          </w:rPr>
          <w:t>4.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ZVLÁŠTNÍ TECHNICKÉ PODMÍNKY A POŽADAVKY NA PROVEDENÍ DÍLA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_Toc63410988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55365D7F" w14:textId="3215C09C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89" w:history="1">
        <w:r w:rsidR="002100E4" w:rsidRPr="00A673E1">
          <w:rPr>
            <w:rStyle w:val="Hypertextovodkaz"/>
          </w:rPr>
          <w:t>4.1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Všeobecně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_Toc63410989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3</w:t>
        </w:r>
        <w:r w:rsidR="002100E4">
          <w:rPr>
            <w:noProof/>
            <w:webHidden/>
          </w:rPr>
          <w:fldChar w:fldCharType="end"/>
        </w:r>
      </w:hyperlink>
    </w:p>
    <w:p w14:paraId="21ADC14E" w14:textId="467E164C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90" w:history="1">
        <w:r w:rsidR="002100E4" w:rsidRPr="00A673E1">
          <w:rPr>
            <w:rStyle w:val="Hypertextovodkaz"/>
          </w:rPr>
          <w:t>4.2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Zeměměřická činnost zhotovitele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_Toc63410990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7</w:t>
        </w:r>
        <w:r w:rsidR="002100E4">
          <w:rPr>
            <w:noProof/>
            <w:webHidden/>
          </w:rPr>
          <w:fldChar w:fldCharType="end"/>
        </w:r>
      </w:hyperlink>
    </w:p>
    <w:p w14:paraId="21DDA3F5" w14:textId="2CB329C9" w:rsidR="002100E4" w:rsidRDefault="0030296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410991" w:history="1">
        <w:r w:rsidR="002100E4" w:rsidRPr="00A673E1">
          <w:rPr>
            <w:rStyle w:val="Hypertextovodkaz"/>
          </w:rPr>
          <w:t>4.3</w:t>
        </w:r>
        <w:r w:rsidR="002100E4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Železniční svršek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_Toc63410991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8</w:t>
        </w:r>
        <w:r w:rsidR="002100E4">
          <w:rPr>
            <w:noProof/>
            <w:webHidden/>
          </w:rPr>
          <w:fldChar w:fldCharType="end"/>
        </w:r>
      </w:hyperlink>
    </w:p>
    <w:p w14:paraId="4EE7A094" w14:textId="5D052060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92" w:history="1">
        <w:r w:rsidR="002100E4" w:rsidRPr="00A673E1">
          <w:rPr>
            <w:rStyle w:val="Hypertextovodkaz"/>
          </w:rPr>
          <w:t>5.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ORGANIZACE VÝSTAVBY, VÝLUKY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_Toc63410992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9</w:t>
        </w:r>
        <w:r w:rsidR="002100E4">
          <w:rPr>
            <w:noProof/>
            <w:webHidden/>
          </w:rPr>
          <w:fldChar w:fldCharType="end"/>
        </w:r>
      </w:hyperlink>
    </w:p>
    <w:p w14:paraId="27083EE9" w14:textId="76BD293A" w:rsidR="002100E4" w:rsidRDefault="0030296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410993" w:history="1">
        <w:r w:rsidR="002100E4" w:rsidRPr="00A673E1">
          <w:rPr>
            <w:rStyle w:val="Hypertextovodkaz"/>
          </w:rPr>
          <w:t>6.</w:t>
        </w:r>
        <w:r w:rsidR="002100E4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100E4" w:rsidRPr="00A673E1">
          <w:rPr>
            <w:rStyle w:val="Hypertextovodkaz"/>
          </w:rPr>
          <w:t>SOUVISEJÍCÍ DOKUMENTY A PŘEDPISY</w:t>
        </w:r>
        <w:r w:rsidR="002100E4">
          <w:rPr>
            <w:noProof/>
            <w:webHidden/>
          </w:rPr>
          <w:tab/>
        </w:r>
        <w:r w:rsidR="002100E4">
          <w:rPr>
            <w:noProof/>
            <w:webHidden/>
          </w:rPr>
          <w:fldChar w:fldCharType="begin"/>
        </w:r>
        <w:r w:rsidR="002100E4">
          <w:rPr>
            <w:noProof/>
            <w:webHidden/>
          </w:rPr>
          <w:instrText xml:space="preserve"> PAGEREF _Toc63410993 \h </w:instrText>
        </w:r>
        <w:r w:rsidR="002100E4">
          <w:rPr>
            <w:noProof/>
            <w:webHidden/>
          </w:rPr>
        </w:r>
        <w:r w:rsidR="002100E4">
          <w:rPr>
            <w:noProof/>
            <w:webHidden/>
          </w:rPr>
          <w:fldChar w:fldCharType="separate"/>
        </w:r>
        <w:r w:rsidR="002100E4">
          <w:rPr>
            <w:noProof/>
            <w:webHidden/>
          </w:rPr>
          <w:t>9</w:t>
        </w:r>
        <w:r w:rsidR="002100E4">
          <w:rPr>
            <w:noProof/>
            <w:webHidden/>
          </w:rPr>
          <w:fldChar w:fldCharType="end"/>
        </w:r>
      </w:hyperlink>
    </w:p>
    <w:p w14:paraId="02BE5EA0" w14:textId="05D9A3A1" w:rsidR="00AD0C7B" w:rsidRDefault="00BD7E91" w:rsidP="008D03B9">
      <w:r>
        <w:fldChar w:fldCharType="end"/>
      </w:r>
    </w:p>
    <w:p w14:paraId="3FB778F6" w14:textId="77777777" w:rsidR="00AD0C7B" w:rsidRDefault="00AD0C7B" w:rsidP="00DA1C67">
      <w:pPr>
        <w:pStyle w:val="Nadpisbezsl1-1"/>
        <w:outlineLvl w:val="0"/>
      </w:pPr>
      <w:bookmarkStart w:id="0" w:name="_Toc6341098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134"/>
        <w:gridCol w:w="7568"/>
      </w:tblGrid>
      <w:tr w:rsidR="002100E4" w:rsidRPr="006A10C4" w14:paraId="4A02638D" w14:textId="77777777" w:rsidTr="00A00DCD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C03D40" w14:textId="77777777" w:rsidR="002100E4" w:rsidRPr="00BC51B8" w:rsidRDefault="002100E4" w:rsidP="00A00DCD">
            <w:pPr>
              <w:pStyle w:val="Zkratky1"/>
              <w:rPr>
                <w:highlight w:val="green"/>
              </w:rPr>
            </w:pPr>
            <w:r w:rsidRPr="00167E4A">
              <w:rPr>
                <w:b w:val="0"/>
              </w:rPr>
              <w:t>SOD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FA7FB6" w14:textId="77777777" w:rsidR="002100E4" w:rsidRPr="00BC51B8" w:rsidRDefault="002100E4" w:rsidP="00A00DCD">
            <w:pPr>
              <w:pStyle w:val="Zkratky2"/>
              <w:rPr>
                <w:highlight w:val="green"/>
              </w:rPr>
            </w:pPr>
            <w:r>
              <w:t>Smlouva o dílo</w:t>
            </w:r>
          </w:p>
        </w:tc>
      </w:tr>
      <w:tr w:rsidR="002100E4" w:rsidRPr="006A10C4" w14:paraId="3B3883DC" w14:textId="77777777" w:rsidTr="00A00DCD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B1F5E2" w14:textId="77777777" w:rsidR="002100E4" w:rsidRPr="00BD684A" w:rsidRDefault="002100E4" w:rsidP="00A00DCD">
            <w:pPr>
              <w:pStyle w:val="Zkratky1"/>
              <w:rPr>
                <w:b w:val="0"/>
                <w:highlight w:val="green"/>
              </w:rPr>
            </w:pPr>
            <w:r w:rsidRPr="00BD684A">
              <w:rPr>
                <w:b w:val="0"/>
              </w:rPr>
              <w:t>ZOV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32BAE4" w14:textId="77777777" w:rsidR="002100E4" w:rsidRPr="00BD684A" w:rsidRDefault="002100E4" w:rsidP="00A00DCD">
            <w:pPr>
              <w:pStyle w:val="Zkratky2"/>
            </w:pPr>
            <w:r w:rsidRPr="00BD684A">
              <w:t>Zásady organizace výstavby</w:t>
            </w:r>
          </w:p>
        </w:tc>
      </w:tr>
      <w:tr w:rsidR="002100E4" w:rsidRPr="006A10C4" w14:paraId="2B1C220D" w14:textId="77777777" w:rsidTr="00A00DCD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277042" w14:textId="77777777" w:rsidR="002100E4" w:rsidRPr="006A10C4" w:rsidRDefault="002100E4" w:rsidP="00A00DCD">
            <w:pPr>
              <w:pStyle w:val="Zkratky1"/>
            </w:pPr>
            <w:r>
              <w:rPr>
                <w:b w:val="0"/>
              </w:rPr>
              <w:t>SD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A4594" w14:textId="77777777" w:rsidR="002100E4" w:rsidRPr="006A10C4" w:rsidRDefault="002100E4" w:rsidP="00A00DCD">
            <w:pPr>
              <w:pStyle w:val="Zkratky2"/>
            </w:pPr>
            <w:r>
              <w:t>Stavební deník</w:t>
            </w:r>
          </w:p>
        </w:tc>
      </w:tr>
      <w:tr w:rsidR="002100E4" w:rsidRPr="006A10C4" w14:paraId="0AB444C3" w14:textId="77777777" w:rsidTr="00A00DCD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530AB0" w14:textId="77777777" w:rsidR="002100E4" w:rsidRPr="009702A7" w:rsidRDefault="002100E4" w:rsidP="00A00DCD">
            <w:pPr>
              <w:pStyle w:val="Zkratky1"/>
              <w:rPr>
                <w:b w:val="0"/>
              </w:rPr>
            </w:pPr>
            <w:r w:rsidRPr="009702A7">
              <w:rPr>
                <w:b w:val="0"/>
              </w:rPr>
              <w:t>VTP</w:t>
            </w: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CDE419" w14:textId="77777777" w:rsidR="002100E4" w:rsidRPr="006A10C4" w:rsidRDefault="002100E4" w:rsidP="00A00DCD">
            <w:pPr>
              <w:pStyle w:val="Zkratky2"/>
            </w:pPr>
            <w:r>
              <w:t>Všeobecné technické podmínky</w:t>
            </w:r>
          </w:p>
        </w:tc>
      </w:tr>
      <w:tr w:rsidR="002100E4" w:rsidRPr="006A10C4" w14:paraId="6F87CF86" w14:textId="77777777" w:rsidTr="00A00DCD">
        <w:tc>
          <w:tcPr>
            <w:tcW w:w="1134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BEB0BA" w14:textId="77777777" w:rsidR="002100E4" w:rsidRPr="006A10C4" w:rsidRDefault="002100E4" w:rsidP="00A00DCD">
            <w:pPr>
              <w:pStyle w:val="Zkratky1"/>
            </w:pPr>
          </w:p>
        </w:tc>
        <w:tc>
          <w:tcPr>
            <w:tcW w:w="756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8E98C6" w14:textId="77777777" w:rsidR="002100E4" w:rsidRPr="006A10C4" w:rsidRDefault="002100E4" w:rsidP="00A00DCD">
            <w:pPr>
              <w:pStyle w:val="Zkratky2"/>
            </w:pPr>
          </w:p>
        </w:tc>
      </w:tr>
    </w:tbl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2" w:name="_Toc6410429"/>
      <w:bookmarkStart w:id="3" w:name="_Toc6341098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71479AA" w14:textId="77777777" w:rsidR="0005497E" w:rsidRDefault="0005497E" w:rsidP="0005497E">
      <w:pPr>
        <w:pStyle w:val="Nadpis2-2"/>
      </w:pPr>
      <w:bookmarkStart w:id="9" w:name="_Toc6410430"/>
      <w:bookmarkStart w:id="10" w:name="_Toc62125137"/>
      <w:bookmarkStart w:id="11" w:name="_Toc63410983"/>
      <w:bookmarkStart w:id="12" w:name="_Toc6410432"/>
      <w:r>
        <w:t>Účel a rozsah předmětu Díla</w:t>
      </w:r>
      <w:bookmarkEnd w:id="9"/>
      <w:bookmarkEnd w:id="10"/>
      <w:bookmarkEnd w:id="11"/>
    </w:p>
    <w:p w14:paraId="378C1413" w14:textId="6335F5F0" w:rsidR="0005497E" w:rsidRDefault="0005497E" w:rsidP="0005497E">
      <w:pPr>
        <w:pStyle w:val="Text2-1"/>
      </w:pPr>
      <w:r>
        <w:t xml:space="preserve">Předmětem díla je zhotovení stavby </w:t>
      </w:r>
      <w:r w:rsidRPr="00BE37D8">
        <w:t>„Oprava mostů v úseku Polička - Borová u Poličky“</w:t>
      </w:r>
      <w:r>
        <w:t xml:space="preserve">, jejímž cílem je </w:t>
      </w:r>
      <w:r w:rsidRPr="003D3098">
        <w:rPr>
          <w:rFonts w:cs="Calibri"/>
          <w:szCs w:val="14"/>
        </w:rPr>
        <w:t>zajištění</w:t>
      </w:r>
      <w:r w:rsidR="00060A59">
        <w:rPr>
          <w:rFonts w:cs="Calibri"/>
          <w:szCs w:val="14"/>
        </w:rPr>
        <w:t xml:space="preserve"> plynulosti a</w:t>
      </w:r>
      <w:r w:rsidRPr="003D3098">
        <w:rPr>
          <w:rFonts w:cs="Calibri"/>
          <w:szCs w:val="14"/>
        </w:rPr>
        <w:t xml:space="preserve"> bezpečnosti </w:t>
      </w:r>
      <w:r w:rsidR="00060A59">
        <w:rPr>
          <w:rFonts w:cs="Calibri"/>
          <w:szCs w:val="14"/>
        </w:rPr>
        <w:t>železniční dopravy</w:t>
      </w:r>
      <w:r w:rsidRPr="003D3098">
        <w:rPr>
          <w:rFonts w:cs="Calibri"/>
          <w:szCs w:val="14"/>
        </w:rPr>
        <w:t xml:space="preserve"> a </w:t>
      </w:r>
      <w:r w:rsidR="00060A59">
        <w:rPr>
          <w:rFonts w:cs="Calibri"/>
          <w:szCs w:val="14"/>
        </w:rPr>
        <w:t>udržení provozuschopného stavu dráhy v traťovém úseku Polička – Borová u Poličky.</w:t>
      </w:r>
    </w:p>
    <w:p w14:paraId="13EAE1EA" w14:textId="42847BD2" w:rsidR="0005497E" w:rsidRDefault="0005497E" w:rsidP="0005497E">
      <w:pPr>
        <w:pStyle w:val="Text2-1"/>
      </w:pPr>
      <w:r w:rsidRPr="00DB4332">
        <w:t xml:space="preserve">Rozsah Díla </w:t>
      </w:r>
      <w:r w:rsidRPr="00BE37D8">
        <w:t>„Oprava mostů v úseku Polička - Borová u Poličky“</w:t>
      </w:r>
      <w:r>
        <w:t xml:space="preserve"> </w:t>
      </w:r>
      <w:r w:rsidRPr="00DB4332">
        <w:t xml:space="preserve">je </w:t>
      </w:r>
      <w:r>
        <w:t>oprava</w:t>
      </w:r>
      <w:r w:rsidRPr="00C80F06">
        <w:t xml:space="preserve"> říms, zří</w:t>
      </w:r>
      <w:r>
        <w:t xml:space="preserve">zení nové plovoucí hydroizolace, sanace spodní stavby, výměna </w:t>
      </w:r>
      <w:r w:rsidRPr="00C80F06">
        <w:t>mostnic, sanace závěrných zdí, protik</w:t>
      </w:r>
      <w:r>
        <w:t>orozní ochrana nosné konstrukce.</w:t>
      </w:r>
    </w:p>
    <w:p w14:paraId="34E98CA6" w14:textId="77777777" w:rsidR="0005497E" w:rsidRPr="00CC4983" w:rsidRDefault="0005497E" w:rsidP="0005497E">
      <w:pPr>
        <w:pStyle w:val="Nadpis2-2"/>
      </w:pPr>
      <w:bookmarkStart w:id="13" w:name="_Toc6410431"/>
      <w:bookmarkStart w:id="14" w:name="_Toc62125138"/>
      <w:bookmarkStart w:id="15" w:name="_Toc63410984"/>
      <w:r w:rsidRPr="00CC4983">
        <w:t>Umístění stavby</w:t>
      </w:r>
      <w:bookmarkEnd w:id="13"/>
      <w:bookmarkEnd w:id="14"/>
      <w:bookmarkEnd w:id="15"/>
    </w:p>
    <w:p w14:paraId="7EC59072" w14:textId="27D0B03C" w:rsidR="0005497E" w:rsidRPr="00CC4983" w:rsidRDefault="0005497E" w:rsidP="0005497E">
      <w:pPr>
        <w:pStyle w:val="Text2-1"/>
      </w:pPr>
      <w:r w:rsidRPr="00CC4983">
        <w:t>Stavba bude probíhat na</w:t>
      </w:r>
      <w:r w:rsidR="00CC4983">
        <w:t xml:space="preserve"> celostátní trati č. 261</w:t>
      </w:r>
      <w:r w:rsidR="00516AF5">
        <w:t xml:space="preserve"> </w:t>
      </w:r>
      <w:r w:rsidR="00CC4983">
        <w:t xml:space="preserve">v úseku </w:t>
      </w:r>
      <w:r w:rsidRPr="00CC4983">
        <w:t>Polička - Borová u Poličky na mostech v k</w:t>
      </w:r>
      <w:r w:rsidR="00CC4983">
        <w:t>m 22,005 a km 24,327</w:t>
      </w:r>
      <w:r w:rsidR="00060A59">
        <w:t>, Pardubický kraj.</w:t>
      </w:r>
    </w:p>
    <w:p w14:paraId="54AF4329" w14:textId="77777777" w:rsidR="00DF7BAA" w:rsidRDefault="00DF7BAA" w:rsidP="00DF7BAA">
      <w:pPr>
        <w:pStyle w:val="Nadpis2-1"/>
      </w:pPr>
      <w:bookmarkStart w:id="16" w:name="_Toc63410985"/>
      <w:r>
        <w:t>PŘEHLED VÝCHOZÍCH PODKLADŮ</w:t>
      </w:r>
      <w:bookmarkEnd w:id="12"/>
      <w:bookmarkEnd w:id="16"/>
    </w:p>
    <w:p w14:paraId="6D78B34B" w14:textId="332E6DD5" w:rsidR="00BD03B9" w:rsidRDefault="00BD03B9" w:rsidP="00BD03B9">
      <w:pPr>
        <w:pStyle w:val="Nadpis2-2"/>
      </w:pPr>
      <w:bookmarkStart w:id="17" w:name="_Toc6410433"/>
      <w:bookmarkStart w:id="18" w:name="_Toc62125140"/>
      <w:bookmarkStart w:id="19" w:name="_Toc63410986"/>
      <w:bookmarkStart w:id="20" w:name="_Toc6410434"/>
      <w:r>
        <w:t>Projektov</w:t>
      </w:r>
      <w:r w:rsidR="009C64B6">
        <w:t>é</w:t>
      </w:r>
      <w:r>
        <w:t xml:space="preserve"> dokumentace</w:t>
      </w:r>
      <w:bookmarkEnd w:id="17"/>
      <w:bookmarkEnd w:id="18"/>
      <w:bookmarkEnd w:id="19"/>
    </w:p>
    <w:p w14:paraId="2A85F0E2" w14:textId="0BEC4BC5" w:rsidR="009C64B6" w:rsidRDefault="00BD03B9" w:rsidP="00BD03B9">
      <w:pPr>
        <w:pStyle w:val="Text2-1"/>
      </w:pPr>
      <w:r>
        <w:t>Projektová dokumentace</w:t>
      </w:r>
      <w:r w:rsidR="009C64B6">
        <w:t xml:space="preserve"> na km 22,005</w:t>
      </w:r>
      <w:r>
        <w:t xml:space="preserve"> „</w:t>
      </w:r>
      <w:r w:rsidRPr="00BE37D8">
        <w:t>Oprava most</w:t>
      </w:r>
      <w:r w:rsidR="009C64B6">
        <w:t>u v km 22,005 trati Svitavy – Žďárec u Skutče</w:t>
      </w:r>
      <w:r>
        <w:t>“</w:t>
      </w:r>
      <w:r w:rsidR="00401E4B">
        <w:t>,</w:t>
      </w:r>
      <w:r>
        <w:t xml:space="preserve"> zpracovatel</w:t>
      </w:r>
      <w:r w:rsidR="009C64B6">
        <w:t xml:space="preserve"> </w:t>
      </w:r>
      <w:r w:rsidR="009C64B6" w:rsidRPr="000C2FF4">
        <w:t>MDS projekt s.r.o.,</w:t>
      </w:r>
      <w:r w:rsidR="009C64B6">
        <w:rPr>
          <w:b/>
        </w:rPr>
        <w:t xml:space="preserve">  </w:t>
      </w:r>
      <w:r w:rsidR="009C64B6" w:rsidRPr="009C64B6">
        <w:t>IČ:27487938,</w:t>
      </w:r>
      <w:r w:rsidR="009C64B6">
        <w:rPr>
          <w:b/>
        </w:rPr>
        <w:t xml:space="preserve"> </w:t>
      </w:r>
      <w:r w:rsidR="009C64B6">
        <w:t>datum 12/2009.</w:t>
      </w:r>
    </w:p>
    <w:p w14:paraId="4A833730" w14:textId="50B0C0CF" w:rsidR="00BD03B9" w:rsidRDefault="009C64B6" w:rsidP="00BD03B9">
      <w:pPr>
        <w:pStyle w:val="Text2-1"/>
      </w:pPr>
      <w:r>
        <w:t>Projektov</w:t>
      </w:r>
      <w:r w:rsidR="00401E4B">
        <w:t>á</w:t>
      </w:r>
      <w:r>
        <w:t xml:space="preserve"> dokumentace na km 24,327 „Stavební úprava mostu v km 24,327 trati Svitavy – Žďárec u Skutče“</w:t>
      </w:r>
      <w:r w:rsidR="00401E4B">
        <w:t>, zpracovatel</w:t>
      </w:r>
      <w:r w:rsidR="00BD03B9">
        <w:t xml:space="preserve"> </w:t>
      </w:r>
      <w:r w:rsidR="00BD03B9" w:rsidRPr="000C2FF4">
        <w:t xml:space="preserve">IM-Projekt, inženýrské a mostní konstrukce, s.r.o., </w:t>
      </w:r>
      <w:r w:rsidR="00401E4B">
        <w:t xml:space="preserve">IČ: 27689328, </w:t>
      </w:r>
      <w:r w:rsidR="00BD03B9" w:rsidRPr="000C2FF4">
        <w:t>datum 10/200</w:t>
      </w:r>
      <w:r w:rsidR="00401E4B">
        <w:t>9.</w:t>
      </w:r>
    </w:p>
    <w:p w14:paraId="7A1577B1" w14:textId="77777777" w:rsidR="00DF7BAA" w:rsidRDefault="00DF7BAA" w:rsidP="00DF7BAA">
      <w:pPr>
        <w:pStyle w:val="Nadpis2-1"/>
      </w:pPr>
      <w:bookmarkStart w:id="21" w:name="_Toc6410435"/>
      <w:bookmarkStart w:id="22" w:name="_Toc63410987"/>
      <w:bookmarkEnd w:id="20"/>
      <w:r>
        <w:t>KOORDINACE S JINÝMI STAVBAMI</w:t>
      </w:r>
      <w:bookmarkEnd w:id="21"/>
      <w:bookmarkEnd w:id="22"/>
      <w:r>
        <w:t xml:space="preserve"> </w:t>
      </w:r>
    </w:p>
    <w:p w14:paraId="249DC1A8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F08810E" w14:textId="77777777" w:rsidR="00DF7BAA" w:rsidRDefault="00DF7BAA" w:rsidP="00DF7BAA">
      <w:pPr>
        <w:pStyle w:val="Nadpis2-1"/>
      </w:pPr>
      <w:bookmarkStart w:id="23" w:name="_Toc6410436"/>
      <w:bookmarkStart w:id="24" w:name="_Toc63410988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3"/>
      <w:bookmarkEnd w:id="24"/>
    </w:p>
    <w:p w14:paraId="044BF5FE" w14:textId="77777777" w:rsidR="00DF7BAA" w:rsidRDefault="00DF7BAA" w:rsidP="00DF7BAA">
      <w:pPr>
        <w:pStyle w:val="Nadpis2-2"/>
      </w:pPr>
      <w:bookmarkStart w:id="25" w:name="_Toc6410437"/>
      <w:bookmarkStart w:id="26" w:name="_Toc63410989"/>
      <w:r>
        <w:t>Všeobecně</w:t>
      </w:r>
      <w:bookmarkEnd w:id="25"/>
      <w:bookmarkEnd w:id="26"/>
    </w:p>
    <w:p w14:paraId="7128C725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1.1.10</w:t>
      </w:r>
      <w:proofErr w:type="gramEnd"/>
      <w:r>
        <w:t>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12D2DBB1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</w:t>
      </w:r>
      <w:r w:rsidR="002100E4">
        <w:t>yhlášky č. 499/2006 Sb. [</w:t>
      </w:r>
      <w:proofErr w:type="gramStart"/>
      <w:r w:rsidR="002100E4">
        <w:t xml:space="preserve">28],  a </w:t>
      </w:r>
      <w:r>
        <w:t>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BB8FE7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6307C4F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48ED189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4AD577A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7A5B31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77777777" w:rsidR="00680766" w:rsidRPr="00BD03B9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</w:t>
      </w:r>
      <w:r>
        <w:lastRenderedPageBreak/>
        <w:t xml:space="preserve">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</w:t>
      </w:r>
      <w:r w:rsidRPr="00BD03B9">
        <w:t>se za to, že Zhotovitel s obsahem záznamu souhlasí.</w:t>
      </w:r>
    </w:p>
    <w:p w14:paraId="477AC10A" w14:textId="77777777" w:rsidR="00B74384" w:rsidRPr="00BD03B9" w:rsidRDefault="00B74384" w:rsidP="00B74384">
      <w:pPr>
        <w:pStyle w:val="Text2-1"/>
        <w:numPr>
          <w:ilvl w:val="2"/>
          <w:numId w:val="7"/>
        </w:numPr>
      </w:pPr>
      <w:r w:rsidRPr="00BD03B9">
        <w:t>V čl. 4.1.1.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BD03B9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422B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3DC69920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06ED2EDB" w14:textId="77777777" w:rsidR="00680766" w:rsidRPr="00BD03B9" w:rsidRDefault="00680766" w:rsidP="00680766">
      <w:pPr>
        <w:pStyle w:val="Text2-1"/>
      </w:pPr>
      <w:r>
        <w:t xml:space="preserve">Čl. 4.2.2. VTP </w:t>
      </w:r>
      <w:r w:rsidRPr="00BD03B9">
        <w:t>se ruší.</w:t>
      </w:r>
    </w:p>
    <w:p w14:paraId="542B2CF2" w14:textId="77777777" w:rsidR="00680766" w:rsidRPr="00BD03B9" w:rsidRDefault="00680766" w:rsidP="00680766">
      <w:pPr>
        <w:pStyle w:val="Text2-1"/>
      </w:pPr>
      <w:r w:rsidRPr="00BD03B9">
        <w:t>V čl. 4.2.9. VTP se mění lhůta z 21 dnů na 7 dnů.</w:t>
      </w:r>
    </w:p>
    <w:p w14:paraId="17683242" w14:textId="77777777" w:rsidR="00680766" w:rsidRPr="00BD03B9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 xml:space="preserve">. </w:t>
      </w:r>
      <w:r w:rsidRPr="00BD03B9">
        <w:t>VTP se mění takto:</w:t>
      </w:r>
    </w:p>
    <w:p w14:paraId="135CC880" w14:textId="77777777" w:rsidR="00680766" w:rsidRPr="00BD03B9" w:rsidRDefault="00680766" w:rsidP="00267DE4">
      <w:pPr>
        <w:pStyle w:val="Text2-1"/>
        <w:numPr>
          <w:ilvl w:val="0"/>
          <w:numId w:val="0"/>
        </w:numPr>
        <w:ind w:left="1871"/>
      </w:pPr>
      <w:r w:rsidRPr="00BD03B9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BD03B9">
        <w:t xml:space="preserve"> Před započetím stavby pořídí Zhotovitel fotodokumentaci o stavu komunikací.</w:t>
      </w:r>
      <w:r w:rsidRPr="00BD03B9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698484A7" w14:textId="77777777" w:rsidR="00680766" w:rsidRPr="00BD03B9" w:rsidRDefault="00680766" w:rsidP="00680766">
      <w:pPr>
        <w:pStyle w:val="Text2-1"/>
      </w:pPr>
      <w:r w:rsidRPr="00BD03B9">
        <w:t>Čl. 4.3.2. VTP se ruší.</w:t>
      </w:r>
    </w:p>
    <w:p w14:paraId="1BE1F6AD" w14:textId="77777777" w:rsidR="00680766" w:rsidRDefault="00680766" w:rsidP="00680766">
      <w:pPr>
        <w:pStyle w:val="Text2-1"/>
      </w:pPr>
      <w:r>
        <w:t>Čl. 4.3.3. VTP se mění takto:</w:t>
      </w:r>
    </w:p>
    <w:p w14:paraId="46C115ED" w14:textId="77777777" w:rsidR="00680766" w:rsidRPr="00BD03B9" w:rsidRDefault="00680766" w:rsidP="00267DE4">
      <w:pPr>
        <w:pStyle w:val="Text2-1"/>
        <w:numPr>
          <w:ilvl w:val="0"/>
          <w:numId w:val="0"/>
        </w:numPr>
        <w:ind w:left="1871"/>
      </w:pPr>
      <w:r w:rsidRPr="00BD03B9">
        <w:t>Zhotovitel se zavazuje zpracovat havarijní plán pro případný únik ropných látek ve smyslu zákona č. 254/2001 Sb. [10].</w:t>
      </w:r>
      <w:r w:rsidR="00F0110B" w:rsidRPr="00BD03B9">
        <w:t xml:space="preserve"> </w:t>
      </w:r>
      <w:r w:rsidR="00F0110B" w:rsidRPr="00852B39">
        <w:t xml:space="preserve">Zhotovitel bude řešit způsob odstavení stavebních strojů, zásobování strojů pohonnými hmotami, </w:t>
      </w:r>
      <w:r w:rsidR="00F0110B" w:rsidRPr="00BD03B9">
        <w:t xml:space="preserve">ochranu proti znečištění povrchových a podzemních vod a ovzduší. </w:t>
      </w:r>
    </w:p>
    <w:p w14:paraId="7872FF15" w14:textId="77777777" w:rsidR="00680766" w:rsidRPr="00BD03B9" w:rsidRDefault="00680766" w:rsidP="00680766">
      <w:pPr>
        <w:pStyle w:val="Text2-1"/>
      </w:pPr>
      <w:r w:rsidRPr="00BD03B9">
        <w:t>Čl. 5.1.4. VTP se ruší.</w:t>
      </w:r>
    </w:p>
    <w:p w14:paraId="6EB0CE99" w14:textId="77777777" w:rsidR="00680766" w:rsidRPr="00BD03B9" w:rsidRDefault="00680766" w:rsidP="00680766">
      <w:pPr>
        <w:pStyle w:val="Text2-1"/>
      </w:pPr>
      <w:r w:rsidRPr="00BD03B9">
        <w:t xml:space="preserve">V čl. </w:t>
      </w:r>
      <w:proofErr w:type="gramStart"/>
      <w:r w:rsidRPr="00BD03B9">
        <w:t>5.1.10</w:t>
      </w:r>
      <w:proofErr w:type="gramEnd"/>
      <w:r w:rsidRPr="00BD03B9">
        <w:t xml:space="preserve">. VTP se text „5 pracovních dnů“ nahrazuje textem „2 pracovní dny“. </w:t>
      </w:r>
    </w:p>
    <w:p w14:paraId="0FF2BB19" w14:textId="77777777" w:rsidR="00680766" w:rsidRPr="00BD03B9" w:rsidRDefault="00680766" w:rsidP="004C24C7">
      <w:pPr>
        <w:pStyle w:val="Text2-1"/>
        <w:ind w:left="1814" w:hanging="1814"/>
      </w:pPr>
      <w:r w:rsidRPr="00BD03B9">
        <w:t>V čl. 5.2.4. VTP se mění lhůta ze čtyř týdnů na dva týdny. Ruší se text “</w:t>
      </w:r>
      <w:proofErr w:type="gramStart"/>
      <w:r w:rsidRPr="00BD03B9">
        <w:t>…. a písemně</w:t>
      </w:r>
      <w:proofErr w:type="gramEnd"/>
      <w:r w:rsidRPr="00BD03B9">
        <w:t xml:space="preserve"> přizvat dotčené orgány veřejné správy (odbor životního prostředí příslušného úřadu)“. </w:t>
      </w:r>
    </w:p>
    <w:p w14:paraId="6E0056C4" w14:textId="77777777" w:rsidR="00680766" w:rsidRPr="00BD03B9" w:rsidRDefault="00680766" w:rsidP="00680766">
      <w:pPr>
        <w:pStyle w:val="Text2-1"/>
      </w:pPr>
      <w:r w:rsidRPr="00BD03B9">
        <w:t>Čl. 6.3.1. VTP se ruší.</w:t>
      </w:r>
    </w:p>
    <w:p w14:paraId="1E0D8F3F" w14:textId="77777777" w:rsidR="00680766" w:rsidRPr="00BD03B9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</w:t>
      </w:r>
      <w:r w:rsidRPr="00BD03B9">
        <w:t xml:space="preserve">VTP se mění takto: </w:t>
      </w:r>
    </w:p>
    <w:p w14:paraId="093D290D" w14:textId="77777777" w:rsidR="00680766" w:rsidRPr="00BD03B9" w:rsidRDefault="00680766" w:rsidP="00D178B4">
      <w:pPr>
        <w:pStyle w:val="Text2-1"/>
        <w:numPr>
          <w:ilvl w:val="0"/>
          <w:numId w:val="0"/>
        </w:numPr>
        <w:ind w:left="1871"/>
      </w:pPr>
      <w:r w:rsidRPr="00BD03B9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77777777" w:rsidR="00680766" w:rsidRPr="00BD03B9" w:rsidRDefault="00680766" w:rsidP="004C24C7">
      <w:pPr>
        <w:pStyle w:val="Text2-1"/>
        <w:ind w:left="1871" w:hanging="1871"/>
      </w:pPr>
      <w:r w:rsidRPr="00BD03B9">
        <w:lastRenderedPageBreak/>
        <w:t xml:space="preserve">V čl. </w:t>
      </w:r>
      <w:proofErr w:type="gramStart"/>
      <w:r w:rsidRPr="00BD03B9">
        <w:t>7.1.11</w:t>
      </w:r>
      <w:proofErr w:type="gramEnd"/>
      <w:r w:rsidRPr="00BD03B9">
        <w:t>. VTP se text „po rekonstrukci“ nahrazuje textem „po opravě a údržbě“, a text rekonstrukce“ se nahrazuje textem „oprava a údržba“.</w:t>
      </w:r>
    </w:p>
    <w:p w14:paraId="19582C18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66A0484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E0157B5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7777777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BD03B9">
        <w:t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lastRenderedPageBreak/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7777777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7215DAC7" w14:textId="77777777" w:rsidR="00DF7BAA" w:rsidRDefault="00DF7BAA" w:rsidP="00DF7BAA">
      <w:pPr>
        <w:pStyle w:val="Nadpis2-2"/>
      </w:pPr>
      <w:bookmarkStart w:id="27" w:name="_Toc63410990"/>
      <w:r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76DA26D1" w14:textId="2A100EBF" w:rsidR="00CB63E4" w:rsidRDefault="00084867" w:rsidP="00CB63E4">
      <w:pPr>
        <w:pStyle w:val="Text2-1"/>
        <w:numPr>
          <w:ilvl w:val="2"/>
          <w:numId w:val="7"/>
        </w:numPr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CB63E4">
        <w:t xml:space="preserve"> Ing. Jan Sloupenský</w:t>
      </w:r>
      <w:r w:rsidR="00CB63E4" w:rsidRPr="00CB63E4">
        <w:t xml:space="preserve"> </w:t>
      </w:r>
      <w:r w:rsidR="00CB63E4" w:rsidRPr="00AF3184">
        <w:t>tel.: 601</w:t>
      </w:r>
      <w:r w:rsidR="00CB63E4">
        <w:t xml:space="preserve"> 327 749, email: sloupensky@spravazeleznic</w:t>
      </w:r>
      <w:r w:rsidR="00CB63E4" w:rsidRPr="00AF3184">
        <w:t>.cz</w:t>
      </w:r>
    </w:p>
    <w:p w14:paraId="2D8D2990" w14:textId="58C05DDC" w:rsidR="00446218" w:rsidRDefault="00446218" w:rsidP="00CB63E4">
      <w:pPr>
        <w:pStyle w:val="Text2-1"/>
      </w:pPr>
      <w:r>
        <w:t>Poskytování geodetických podkladů se ří</w:t>
      </w:r>
      <w:r w:rsidR="00CB63E4">
        <w:t>dí Pokynem generálního ředitele SŽ PO </w:t>
      </w:r>
      <w:r>
        <w:t>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77777777" w:rsidR="00446218" w:rsidRDefault="00446218" w:rsidP="00446218">
      <w:pPr>
        <w:pStyle w:val="Text2-1"/>
      </w:pPr>
      <w:r>
        <w:lastRenderedPageBreak/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33E89130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7C16A53E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526D4DA0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D677E2">
        <w:t xml:space="preserve">t prvky, které mají předepsanou </w:t>
      </w:r>
      <w:r>
        <w:t>2. třídu přesnosti.</w:t>
      </w:r>
    </w:p>
    <w:p w14:paraId="7FD39763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7363B97B" w14:textId="1B431376" w:rsidR="00446218" w:rsidRDefault="00D677E2" w:rsidP="00446218">
      <w:pPr>
        <w:pStyle w:val="Text2-1"/>
      </w:pPr>
      <w:r>
        <w:t xml:space="preserve">V případě, že je realizován </w:t>
      </w:r>
      <w:r w:rsidR="00446218">
        <w:t>PS, SO (nebo jeho část) v nové trase nebo nové poloze oproti stávajícímu stavu a bude se nacházet na pozemcích, které nejsou ve vlastnictví Správy železnic a jsou ve vzdálenosti od hranice pozemku ve vlastnictví Správy železnic prokazatelně větší</w:t>
      </w:r>
      <w:r>
        <w:t>,</w:t>
      </w:r>
      <w:r w:rsidR="00446218">
        <w:t xml:space="preserve">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3CFA21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5F8A1050" w14:textId="40E4DEC4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F588F73" w14:textId="77777777" w:rsidR="002100E4" w:rsidRDefault="002100E4" w:rsidP="002100E4">
      <w:pPr>
        <w:pStyle w:val="Nadpis2-2"/>
      </w:pPr>
      <w:bookmarkStart w:id="28" w:name="_Toc6410445"/>
      <w:bookmarkStart w:id="29" w:name="_Toc63145906"/>
      <w:bookmarkStart w:id="30" w:name="_Toc63410991"/>
      <w:r>
        <w:t>Železniční svršek</w:t>
      </w:r>
      <w:bookmarkEnd w:id="28"/>
      <w:bookmarkEnd w:id="29"/>
      <w:bookmarkEnd w:id="30"/>
      <w:r>
        <w:t xml:space="preserve"> </w:t>
      </w:r>
    </w:p>
    <w:p w14:paraId="438415CE" w14:textId="404B27F4" w:rsidR="002100E4" w:rsidRPr="00CC4983" w:rsidRDefault="002100E4" w:rsidP="003036CD">
      <w:pPr>
        <w:pStyle w:val="Text2-1"/>
      </w:pPr>
      <w:r w:rsidRPr="000E4B16">
        <w:t>Materiál dodávaný Objednatelem je v </w:t>
      </w:r>
      <w:r w:rsidR="003036CD">
        <w:t>S</w:t>
      </w:r>
      <w:r w:rsidRPr="000E4B16">
        <w:t>oupisu prací v záložce „</w:t>
      </w:r>
      <w:r w:rsidR="00E927F6">
        <w:t xml:space="preserve">1.4 - </w:t>
      </w:r>
      <w:r w:rsidR="003036CD">
        <w:t>SO 01 – Materiál objednatele - Neoceňovat</w:t>
      </w:r>
      <w:r w:rsidR="00CC4983" w:rsidRPr="000E4B16">
        <w:t>“</w:t>
      </w:r>
      <w:r w:rsidR="003036CD">
        <w:t xml:space="preserve"> </w:t>
      </w:r>
      <w:r w:rsidR="00CC4983" w:rsidRPr="000E4B16">
        <w:t>a v záložce „</w:t>
      </w:r>
      <w:r w:rsidR="00E927F6">
        <w:t xml:space="preserve">2.4 - </w:t>
      </w:r>
      <w:r w:rsidR="00CC4983" w:rsidRPr="000E4B16">
        <w:t xml:space="preserve">SO 02 – </w:t>
      </w:r>
      <w:r w:rsidR="003036CD">
        <w:t>Materiál objednatele - Neoceňovat</w:t>
      </w:r>
      <w:r w:rsidR="00CC4983" w:rsidRPr="000E4B16">
        <w:t>“</w:t>
      </w:r>
      <w:r w:rsidR="003036CD">
        <w:t xml:space="preserve"> </w:t>
      </w:r>
      <w:r w:rsidRPr="00CC4983">
        <w:t>oceněn hodnotou „0,00 Kč“ a není součástí nákladů stavby, dodá ho Objedna</w:t>
      </w:r>
      <w:r w:rsidR="00CC4983" w:rsidRPr="00CC4983">
        <w:t>tel a bude předán Zhotoviteli na mostech</w:t>
      </w:r>
      <w:r w:rsidR="004D5431">
        <w:t xml:space="preserve"> v km</w:t>
      </w:r>
      <w:r w:rsidR="00CC4983" w:rsidRPr="00CC4983">
        <w:t xml:space="preserve"> 22,005 a </w:t>
      </w:r>
      <w:r w:rsidR="004D5431">
        <w:t> km </w:t>
      </w:r>
      <w:r w:rsidR="00CC4983" w:rsidRPr="00CC4983">
        <w:t>24,327</w:t>
      </w:r>
      <w:r w:rsidR="009E0A06">
        <w:t xml:space="preserve"> při předání staveniště.</w:t>
      </w:r>
    </w:p>
    <w:p w14:paraId="3D45504F" w14:textId="63773629" w:rsidR="002100E4" w:rsidRPr="00DC747F" w:rsidRDefault="002100E4" w:rsidP="002100E4">
      <w:pPr>
        <w:pStyle w:val="Text2-1"/>
      </w:pPr>
      <w:r w:rsidRPr="005B0D6E">
        <w:lastRenderedPageBreak/>
        <w:t xml:space="preserve"> </w:t>
      </w:r>
      <w:r w:rsidRPr="00DC747F">
        <w:t>Materiál dodávaný Objednatelem nebude uchazeč oceňovat. Toto upozornění bude v</w:t>
      </w:r>
      <w:r w:rsidR="009D458C">
        <w:t> </w:t>
      </w:r>
      <w:r w:rsidRPr="00DC747F">
        <w:t xml:space="preserve">poznámce u dané položky materiálu. </w:t>
      </w:r>
    </w:p>
    <w:p w14:paraId="1F5D1FD5" w14:textId="77777777" w:rsidR="00DF7BAA" w:rsidRDefault="00DF7BAA" w:rsidP="00DF7BAA">
      <w:pPr>
        <w:pStyle w:val="Nadpis2-1"/>
      </w:pPr>
      <w:bookmarkStart w:id="31" w:name="_Toc6410460"/>
      <w:bookmarkStart w:id="32" w:name="_Toc63410992"/>
      <w:r w:rsidRPr="00EC2E51">
        <w:t>ORGANIZACE</w:t>
      </w:r>
      <w:r>
        <w:t xml:space="preserve"> VÝSTAVBY, VÝLUKY</w:t>
      </w:r>
      <w:bookmarkEnd w:id="31"/>
      <w:bookmarkEnd w:id="32"/>
    </w:p>
    <w:p w14:paraId="0432DA60" w14:textId="49D5B80D" w:rsidR="00DF7BAA" w:rsidRPr="001E2C52" w:rsidRDefault="00DF7BAA" w:rsidP="00DF7BAA">
      <w:pPr>
        <w:pStyle w:val="Text2-1"/>
      </w:pPr>
      <w:r w:rsidRPr="001E2C52">
        <w:t>Rozhodující milníky doporučeného časového harmonogramu: Při zpracování harmonogramu je nutné vycházet z jednotlivých stavebních postupů uvedených v ZOV a dodržet množství a délku předjednaných výluk</w:t>
      </w:r>
      <w:r w:rsidR="001E2C52" w:rsidRPr="001E2C52">
        <w:t>.</w:t>
      </w:r>
      <w:r w:rsidRPr="001E2C52">
        <w:t xml:space="preserve"> </w:t>
      </w:r>
    </w:p>
    <w:p w14:paraId="2DF04847" w14:textId="77777777" w:rsidR="00DF7BAA" w:rsidRPr="001E2C52" w:rsidRDefault="00DF7BAA" w:rsidP="00DF7BAA">
      <w:pPr>
        <w:pStyle w:val="Text2-1"/>
      </w:pPr>
      <w:r w:rsidRPr="001E2C52">
        <w:t>V harmonogramu postupu prací je nutno dle ZOV v Projektové dokumentaci respektovat zejména následující požadavky a termíny:</w:t>
      </w:r>
    </w:p>
    <w:p w14:paraId="7611967E" w14:textId="77777777" w:rsidR="00DF7BAA" w:rsidRPr="001E2C52" w:rsidRDefault="00DF7BAA" w:rsidP="00DF7BAA">
      <w:pPr>
        <w:pStyle w:val="Odrka1-1"/>
        <w:numPr>
          <w:ilvl w:val="0"/>
          <w:numId w:val="5"/>
        </w:numPr>
        <w:spacing w:after="60"/>
      </w:pPr>
      <w:r w:rsidRPr="001E2C52">
        <w:t>termín zahájení a ukončení stavby</w:t>
      </w:r>
    </w:p>
    <w:p w14:paraId="1BC763A6" w14:textId="77777777" w:rsidR="00DF7BAA" w:rsidRPr="001E2C52" w:rsidRDefault="00DF7BAA" w:rsidP="00DF7BAA">
      <w:pPr>
        <w:pStyle w:val="Odrka1-1"/>
        <w:numPr>
          <w:ilvl w:val="0"/>
          <w:numId w:val="5"/>
        </w:numPr>
        <w:spacing w:after="60"/>
      </w:pPr>
      <w:r w:rsidRPr="001E2C52">
        <w:t>možné termíny uvádění provozuschopných celků do provozu</w:t>
      </w:r>
    </w:p>
    <w:p w14:paraId="703ABECE" w14:textId="3467F374" w:rsidR="00DF7BAA" w:rsidRPr="001E2C52" w:rsidRDefault="00DF7BAA" w:rsidP="001E2C52">
      <w:pPr>
        <w:pStyle w:val="Odrka1-1"/>
        <w:numPr>
          <w:ilvl w:val="0"/>
          <w:numId w:val="5"/>
        </w:numPr>
        <w:spacing w:after="60"/>
      </w:pPr>
      <w:r w:rsidRPr="001E2C52">
        <w:t>výlukovou činnost s maxi</w:t>
      </w:r>
      <w:r w:rsidR="001E2C52" w:rsidRPr="001E2C52">
        <w:t>málním využitím výlukových časů</w:t>
      </w:r>
    </w:p>
    <w:p w14:paraId="18B6C56C" w14:textId="77777777" w:rsidR="00DF7BAA" w:rsidRPr="001E2C52" w:rsidRDefault="00DF7BAA" w:rsidP="00DF7BAA">
      <w:pPr>
        <w:pStyle w:val="Odrka1-1"/>
        <w:numPr>
          <w:ilvl w:val="0"/>
          <w:numId w:val="5"/>
        </w:numPr>
        <w:spacing w:after="60"/>
      </w:pPr>
      <w:r w:rsidRPr="001E2C52">
        <w:t>přechodové stavy, provozní zkoušky (kontrolní a zkušební plán)</w:t>
      </w:r>
    </w:p>
    <w:p w14:paraId="10ED15BD" w14:textId="77777777" w:rsidR="00DF7BAA" w:rsidRPr="001E2C52" w:rsidRDefault="00DF7BAA" w:rsidP="00DF7BAA">
      <w:pPr>
        <w:pStyle w:val="Text2-1"/>
      </w:pPr>
      <w:r w:rsidRPr="001E2C5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1E2C52">
        <w:t>Z</w:t>
      </w:r>
      <w:r w:rsidRPr="001E2C52">
        <w:t>hotoviteli navržené časové horizonty rozhodujících výluk s cílem dosáhnout jejich maximálního využití a sladění s výlukami sousedních staveb.</w:t>
      </w:r>
    </w:p>
    <w:p w14:paraId="7B00DA5D" w14:textId="77777777" w:rsidR="001E2C52" w:rsidRPr="000C513B" w:rsidRDefault="001E2C52" w:rsidP="001E2C52">
      <w:pPr>
        <w:pStyle w:val="Text2-1"/>
      </w:pPr>
      <w:r w:rsidRPr="000C513B">
        <w:t>Závazným pro Zhotovitele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1E2C52" w:rsidRPr="000C513B" w14:paraId="1F29EC17" w14:textId="77777777" w:rsidTr="005B2A89">
        <w:tc>
          <w:tcPr>
            <w:tcW w:w="1327" w:type="dxa"/>
            <w:shd w:val="clear" w:color="auto" w:fill="auto"/>
          </w:tcPr>
          <w:p w14:paraId="6AC6158C" w14:textId="77777777" w:rsidR="001E2C52" w:rsidRPr="000C513B" w:rsidRDefault="001E2C52" w:rsidP="005B2A89">
            <w:pPr>
              <w:pStyle w:val="Tabulka"/>
              <w:rPr>
                <w:b/>
                <w:sz w:val="14"/>
              </w:rPr>
            </w:pPr>
            <w:r w:rsidRPr="000C513B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4C358E20" w14:textId="77777777" w:rsidR="001E2C52" w:rsidRPr="000C513B" w:rsidRDefault="001E2C52" w:rsidP="005B2A89">
            <w:pPr>
              <w:pStyle w:val="Tabulka"/>
              <w:rPr>
                <w:b/>
                <w:sz w:val="14"/>
              </w:rPr>
            </w:pPr>
            <w:r w:rsidRPr="000C513B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3D9A3B9D" w14:textId="77777777" w:rsidR="001E2C52" w:rsidRPr="000C513B" w:rsidRDefault="001E2C52" w:rsidP="005B2A89">
            <w:pPr>
              <w:pStyle w:val="Tabulka"/>
              <w:jc w:val="center"/>
              <w:rPr>
                <w:b/>
                <w:sz w:val="14"/>
              </w:rPr>
            </w:pPr>
            <w:r w:rsidRPr="000C513B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60EDD5A4" w14:textId="77777777" w:rsidR="001E2C52" w:rsidRPr="000C513B" w:rsidRDefault="001E2C52" w:rsidP="005B2A89">
            <w:pPr>
              <w:pStyle w:val="Tabulka"/>
              <w:rPr>
                <w:b/>
                <w:sz w:val="14"/>
              </w:rPr>
            </w:pPr>
            <w:r w:rsidRPr="000C513B">
              <w:rPr>
                <w:b/>
                <w:sz w:val="14"/>
              </w:rPr>
              <w:t>Doba trvání</w:t>
            </w:r>
          </w:p>
        </w:tc>
      </w:tr>
      <w:tr w:rsidR="001E2C52" w:rsidRPr="000C513B" w14:paraId="60902103" w14:textId="77777777" w:rsidTr="005B2A89">
        <w:tc>
          <w:tcPr>
            <w:tcW w:w="1327" w:type="dxa"/>
            <w:shd w:val="clear" w:color="auto" w:fill="auto"/>
          </w:tcPr>
          <w:p w14:paraId="2652FD55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58CD6A96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Zahájení stavby – přípravné práce</w:t>
            </w:r>
          </w:p>
        </w:tc>
        <w:tc>
          <w:tcPr>
            <w:tcW w:w="1701" w:type="dxa"/>
            <w:shd w:val="clear" w:color="auto" w:fill="auto"/>
          </w:tcPr>
          <w:p w14:paraId="5B7EEBFC" w14:textId="77777777" w:rsidR="001E2C52" w:rsidRPr="000C513B" w:rsidRDefault="001E2C52" w:rsidP="005B2A89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2F30072D" w14:textId="48863821" w:rsidR="001E2C52" w:rsidRPr="000C513B" w:rsidRDefault="0030296B" w:rsidP="005B2A89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Březen</w:t>
            </w:r>
            <w:bookmarkStart w:id="33" w:name="_GoBack"/>
            <w:bookmarkEnd w:id="33"/>
            <w:r w:rsidR="001E2C52" w:rsidRPr="000C513B">
              <w:rPr>
                <w:sz w:val="14"/>
              </w:rPr>
              <w:t xml:space="preserve"> 2021</w:t>
            </w:r>
          </w:p>
        </w:tc>
      </w:tr>
      <w:tr w:rsidR="001E2C52" w:rsidRPr="000C513B" w14:paraId="4D13B374" w14:textId="77777777" w:rsidTr="005B2A89">
        <w:tc>
          <w:tcPr>
            <w:tcW w:w="1327" w:type="dxa"/>
            <w:shd w:val="clear" w:color="auto" w:fill="auto"/>
          </w:tcPr>
          <w:p w14:paraId="144F5DDD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1.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43D09EBB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Práce během výluky</w:t>
            </w:r>
          </w:p>
        </w:tc>
        <w:tc>
          <w:tcPr>
            <w:tcW w:w="1701" w:type="dxa"/>
            <w:shd w:val="clear" w:color="auto" w:fill="auto"/>
          </w:tcPr>
          <w:p w14:paraId="356655A9" w14:textId="77777777" w:rsidR="001E2C52" w:rsidRPr="000C513B" w:rsidRDefault="001E2C52" w:rsidP="005B2A89">
            <w:pPr>
              <w:pStyle w:val="Tabulka"/>
              <w:jc w:val="center"/>
              <w:rPr>
                <w:sz w:val="14"/>
              </w:rPr>
            </w:pPr>
            <w:r w:rsidRPr="000C513B">
              <w:rPr>
                <w:sz w:val="14"/>
              </w:rPr>
              <w:t>10N</w:t>
            </w:r>
          </w:p>
        </w:tc>
        <w:tc>
          <w:tcPr>
            <w:tcW w:w="1985" w:type="dxa"/>
            <w:shd w:val="clear" w:color="auto" w:fill="auto"/>
          </w:tcPr>
          <w:p w14:paraId="31F0F330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6.</w:t>
            </w:r>
            <w:r>
              <w:rPr>
                <w:sz w:val="14"/>
              </w:rPr>
              <w:t xml:space="preserve"> </w:t>
            </w:r>
            <w:r w:rsidRPr="000C513B">
              <w:rPr>
                <w:sz w:val="14"/>
              </w:rPr>
              <w:t>4.</w:t>
            </w:r>
            <w:r>
              <w:rPr>
                <w:sz w:val="14"/>
              </w:rPr>
              <w:t xml:space="preserve"> </w:t>
            </w:r>
            <w:r w:rsidRPr="000C513B">
              <w:rPr>
                <w:sz w:val="14"/>
              </w:rPr>
              <w:t>-</w:t>
            </w:r>
            <w:r>
              <w:rPr>
                <w:sz w:val="14"/>
              </w:rPr>
              <w:t xml:space="preserve"> </w:t>
            </w:r>
            <w:r w:rsidRPr="000C513B">
              <w:rPr>
                <w:sz w:val="14"/>
              </w:rPr>
              <w:t>15.</w:t>
            </w:r>
            <w:r>
              <w:rPr>
                <w:sz w:val="14"/>
              </w:rPr>
              <w:t xml:space="preserve"> </w:t>
            </w:r>
            <w:r w:rsidRPr="000C513B">
              <w:rPr>
                <w:sz w:val="14"/>
              </w:rPr>
              <w:t>4.</w:t>
            </w:r>
            <w:r>
              <w:rPr>
                <w:sz w:val="14"/>
              </w:rPr>
              <w:t xml:space="preserve"> </w:t>
            </w:r>
            <w:r w:rsidRPr="000C513B">
              <w:rPr>
                <w:sz w:val="14"/>
              </w:rPr>
              <w:t>2021</w:t>
            </w:r>
          </w:p>
          <w:p w14:paraId="03AE3429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</w:p>
        </w:tc>
      </w:tr>
      <w:tr w:rsidR="001E2C52" w:rsidRPr="000C513B" w14:paraId="37000317" w14:textId="77777777" w:rsidTr="005B2A89">
        <w:tc>
          <w:tcPr>
            <w:tcW w:w="1327" w:type="dxa"/>
            <w:shd w:val="clear" w:color="auto" w:fill="auto"/>
          </w:tcPr>
          <w:p w14:paraId="07D84994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2. Sekce (Stavební postup / Etapa)</w:t>
            </w:r>
          </w:p>
        </w:tc>
        <w:tc>
          <w:tcPr>
            <w:tcW w:w="3118" w:type="dxa"/>
            <w:shd w:val="clear" w:color="auto" w:fill="auto"/>
          </w:tcPr>
          <w:p w14:paraId="0F8B5D7A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708DD953" w14:textId="77777777" w:rsidR="001E2C52" w:rsidRPr="000C513B" w:rsidRDefault="001E2C52" w:rsidP="005B2A89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0CD73459" w14:textId="77777777" w:rsidR="001E2C52" w:rsidRPr="004E033D" w:rsidRDefault="001E2C52" w:rsidP="005B2A89">
            <w:pPr>
              <w:pStyle w:val="Tabulka"/>
              <w:rPr>
                <w:sz w:val="14"/>
              </w:rPr>
            </w:pPr>
            <w:r w:rsidRPr="004E033D">
              <w:rPr>
                <w:sz w:val="14"/>
              </w:rPr>
              <w:t>Do 3 měsíců od zahájení stavebních prací (viz smlouva)*</w:t>
            </w:r>
          </w:p>
        </w:tc>
      </w:tr>
      <w:tr w:rsidR="001E2C52" w:rsidRPr="000C513B" w14:paraId="3E135B12" w14:textId="77777777" w:rsidTr="005B2A89">
        <w:tc>
          <w:tcPr>
            <w:tcW w:w="1327" w:type="dxa"/>
            <w:shd w:val="clear" w:color="auto" w:fill="auto"/>
          </w:tcPr>
          <w:p w14:paraId="16834B25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45E69059" w14:textId="77777777" w:rsidR="001E2C52" w:rsidRPr="000C513B" w:rsidRDefault="001E2C52" w:rsidP="005B2A89">
            <w:pPr>
              <w:pStyle w:val="Tabulka"/>
              <w:rPr>
                <w:sz w:val="14"/>
              </w:rPr>
            </w:pPr>
            <w:r w:rsidRPr="000C513B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393C923B" w14:textId="77777777" w:rsidR="001E2C52" w:rsidRPr="000C513B" w:rsidRDefault="001E2C52" w:rsidP="005B2A89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63C2AA7D" w14:textId="77777777" w:rsidR="001E2C52" w:rsidRPr="004E033D" w:rsidRDefault="001E2C52" w:rsidP="005B2A89">
            <w:pPr>
              <w:pStyle w:val="Tabulka"/>
              <w:rPr>
                <w:sz w:val="14"/>
              </w:rPr>
            </w:pPr>
            <w:r w:rsidRPr="004E033D">
              <w:rPr>
                <w:sz w:val="14"/>
              </w:rPr>
              <w:t>Do 3 měsíců od zahájení stavebních prací (viz smlouva)*</w:t>
            </w:r>
          </w:p>
        </w:tc>
      </w:tr>
    </w:tbl>
    <w:p w14:paraId="07999D54" w14:textId="77777777" w:rsidR="001E2C52" w:rsidRDefault="001E2C52" w:rsidP="001E2C52">
      <w:pPr>
        <w:pStyle w:val="Textbezslovn"/>
      </w:pPr>
      <w:r w:rsidRPr="000C513B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34" w:name="_Toc6410461"/>
      <w:bookmarkStart w:id="35" w:name="_Toc63410993"/>
      <w:r w:rsidRPr="00EC2E51">
        <w:t>SOUVISEJÍCÍ</w:t>
      </w:r>
      <w:r>
        <w:t xml:space="preserve"> DOKUMENTY A PŘEDPISY</w:t>
      </w:r>
      <w:bookmarkEnd w:id="34"/>
      <w:bookmarkEnd w:id="35"/>
    </w:p>
    <w:p w14:paraId="4713728E" w14:textId="77777777" w:rsidR="00DF7BAA" w:rsidRPr="00B23FBB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501E9B02" w14:textId="77777777" w:rsidR="00DF7BAA" w:rsidRPr="00B23FBB" w:rsidRDefault="00DF7BAA" w:rsidP="00DF7BAA">
      <w:pPr>
        <w:pStyle w:val="Text2-1"/>
      </w:pPr>
      <w:r w:rsidRPr="00B23FBB">
        <w:t>Objednatel umožňuje Zhotoviteli přístup ke všem svým interním předpisům a dokumentům následujícím způsobem:</w:t>
      </w:r>
    </w:p>
    <w:p w14:paraId="412D8B5F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Správa </w:t>
      </w:r>
      <w:r w:rsidR="00A5763B" w:rsidRPr="00B23FBB">
        <w:rPr>
          <w:rStyle w:val="Tun"/>
        </w:rPr>
        <w:t>železnic</w:t>
      </w:r>
      <w:r w:rsidRPr="00B23FBB">
        <w:rPr>
          <w:rStyle w:val="Tun"/>
        </w:rPr>
        <w:t>, státní organizace</w:t>
      </w:r>
    </w:p>
    <w:p w14:paraId="0B4887B8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Technická ústředna dopravní cesty, </w:t>
      </w:r>
    </w:p>
    <w:p w14:paraId="788B46E7" w14:textId="77777777" w:rsidR="00EC613E" w:rsidRPr="00B23FBB" w:rsidRDefault="00EC613E" w:rsidP="00EC613E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>Oddělení distribuce dokumentace</w:t>
      </w:r>
    </w:p>
    <w:p w14:paraId="122BFA71" w14:textId="77777777" w:rsidR="00EC613E" w:rsidRPr="00B23FBB" w:rsidRDefault="00B93566" w:rsidP="00EC613E">
      <w:pPr>
        <w:pStyle w:val="Textbezslovn"/>
        <w:spacing w:after="0"/>
      </w:pPr>
      <w:r w:rsidRPr="00B23FBB">
        <w:t>Jeremenkova 103/23</w:t>
      </w:r>
    </w:p>
    <w:p w14:paraId="3C337188" w14:textId="77777777" w:rsidR="00EC613E" w:rsidRPr="00B23FBB" w:rsidRDefault="00EC613E" w:rsidP="00EC613E">
      <w:pPr>
        <w:pStyle w:val="Textbezslovn"/>
        <w:spacing w:after="0"/>
      </w:pPr>
      <w:r w:rsidRPr="00B23FBB">
        <w:t>779 00 Olomouc</w:t>
      </w:r>
    </w:p>
    <w:p w14:paraId="1C9735E4" w14:textId="77777777" w:rsidR="00EC613E" w:rsidRPr="00B23FBB" w:rsidRDefault="00EC613E" w:rsidP="00EC613E">
      <w:pPr>
        <w:pStyle w:val="Textbezslovn"/>
        <w:spacing w:after="0"/>
      </w:pPr>
      <w:r w:rsidRPr="00B23FBB">
        <w:t>kontaktní osoba: p. Jarmila Strnadová, tel.: 972 742 396, mobil: 725 039 782</w:t>
      </w:r>
    </w:p>
    <w:p w14:paraId="6FFB2A3E" w14:textId="77777777" w:rsidR="00EC613E" w:rsidRPr="00B23FBB" w:rsidRDefault="00EC613E" w:rsidP="00EC613E">
      <w:pPr>
        <w:pStyle w:val="Textbezslovn"/>
        <w:spacing w:after="0"/>
      </w:pPr>
      <w:r w:rsidRPr="00B23FBB">
        <w:t>e-mail: typdok@tudc.cz</w:t>
      </w:r>
    </w:p>
    <w:p w14:paraId="11907221" w14:textId="77777777" w:rsidR="00EC613E" w:rsidRPr="00AB59D3" w:rsidRDefault="00EC613E" w:rsidP="00EC613E">
      <w:pPr>
        <w:pStyle w:val="Textbezslovn"/>
      </w:pPr>
      <w:r w:rsidRPr="00B23FBB">
        <w:rPr>
          <w:color w:val="000000"/>
        </w:rPr>
        <w:t xml:space="preserve">www: </w:t>
      </w:r>
      <w:hyperlink r:id="rId10" w:history="1">
        <w:r w:rsidRPr="00B23FBB">
          <w:rPr>
            <w:rStyle w:val="Hypertextovodkaz"/>
            <w:color w:val="000000"/>
          </w:rPr>
          <w:t>www.tudc.cz</w:t>
        </w:r>
      </w:hyperlink>
      <w:r w:rsidRPr="00B23FBB">
        <w:rPr>
          <w:color w:val="000000"/>
        </w:rPr>
        <w:t xml:space="preserve"> nebo </w:t>
      </w:r>
      <w:r w:rsidR="002F3588" w:rsidRPr="00B23FBB">
        <w:rPr>
          <w:noProof/>
          <w:u w:val="single"/>
        </w:rPr>
        <w:t>www.spravazeleznic.cz</w:t>
      </w:r>
      <w:r w:rsidRPr="00B23FBB">
        <w:t xml:space="preserve"> v sekci „O nás / Vnitřní předpisy / odkaz Dokumenty a předpisy“</w:t>
      </w:r>
      <w:bookmarkEnd w:id="4"/>
      <w:bookmarkEnd w:id="5"/>
      <w:bookmarkEnd w:id="6"/>
      <w:bookmarkEnd w:id="7"/>
      <w:bookmarkEnd w:id="8"/>
    </w:p>
    <w:sectPr w:rsidR="00EC613E" w:rsidRPr="00AB59D3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70777" w14:textId="77777777" w:rsidR="009F2794" w:rsidRDefault="009F2794" w:rsidP="00962258">
      <w:pPr>
        <w:spacing w:after="0" w:line="240" w:lineRule="auto"/>
      </w:pPr>
      <w:r>
        <w:separator/>
      </w:r>
    </w:p>
  </w:endnote>
  <w:endnote w:type="continuationSeparator" w:id="0">
    <w:p w14:paraId="05DDFAA1" w14:textId="77777777" w:rsidR="009F2794" w:rsidRDefault="009F27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D03B9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0FACF1D0" w:rsidR="00BD03B9" w:rsidRPr="0005497E" w:rsidRDefault="00BD03B9" w:rsidP="00614E71">
          <w:pPr>
            <w:pStyle w:val="Zpat"/>
            <w:rPr>
              <w:rStyle w:val="slostrnky"/>
            </w:rPr>
          </w:pPr>
          <w:r w:rsidRPr="0005497E">
            <w:rPr>
              <w:rStyle w:val="slostrnky"/>
            </w:rPr>
            <w:fldChar w:fldCharType="begin"/>
          </w:r>
          <w:r w:rsidRPr="0005497E">
            <w:rPr>
              <w:rStyle w:val="slostrnky"/>
            </w:rPr>
            <w:instrText>PAGE   \* MERGEFORMAT</w:instrText>
          </w:r>
          <w:r w:rsidRPr="0005497E">
            <w:rPr>
              <w:rStyle w:val="slostrnky"/>
            </w:rPr>
            <w:fldChar w:fldCharType="separate"/>
          </w:r>
          <w:r w:rsidR="0030296B">
            <w:rPr>
              <w:rStyle w:val="slostrnky"/>
              <w:noProof/>
            </w:rPr>
            <w:t>8</w:t>
          </w:r>
          <w:r w:rsidRPr="0005497E">
            <w:rPr>
              <w:rStyle w:val="slostrnky"/>
            </w:rPr>
            <w:fldChar w:fldCharType="end"/>
          </w:r>
          <w:r w:rsidRPr="0005497E">
            <w:rPr>
              <w:rStyle w:val="slostrnky"/>
            </w:rPr>
            <w:t>/</w:t>
          </w:r>
          <w:r w:rsidRPr="0005497E">
            <w:rPr>
              <w:rStyle w:val="slostrnky"/>
            </w:rPr>
            <w:fldChar w:fldCharType="begin"/>
          </w:r>
          <w:r w:rsidRPr="0005497E">
            <w:rPr>
              <w:rStyle w:val="slostrnky"/>
            </w:rPr>
            <w:instrText xml:space="preserve"> NUMPAGES   \* MERGEFORMAT </w:instrText>
          </w:r>
          <w:r w:rsidRPr="0005497E">
            <w:rPr>
              <w:rStyle w:val="slostrnky"/>
            </w:rPr>
            <w:fldChar w:fldCharType="separate"/>
          </w:r>
          <w:r w:rsidR="0030296B">
            <w:rPr>
              <w:rStyle w:val="slostrnky"/>
              <w:noProof/>
            </w:rPr>
            <w:t>9</w:t>
          </w:r>
          <w:r w:rsidRPr="0005497E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49C5C22F" w:rsidR="00BD03B9" w:rsidRPr="0005497E" w:rsidRDefault="00E927F6" w:rsidP="003462EB">
          <w:pPr>
            <w:pStyle w:val="Zpatvlevo"/>
          </w:pPr>
          <w:fldSimple w:instr=" STYLEREF  _Název_akce  \* MERGEFORMAT ">
            <w:r w:rsidR="0030296B">
              <w:rPr>
                <w:noProof/>
              </w:rPr>
              <w:t>„Oprava mostů v úseku Polička - Borová u Poličky“</w:t>
            </w:r>
          </w:fldSimple>
        </w:p>
        <w:p w14:paraId="7835AEA2" w14:textId="77777777" w:rsidR="00BD03B9" w:rsidRPr="0005497E" w:rsidRDefault="00BD03B9" w:rsidP="003462EB">
          <w:pPr>
            <w:pStyle w:val="Zpatvlevo"/>
          </w:pPr>
          <w:r w:rsidRPr="0005497E">
            <w:t xml:space="preserve">Příloha č. 2 c) </w:t>
          </w:r>
        </w:p>
        <w:p w14:paraId="3E796A3F" w14:textId="77777777" w:rsidR="00BD03B9" w:rsidRPr="0005497E" w:rsidRDefault="00BD03B9" w:rsidP="00DF7BAA">
          <w:pPr>
            <w:pStyle w:val="Zpatvlevo"/>
          </w:pPr>
          <w:r w:rsidRPr="0005497E">
            <w:t xml:space="preserve">Zvláštní technické podmínky - Zhotovení stavby </w:t>
          </w:r>
        </w:p>
      </w:tc>
    </w:tr>
  </w:tbl>
  <w:p w14:paraId="08F34050" w14:textId="77777777" w:rsidR="00BD03B9" w:rsidRPr="00614E71" w:rsidRDefault="00BD03B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D03B9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313901F6" w:rsidR="00BD03B9" w:rsidRPr="006A10C4" w:rsidRDefault="00E927F6" w:rsidP="003B111D">
          <w:pPr>
            <w:pStyle w:val="Zpatvpravo"/>
          </w:pPr>
          <w:fldSimple w:instr=" STYLEREF  _Název_akce  \* MERGEFORMAT ">
            <w:r w:rsidR="0030296B">
              <w:rPr>
                <w:noProof/>
              </w:rPr>
              <w:t>„Oprava mostů v úseku Polička - Borová u Poličky“</w:t>
            </w:r>
          </w:fldSimple>
        </w:p>
        <w:p w14:paraId="7CEB6972" w14:textId="77777777" w:rsidR="00BD03B9" w:rsidRPr="006A10C4" w:rsidRDefault="00BD03B9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BD03B9" w:rsidRPr="006A10C4" w:rsidRDefault="00BD03B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3CF055D5" w:rsidR="00BD03B9" w:rsidRPr="006A10C4" w:rsidRDefault="00BD03B9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30296B">
            <w:rPr>
              <w:rStyle w:val="slostrnky"/>
              <w:noProof/>
            </w:rPr>
            <w:t>7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30296B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BD03B9" w:rsidRPr="00B8518B" w:rsidRDefault="00BD03B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BD03B9" w:rsidRPr="00B8518B" w:rsidRDefault="00BD03B9" w:rsidP="00460660">
    <w:pPr>
      <w:pStyle w:val="Zpat"/>
      <w:rPr>
        <w:sz w:val="2"/>
        <w:szCs w:val="2"/>
      </w:rPr>
    </w:pPr>
  </w:p>
  <w:p w14:paraId="669C1BF6" w14:textId="77777777" w:rsidR="00BD03B9" w:rsidRDefault="00BD03B9" w:rsidP="00054FC6">
    <w:pPr>
      <w:pStyle w:val="Zpat"/>
      <w:rPr>
        <w:rFonts w:cs="Calibri"/>
        <w:szCs w:val="12"/>
      </w:rPr>
    </w:pPr>
  </w:p>
  <w:p w14:paraId="0DE98CCE" w14:textId="77777777" w:rsidR="00BD03B9" w:rsidRPr="005D19D8" w:rsidRDefault="00BD03B9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D03B9" w:rsidRPr="00460660" w:rsidRDefault="00BD03B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BA935" w14:textId="77777777" w:rsidR="009F2794" w:rsidRDefault="009F2794" w:rsidP="00962258">
      <w:pPr>
        <w:spacing w:after="0" w:line="240" w:lineRule="auto"/>
      </w:pPr>
      <w:r>
        <w:separator/>
      </w:r>
    </w:p>
  </w:footnote>
  <w:footnote w:type="continuationSeparator" w:id="0">
    <w:p w14:paraId="0134EEF9" w14:textId="77777777" w:rsidR="009F2794" w:rsidRDefault="009F27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D03B9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D03B9" w:rsidRPr="006A10C4" w:rsidRDefault="00BD03B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D03B9" w:rsidRPr="006A10C4" w:rsidRDefault="00BD03B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D03B9" w:rsidRPr="006A10C4" w:rsidRDefault="00BD03B9" w:rsidP="006A10C4">
          <w:pPr>
            <w:pStyle w:val="Druhdokumentu"/>
            <w:spacing w:after="0"/>
          </w:pPr>
        </w:p>
      </w:tc>
    </w:tr>
  </w:tbl>
  <w:p w14:paraId="382CDF79" w14:textId="77777777" w:rsidR="00BD03B9" w:rsidRPr="00D6163D" w:rsidRDefault="00BD03B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D03B9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D03B9" w:rsidRPr="006A10C4" w:rsidRDefault="00BD03B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D03B9" w:rsidRPr="006A10C4" w:rsidRDefault="00BD03B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D03B9" w:rsidRPr="006A10C4" w:rsidRDefault="00BD03B9" w:rsidP="006A10C4">
          <w:pPr>
            <w:pStyle w:val="Druhdokumentu"/>
            <w:spacing w:after="0"/>
          </w:pPr>
        </w:p>
      </w:tc>
    </w:tr>
    <w:tr w:rsidR="00BD03B9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D03B9" w:rsidRPr="006A10C4" w:rsidRDefault="00BD03B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D03B9" w:rsidRPr="006A10C4" w:rsidRDefault="00BD03B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D03B9" w:rsidRPr="006A10C4" w:rsidRDefault="00BD03B9" w:rsidP="006A10C4">
          <w:pPr>
            <w:pStyle w:val="Druhdokumentu"/>
            <w:spacing w:after="0"/>
          </w:pPr>
        </w:p>
      </w:tc>
    </w:tr>
  </w:tbl>
  <w:p w14:paraId="0B83C19E" w14:textId="77777777" w:rsidR="00BD03B9" w:rsidRPr="00D6163D" w:rsidRDefault="00BD03B9" w:rsidP="00FC6389">
    <w:pPr>
      <w:pStyle w:val="Zhlav"/>
      <w:rPr>
        <w:sz w:val="8"/>
        <w:szCs w:val="8"/>
      </w:rPr>
    </w:pPr>
  </w:p>
  <w:p w14:paraId="58A78DC2" w14:textId="77777777" w:rsidR="00BD03B9" w:rsidRPr="00460660" w:rsidRDefault="00BD03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3998"/>
        </w:tabs>
        <w:ind w:left="3998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97E"/>
    <w:rsid w:val="00054FC6"/>
    <w:rsid w:val="00060A59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E4B16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2C52"/>
    <w:rsid w:val="001E678E"/>
    <w:rsid w:val="002007BA"/>
    <w:rsid w:val="002038C9"/>
    <w:rsid w:val="002071BB"/>
    <w:rsid w:val="00207DF5"/>
    <w:rsid w:val="002100E4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92155"/>
    <w:rsid w:val="002A3B57"/>
    <w:rsid w:val="002B6B58"/>
    <w:rsid w:val="002C0924"/>
    <w:rsid w:val="002C31BF"/>
    <w:rsid w:val="002D2102"/>
    <w:rsid w:val="002D5B86"/>
    <w:rsid w:val="002D7FD6"/>
    <w:rsid w:val="002E0B67"/>
    <w:rsid w:val="002E0CD7"/>
    <w:rsid w:val="002E0CFB"/>
    <w:rsid w:val="002E5C7B"/>
    <w:rsid w:val="002F3588"/>
    <w:rsid w:val="002F4333"/>
    <w:rsid w:val="002F50C1"/>
    <w:rsid w:val="0030296B"/>
    <w:rsid w:val="003036CD"/>
    <w:rsid w:val="00304DAF"/>
    <w:rsid w:val="00307207"/>
    <w:rsid w:val="00311165"/>
    <w:rsid w:val="003130A4"/>
    <w:rsid w:val="003229ED"/>
    <w:rsid w:val="003254A3"/>
    <w:rsid w:val="00327EEF"/>
    <w:rsid w:val="0033239F"/>
    <w:rsid w:val="00333C1B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3F186F"/>
    <w:rsid w:val="00401E4B"/>
    <w:rsid w:val="004078F3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C24C7"/>
    <w:rsid w:val="004C4399"/>
    <w:rsid w:val="004C787C"/>
    <w:rsid w:val="004D5431"/>
    <w:rsid w:val="004D7D8C"/>
    <w:rsid w:val="004E7A1F"/>
    <w:rsid w:val="004F4B9B"/>
    <w:rsid w:val="004F70CD"/>
    <w:rsid w:val="00500C8E"/>
    <w:rsid w:val="00503B49"/>
    <w:rsid w:val="0050666E"/>
    <w:rsid w:val="00511AB9"/>
    <w:rsid w:val="00516AF5"/>
    <w:rsid w:val="005172C5"/>
    <w:rsid w:val="00523BB5"/>
    <w:rsid w:val="00523EA7"/>
    <w:rsid w:val="0053097B"/>
    <w:rsid w:val="00531CB9"/>
    <w:rsid w:val="005403D3"/>
    <w:rsid w:val="005406EB"/>
    <w:rsid w:val="00544296"/>
    <w:rsid w:val="00545AD1"/>
    <w:rsid w:val="00553375"/>
    <w:rsid w:val="00555884"/>
    <w:rsid w:val="0057146C"/>
    <w:rsid w:val="005736B7"/>
    <w:rsid w:val="00575E5A"/>
    <w:rsid w:val="00576A07"/>
    <w:rsid w:val="00580245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30159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24A6"/>
    <w:rsid w:val="0077673A"/>
    <w:rsid w:val="00776C2B"/>
    <w:rsid w:val="007846E1"/>
    <w:rsid w:val="007847D6"/>
    <w:rsid w:val="0079028E"/>
    <w:rsid w:val="00797FAC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2B39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68A"/>
    <w:rsid w:val="00957F1F"/>
    <w:rsid w:val="00962258"/>
    <w:rsid w:val="009678B7"/>
    <w:rsid w:val="0097239D"/>
    <w:rsid w:val="00980B51"/>
    <w:rsid w:val="00991F5F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C64B6"/>
    <w:rsid w:val="009D0C7B"/>
    <w:rsid w:val="009D2FC5"/>
    <w:rsid w:val="009D458C"/>
    <w:rsid w:val="009D5183"/>
    <w:rsid w:val="009E07F4"/>
    <w:rsid w:val="009E09BE"/>
    <w:rsid w:val="009E0A06"/>
    <w:rsid w:val="009E3D46"/>
    <w:rsid w:val="009F25DD"/>
    <w:rsid w:val="009F2794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03B9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6198E"/>
    <w:rsid w:val="00C708EA"/>
    <w:rsid w:val="00C71821"/>
    <w:rsid w:val="00C73385"/>
    <w:rsid w:val="00C778A5"/>
    <w:rsid w:val="00C86957"/>
    <w:rsid w:val="00C9035C"/>
    <w:rsid w:val="00C90DBF"/>
    <w:rsid w:val="00C91B32"/>
    <w:rsid w:val="00C95162"/>
    <w:rsid w:val="00C96445"/>
    <w:rsid w:val="00CB63E4"/>
    <w:rsid w:val="00CB6A37"/>
    <w:rsid w:val="00CB7684"/>
    <w:rsid w:val="00CC4983"/>
    <w:rsid w:val="00CC7C8F"/>
    <w:rsid w:val="00CD1FC4"/>
    <w:rsid w:val="00CE2768"/>
    <w:rsid w:val="00CF1D0E"/>
    <w:rsid w:val="00D034A0"/>
    <w:rsid w:val="00D038A7"/>
    <w:rsid w:val="00D0732C"/>
    <w:rsid w:val="00D0759B"/>
    <w:rsid w:val="00D178B4"/>
    <w:rsid w:val="00D21061"/>
    <w:rsid w:val="00D322B7"/>
    <w:rsid w:val="00D4108E"/>
    <w:rsid w:val="00D4439B"/>
    <w:rsid w:val="00D46B30"/>
    <w:rsid w:val="00D521D0"/>
    <w:rsid w:val="00D56FCA"/>
    <w:rsid w:val="00D6163D"/>
    <w:rsid w:val="00D677E2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140A"/>
    <w:rsid w:val="00E44045"/>
    <w:rsid w:val="00E618C4"/>
    <w:rsid w:val="00E6572E"/>
    <w:rsid w:val="00E7218A"/>
    <w:rsid w:val="00E73A06"/>
    <w:rsid w:val="00E84C3A"/>
    <w:rsid w:val="00E878EE"/>
    <w:rsid w:val="00E927F6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tabs>
        <w:tab w:val="clear" w:pos="3998"/>
        <w:tab w:val="num" w:pos="737"/>
      </w:tabs>
      <w:spacing w:before="200"/>
      <w:ind w:left="737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">
    <w:name w:val="Nevyřešená zmínka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157</TotalTime>
  <Pages>9</Pages>
  <Words>3186</Words>
  <Characters>18799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21942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32</cp:revision>
  <cp:lastPrinted>2019-03-07T15:42:00Z</cp:lastPrinted>
  <dcterms:created xsi:type="dcterms:W3CDTF">2021-01-26T12:32:00Z</dcterms:created>
  <dcterms:modified xsi:type="dcterms:W3CDTF">2021-02-17T11:07:00Z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