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OCHeading"/>
        <w:spacing w:before="480" w:after="0"/>
        <w:jc w:val="center"/>
        <w:rPr/>
      </w:pPr>
      <w:bookmarkStart w:id="0" w:name="_Toc473626516"/>
      <w:r>
        <w:rPr/>
        <w:t>Technická zpráva</w:t>
      </w:r>
      <w:bookmarkEnd w:id="0"/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120" w:after="0"/>
        <w:rPr>
          <w:szCs w:val="24"/>
        </w:rPr>
      </w:pPr>
      <w:r>
        <w:rPr>
          <w:szCs w:val="24"/>
        </w:rPr>
        <w:t>Akce:</w:t>
        <w:tab/>
        <w:tab/>
        <w:tab/>
        <w:tab/>
        <w:t>Infocentrum Správy železnic</w:t>
      </w:r>
    </w:p>
    <w:p>
      <w:pPr>
        <w:pStyle w:val="Normal"/>
        <w:spacing w:before="120" w:after="0"/>
        <w:rPr>
          <w:szCs w:val="24"/>
        </w:rPr>
      </w:pPr>
      <w:r>
        <w:rPr>
          <w:szCs w:val="24"/>
        </w:rPr>
        <w:tab/>
      </w:r>
    </w:p>
    <w:p>
      <w:pPr>
        <w:pStyle w:val="Normal"/>
        <w:spacing w:before="120" w:after="0"/>
        <w:rPr>
          <w:szCs w:val="24"/>
        </w:rPr>
      </w:pPr>
      <w:r>
        <w:rPr>
          <w:szCs w:val="24"/>
        </w:rPr>
        <w:t>Stupeň projektu:</w:t>
        <w:tab/>
        <w:tab/>
        <w:t>DRS</w:t>
      </w:r>
    </w:p>
    <w:p>
      <w:pPr>
        <w:pStyle w:val="Normal"/>
        <w:spacing w:before="120" w:after="0"/>
        <w:rPr>
          <w:szCs w:val="24"/>
        </w:rPr>
      </w:pPr>
      <w:r>
        <w:rPr>
          <w:szCs w:val="24"/>
        </w:rPr>
      </w:r>
    </w:p>
    <w:p>
      <w:pPr>
        <w:pStyle w:val="Normal"/>
        <w:spacing w:before="120" w:after="0"/>
        <w:rPr>
          <w:szCs w:val="24"/>
        </w:rPr>
      </w:pPr>
      <w:r>
        <w:rPr>
          <w:szCs w:val="24"/>
        </w:rPr>
        <w:t>Část dokumentace:</w:t>
        <w:tab/>
        <w:tab/>
        <w:t>Vzduchotechnika, vytápění, chlazení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Investor:    </w:t>
        <w:tab/>
        <w:tab/>
        <w:tab/>
        <w:t>Správa železnic</w:t>
      </w:r>
    </w:p>
    <w:p>
      <w:pPr>
        <w:pStyle w:val="Normal"/>
        <w:rPr/>
      </w:pPr>
      <w:r>
        <w:rPr/>
        <w:tab/>
        <w:tab/>
        <w:tab/>
        <w:tab/>
        <w:t>Dlážděná 1003/7</w:t>
      </w:r>
    </w:p>
    <w:p>
      <w:pPr>
        <w:pStyle w:val="Normal"/>
        <w:rPr/>
      </w:pPr>
      <w:r>
        <w:rPr/>
        <w:tab/>
        <w:tab/>
        <w:tab/>
        <w:tab/>
        <w:t>110 00 Praha</w:t>
        <w:tab/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Generální projektant:</w:t>
        <w:tab/>
        <w:tab/>
        <w:t>monom works s.r.o</w:t>
      </w:r>
    </w:p>
    <w:p>
      <w:pPr>
        <w:pStyle w:val="Normal"/>
        <w:rPr/>
      </w:pPr>
      <w:r>
        <w:rPr/>
        <w:tab/>
        <w:tab/>
        <w:tab/>
        <w:tab/>
        <w:t xml:space="preserve">U Průhonu 26 </w:t>
      </w:r>
    </w:p>
    <w:p>
      <w:pPr>
        <w:pStyle w:val="Normal"/>
        <w:rPr/>
      </w:pPr>
      <w:r>
        <w:rPr/>
        <w:tab/>
        <w:tab/>
        <w:tab/>
        <w:tab/>
        <w:t>170 00 Praha 7</w:t>
      </w:r>
    </w:p>
    <w:p>
      <w:pPr>
        <w:pStyle w:val="Normal"/>
        <w:rPr/>
      </w:pPr>
      <w:r>
        <w:rPr/>
        <w:tab/>
        <w:tab/>
        <w:tab/>
      </w:r>
    </w:p>
    <w:p>
      <w:pPr>
        <w:pStyle w:val="Normal"/>
        <w:rPr>
          <w:b/>
          <w:b/>
        </w:rPr>
      </w:pPr>
      <w:r>
        <w:rPr/>
        <w:t>Projektant části:</w:t>
      </w:r>
      <w:r>
        <w:rPr>
          <w:b/>
        </w:rPr>
        <w:tab/>
        <w:tab/>
      </w:r>
      <w:r>
        <w:rPr/>
        <w:t xml:space="preserve">TZB Consult Prague s.r.o </w:t>
      </w:r>
    </w:p>
    <w:p>
      <w:pPr>
        <w:pStyle w:val="Normal"/>
        <w:ind w:left="2124" w:firstLine="708"/>
        <w:rPr/>
      </w:pPr>
      <w:r>
        <w:rPr/>
        <w:t>Jaroslava Seiferta 399</w:t>
      </w:r>
    </w:p>
    <w:p>
      <w:pPr>
        <w:pStyle w:val="Normal"/>
        <w:ind w:left="2124" w:firstLine="708"/>
        <w:rPr/>
      </w:pPr>
      <w:r>
        <w:rPr/>
        <w:t>250 65 Líbeznice</w:t>
      </w:r>
    </w:p>
    <w:p>
      <w:pPr>
        <w:pStyle w:val="Normal"/>
        <w:ind w:left="2124" w:firstLine="708"/>
        <w:rPr/>
      </w:pPr>
      <w:r>
        <w:rPr/>
      </w:r>
    </w:p>
    <w:p>
      <w:pPr>
        <w:pStyle w:val="Normal"/>
        <w:rPr/>
      </w:pPr>
      <w:r>
        <w:rPr/>
        <w:t>Odpovědný projektant:</w:t>
        <w:tab/>
        <w:t>Ing. Ondřej Žídek</w:t>
      </w:r>
    </w:p>
    <w:p>
      <w:pPr>
        <w:pStyle w:val="Normal"/>
        <w:ind w:left="2124" w:firstLine="708"/>
        <w:rPr/>
      </w:pPr>
      <w:r>
        <w:rPr/>
        <w:t xml:space="preserve">ČKAIT 0012065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Vypracoval:</w:t>
        <w:tab/>
        <w:tab/>
        <w:tab/>
        <w:t>Ing. Václav Heis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zakázka číslo:</w:t>
        <w:tab/>
        <w:tab/>
        <w:tab/>
        <w:t>0024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datum:</w:t>
        <w:tab/>
        <w:tab/>
        <w:tab/>
        <w:tab/>
        <w:t>09/2020</w:t>
      </w:r>
      <w:r>
        <w:br w:type="page"/>
      </w:r>
    </w:p>
    <w:p>
      <w:pPr>
        <w:pStyle w:val="Normal"/>
        <w:rPr>
          <w:i w:val="false"/>
          <w:i w:val="false"/>
          <w:color w:val="auto"/>
          <w:sz w:val="32"/>
        </w:rPr>
      </w:pPr>
      <w:bookmarkStart w:id="1" w:name="_GoBack"/>
      <w:bookmarkEnd w:id="1"/>
      <w:r>
        <w:rPr>
          <w:rStyle w:val="IntenseEmphasis"/>
          <w:i w:val="false"/>
          <w:color w:val="auto"/>
          <w:sz w:val="32"/>
        </w:rPr>
        <w:t>Obsah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r>
            <w:fldChar w:fldCharType="begin"/>
          </w:r>
          <w:r>
            <w:rPr>
              <w:webHidden/>
              <w:rStyle w:val="Odkaznarejstk"/>
            </w:rPr>
            <w:instrText> TOC \z \o "1-3" \u \h</w:instrText>
          </w:r>
          <w:r>
            <w:rPr>
              <w:webHidden/>
              <w:rStyle w:val="Odkaznarejstk"/>
            </w:rPr>
            <w:fldChar w:fldCharType="separate"/>
          </w:r>
          <w:hyperlink w:anchor="_Toc48902457">
            <w:r>
              <w:rPr>
                <w:webHidden/>
                <w:rStyle w:val="Odkaznarejstk"/>
              </w:rPr>
              <w:t>1</w:t>
            </w:r>
            <w:r>
              <w:rPr>
                <w:rStyle w:val="Odkaznarejstk"/>
                <w:rFonts w:eastAsia="" w:cs="" w:cstheme="minorBidi" w:eastAsiaTheme="minorEastAsia"/>
                <w:sz w:val="22"/>
                <w:szCs w:val="22"/>
              </w:rPr>
              <w:tab/>
            </w:r>
            <w:r>
              <w:rPr>
                <w:rStyle w:val="Odkaznarejstk"/>
              </w:rPr>
              <w:t>Úvod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_Toc48902457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8902458">
            <w:r>
              <w:rPr>
                <w:webHidden/>
                <w:rStyle w:val="Odkaznarejstk"/>
              </w:rPr>
              <w:t>2</w:t>
            </w:r>
            <w:r>
              <w:rPr>
                <w:rStyle w:val="Odkaznarejstk"/>
                <w:rFonts w:eastAsia="" w:cs="" w:cstheme="minorBidi" w:eastAsiaTheme="minorEastAsia"/>
                <w:sz w:val="22"/>
                <w:szCs w:val="22"/>
              </w:rPr>
              <w:tab/>
            </w:r>
            <w:r>
              <w:rPr>
                <w:rStyle w:val="Odkaznarejstk"/>
              </w:rPr>
              <w:t>Podklady pro zpracování projektu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_Toc48902458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8902459">
            <w:r>
              <w:rPr>
                <w:webHidden/>
                <w:rStyle w:val="Odkaznarejstk"/>
              </w:rPr>
              <w:t>3</w:t>
            </w:r>
            <w:r>
              <w:rPr>
                <w:rStyle w:val="Odkaznarejstk"/>
                <w:rFonts w:eastAsia="" w:cs="" w:cstheme="minorBidi" w:eastAsiaTheme="minorEastAsia"/>
                <w:sz w:val="22"/>
                <w:szCs w:val="22"/>
              </w:rPr>
              <w:tab/>
            </w:r>
            <w:r>
              <w:rPr>
                <w:rStyle w:val="Odkaznarejstk"/>
              </w:rPr>
              <w:t>Tepelná bilance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_Toc48902459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8902460">
            <w:r>
              <w:rPr>
                <w:webHidden/>
                <w:rStyle w:val="Odkaznarejstk"/>
              </w:rPr>
              <w:t>4</w:t>
            </w:r>
            <w:r>
              <w:rPr>
                <w:rStyle w:val="Odkaznarejstk"/>
                <w:rFonts w:eastAsia="" w:cs="" w:cstheme="minorBidi" w:eastAsiaTheme="minorEastAsia"/>
                <w:sz w:val="22"/>
                <w:szCs w:val="22"/>
              </w:rPr>
              <w:tab/>
            </w:r>
            <w:r>
              <w:rPr>
                <w:rStyle w:val="Odkaznarejstk"/>
              </w:rPr>
              <w:t>Kapacity napojovacích bodů: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_Toc48902460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8902461">
            <w:r>
              <w:rPr>
                <w:webHidden/>
                <w:rStyle w:val="Odkaznarejstk"/>
              </w:rPr>
              <w:t>5</w:t>
            </w:r>
            <w:r>
              <w:rPr>
                <w:rStyle w:val="Odkaznarejstk"/>
                <w:rFonts w:eastAsia="" w:cs="" w:cstheme="minorBidi" w:eastAsiaTheme="minorEastAsia"/>
                <w:sz w:val="22"/>
                <w:szCs w:val="22"/>
              </w:rPr>
              <w:tab/>
            </w:r>
            <w:r>
              <w:rPr>
                <w:rStyle w:val="Odkaznarejstk"/>
              </w:rPr>
              <w:t>Technické řešení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_Toc48902461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8902462">
            <w:r>
              <w:rPr>
                <w:webHidden/>
                <w:rStyle w:val="Odkaznarejstk"/>
              </w:rPr>
              <w:t>6</w:t>
            </w:r>
            <w:r>
              <w:rPr>
                <w:rStyle w:val="Odkaznarejstk"/>
                <w:rFonts w:eastAsia="" w:cs="" w:cstheme="minorBidi" w:eastAsiaTheme="minorEastAsia"/>
                <w:sz w:val="22"/>
                <w:szCs w:val="22"/>
              </w:rPr>
              <w:tab/>
            </w:r>
            <w:r>
              <w:rPr>
                <w:rStyle w:val="Odkaznarejstk"/>
              </w:rPr>
              <w:t>Požadavky na související profese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_Toc48902462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8902463">
            <w:r>
              <w:rPr>
                <w:webHidden/>
                <w:rStyle w:val="Odkaznarejstk"/>
              </w:rPr>
              <w:t>7</w:t>
            </w:r>
            <w:r>
              <w:rPr>
                <w:rStyle w:val="Odkaznarejstk"/>
                <w:rFonts w:eastAsia="" w:cs="" w:cstheme="minorBidi" w:eastAsiaTheme="minorEastAsia"/>
                <w:sz w:val="22"/>
                <w:szCs w:val="22"/>
              </w:rPr>
              <w:tab/>
            </w:r>
            <w:r>
              <w:rPr>
                <w:rStyle w:val="Odkaznarejstk"/>
              </w:rPr>
              <w:t>Bezpečnost práce a ochrana zdraví při práci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_Toc48902463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8902464">
            <w:r>
              <w:rPr>
                <w:webHidden/>
                <w:rStyle w:val="Odkaznarejstk"/>
              </w:rPr>
              <w:t>8</w:t>
            </w:r>
            <w:r>
              <w:rPr>
                <w:rStyle w:val="Odkaznarejstk"/>
                <w:rFonts w:eastAsia="" w:cs="" w:cstheme="minorBidi" w:eastAsiaTheme="minorEastAsia"/>
                <w:sz w:val="22"/>
                <w:szCs w:val="22"/>
              </w:rPr>
              <w:tab/>
            </w:r>
            <w:r>
              <w:rPr>
                <w:rStyle w:val="Odkaznarejstk"/>
              </w:rPr>
              <w:t>Komplexní zkoušky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_Toc48902464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8902465">
            <w:r>
              <w:rPr>
                <w:webHidden/>
                <w:rStyle w:val="Odkaznarejstk"/>
              </w:rPr>
              <w:t>9</w:t>
            </w:r>
            <w:r>
              <w:rPr>
                <w:rStyle w:val="Odkaznarejstk"/>
                <w:rFonts w:eastAsia="" w:cs="" w:cstheme="minorBidi" w:eastAsiaTheme="minorEastAsia"/>
                <w:sz w:val="22"/>
                <w:szCs w:val="22"/>
              </w:rPr>
              <w:tab/>
            </w:r>
            <w:r>
              <w:rPr>
                <w:rStyle w:val="Odkaznarejstk"/>
              </w:rPr>
              <w:t>Závěr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_Toc48902465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rPr>
              <w:b/>
              <w:b/>
              <w:bCs/>
              <w:color w:val="FF0000"/>
            </w:rPr>
          </w:pPr>
          <w:r>
            <w:rPr>
              <w:b/>
              <w:bCs/>
              <w:color w:val="FF0000"/>
            </w:rPr>
          </w:r>
          <w:r>
            <w:rPr>
              <w:b/>
              <w:bCs/>
            </w:rPr>
            <w:fldChar w:fldCharType="end"/>
          </w:r>
        </w:p>
      </w:sdtContent>
    </w:sdt>
    <w:p>
      <w:pPr>
        <w:pStyle w:val="Nadpis1"/>
        <w:numPr>
          <w:ilvl w:val="0"/>
          <w:numId w:val="2"/>
        </w:numPr>
        <w:rPr/>
      </w:pPr>
      <w:bookmarkStart w:id="2" w:name="_Toc48902457"/>
      <w:bookmarkStart w:id="3" w:name="_Toc473626517"/>
      <w:bookmarkStart w:id="4" w:name="_Toc436830793"/>
      <w:r>
        <w:rPr/>
        <w:t>Úvod</w:t>
      </w:r>
      <w:bookmarkEnd w:id="2"/>
      <w:bookmarkEnd w:id="3"/>
      <w:bookmarkEnd w:id="4"/>
    </w:p>
    <w:p>
      <w:pPr>
        <w:pStyle w:val="Normal"/>
        <w:rPr/>
      </w:pPr>
      <w:r>
        <w:rPr>
          <w:szCs w:val="24"/>
        </w:rPr>
        <w:tab/>
        <w:t xml:space="preserve">Projekt řeší návrh větrání, vytápění a chlazení v prostoru malé jednotky Infocentra </w:t>
      </w:r>
      <w:r>
        <w:rPr>
          <w:szCs w:val="24"/>
        </w:rPr>
        <w:t xml:space="preserve">pro </w:t>
      </w:r>
      <w:r>
        <w:rPr>
          <w:szCs w:val="24"/>
        </w:rPr>
        <w:t>Správ</w:t>
      </w:r>
      <w:r>
        <w:rPr>
          <w:szCs w:val="24"/>
        </w:rPr>
        <w:t>u</w:t>
      </w:r>
      <w:r>
        <w:rPr>
          <w:szCs w:val="24"/>
        </w:rPr>
        <w:t xml:space="preserve"> železnic v objektu Železniční stanice Praha, hl. n. </w:t>
      </w:r>
      <w:r>
        <w:rPr>
          <w:szCs w:val="24"/>
        </w:rPr>
        <w:t>vlastněného státem s právem hospodaření Správa železnic - státní organizace.</w:t>
      </w:r>
    </w:p>
    <w:p>
      <w:pPr>
        <w:pStyle w:val="Tlotextu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Návrh respektuje stávající princip větrání – prostor infocentra je napojen na centrální vzduchotechniku budovy. Odvod i přívod vzduchu je realizován z prostoru užitné plochy, množství vzduchu se nemění. Veškeré rozvody VZT zůstávají stávající, dojde pouze k demontáži potrubí z rušené kuchyňky. Pro úpravu teploty vnitřního vzduchu budou instalovány dvě vnitřní jednotky FCU, dojde k výměně stávajících zařízení GEA GEKO. Tepelný komfort jednotky doplňují dvě dveřní vzduchové clony. Samočinné odvětrávací zařízení (SOZ) je ponecháno ve stávajícím stavu bez zásahu.</w:t>
      </w:r>
    </w:p>
    <w:p>
      <w:pPr>
        <w:pStyle w:val="Normal"/>
        <w:rPr>
          <w:szCs w:val="24"/>
        </w:rPr>
      </w:pPr>
      <w:r>
        <w:rPr>
          <w:sz w:val="24"/>
          <w:szCs w:val="24"/>
        </w:rPr>
      </w:r>
    </w:p>
    <w:p>
      <w:pPr>
        <w:pStyle w:val="Nadpis1"/>
        <w:numPr>
          <w:ilvl w:val="0"/>
          <w:numId w:val="2"/>
        </w:numPr>
        <w:rPr/>
      </w:pPr>
      <w:bookmarkStart w:id="5" w:name="_Toc48902458"/>
      <w:bookmarkStart w:id="6" w:name="_Toc473626518"/>
      <w:bookmarkStart w:id="7" w:name="_Toc436830794"/>
      <w:r>
        <w:rPr/>
        <w:t>Podklady pro zpracování projektu</w:t>
      </w:r>
      <w:bookmarkEnd w:id="5"/>
      <w:bookmarkEnd w:id="6"/>
      <w:bookmarkEnd w:id="7"/>
    </w:p>
    <w:p>
      <w:pPr>
        <w:pStyle w:val="Odraen"/>
        <w:numPr>
          <w:ilvl w:val="0"/>
          <w:numId w:val="3"/>
        </w:numPr>
        <w:rPr/>
      </w:pPr>
      <w:r>
        <w:rPr/>
        <w:t>projektová dokumentace stavební části</w:t>
      </w:r>
    </w:p>
    <w:p>
      <w:pPr>
        <w:pStyle w:val="Odraen"/>
        <w:numPr>
          <w:ilvl w:val="0"/>
          <w:numId w:val="3"/>
        </w:numPr>
        <w:rPr/>
      </w:pPr>
      <w:r>
        <w:rPr/>
        <w:t>platné vyhlášky a normy</w:t>
      </w:r>
    </w:p>
    <w:p>
      <w:pPr>
        <w:pStyle w:val="Odraen"/>
        <w:numPr>
          <w:ilvl w:val="0"/>
          <w:numId w:val="3"/>
        </w:numPr>
        <w:rPr/>
      </w:pPr>
      <w:r>
        <w:rPr/>
        <w:t>katalogové podklady výrobců</w:t>
      </w:r>
    </w:p>
    <w:p>
      <w:pPr>
        <w:pStyle w:val="Odraen"/>
        <w:numPr>
          <w:ilvl w:val="0"/>
          <w:numId w:val="3"/>
        </w:numPr>
        <w:rPr/>
      </w:pPr>
      <w:r>
        <w:rPr/>
        <w:t>konzultace se zadavatelem</w:t>
      </w:r>
    </w:p>
    <w:p>
      <w:pPr>
        <w:pStyle w:val="StylZkladntext10b"/>
        <w:rPr>
          <w:color w:val="FF0000"/>
        </w:rPr>
      </w:pPr>
      <w:r>
        <w:rPr>
          <w:color w:val="FF0000"/>
        </w:rPr>
      </w:r>
    </w:p>
    <w:p>
      <w:pPr>
        <w:pStyle w:val="Nadpis1"/>
        <w:numPr>
          <w:ilvl w:val="0"/>
          <w:numId w:val="2"/>
        </w:numPr>
        <w:rPr/>
      </w:pPr>
      <w:bookmarkStart w:id="8" w:name="_Toc48902459"/>
      <w:bookmarkStart w:id="9" w:name="_Toc515705035"/>
      <w:bookmarkStart w:id="10" w:name="_Toc477881115"/>
      <w:r>
        <w:rPr/>
        <w:t>Tepelná bilance</w:t>
      </w:r>
      <w:bookmarkEnd w:id="8"/>
      <w:bookmarkEnd w:id="9"/>
      <w:bookmarkEnd w:id="10"/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  <w:t>Podlahová plocha prodejny</w:t>
        <w:tab/>
        <w:tab/>
        <w:tab/>
        <w:t>60 m2</w:t>
      </w:r>
    </w:p>
    <w:p>
      <w:pPr>
        <w:pStyle w:val="Normal"/>
        <w:rPr/>
      </w:pPr>
      <w:r>
        <w:rPr/>
        <w:t xml:space="preserve">Návrhový počet osob </w:t>
        <w:tab/>
        <w:tab/>
        <w:tab/>
        <w:tab/>
        <w:t xml:space="preserve">6 </w:t>
      </w:r>
    </w:p>
    <w:p>
      <w:pPr>
        <w:pStyle w:val="Normal"/>
        <w:rPr/>
      </w:pPr>
      <w:r>
        <w:rPr/>
        <w:t>Nárazový provoz (konference)</w:t>
        <w:tab/>
        <w:tab/>
        <w:t>20</w:t>
      </w:r>
    </w:p>
    <w:p>
      <w:pPr>
        <w:pStyle w:val="Normal"/>
        <w:rPr/>
      </w:pPr>
      <w:r>
        <w:rPr/>
        <w:t>Návrhová dávka vzduchu</w:t>
        <w:tab/>
        <w:tab/>
        <w:tab/>
        <w:t>50 m3/h/os</w:t>
      </w:r>
    </w:p>
    <w:p>
      <w:pPr>
        <w:pStyle w:val="Normal"/>
        <w:ind w:left="3540" w:firstLine="708"/>
        <w:rPr/>
      </w:pPr>
      <w:r>
        <w:rPr/>
      </w:r>
    </w:p>
    <w:p>
      <w:pPr>
        <w:pStyle w:val="Normal"/>
        <w:rPr/>
      </w:pPr>
      <w:r>
        <w:rPr/>
        <w:t>Min. objem přiváděného vzduchu</w:t>
        <w:tab/>
        <w:tab/>
        <w:t>6 x 50 = 300 m3/h</w:t>
      </w:r>
    </w:p>
    <w:p>
      <w:pPr>
        <w:pStyle w:val="Normal"/>
        <w:rPr>
          <w:b/>
          <w:b/>
        </w:rPr>
      </w:pPr>
      <w:r>
        <w:rPr>
          <w:b/>
        </w:rPr>
        <w:t>Nárazový provoz</w:t>
        <w:tab/>
        <w:tab/>
        <w:tab/>
        <w:tab/>
        <w:t>20x50 = 1000 m3/h</w:t>
      </w:r>
    </w:p>
    <w:p>
      <w:pPr>
        <w:pStyle w:val="Normal"/>
        <w:tabs>
          <w:tab w:val="clear" w:pos="708"/>
          <w:tab w:val="left" w:pos="4253" w:leader="none"/>
        </w:tabs>
        <w:spacing w:lineRule="atLeast" w:line="240"/>
        <w:rPr>
          <w:b/>
          <w:b/>
        </w:rPr>
      </w:pPr>
      <w:r>
        <w:rPr>
          <w:b/>
        </w:rPr>
        <w:t>Tepelná ztráta obchodní jednotky:</w:t>
        <w:tab/>
        <w:t>Qt = 0,9 kW</w:t>
        <w:tab/>
        <w:tab/>
      </w:r>
    </w:p>
    <w:p>
      <w:pPr>
        <w:pStyle w:val="Normal"/>
        <w:tabs>
          <w:tab w:val="clear" w:pos="708"/>
          <w:tab w:val="left" w:pos="4253" w:leader="none"/>
        </w:tabs>
        <w:spacing w:lineRule="atLeast" w:line="240"/>
        <w:rPr>
          <w:b/>
          <w:b/>
        </w:rPr>
      </w:pPr>
      <w:r>
        <w:rPr>
          <w:b/>
        </w:rPr>
        <w:t>Tepelná zátěž obchodní jednotky:</w:t>
        <w:tab/>
        <w:t>Qch= 4,8 kW</w:t>
        <w:tab/>
        <w:tab/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</w:rPr>
      </w:pPr>
      <w:r>
        <w:rPr/>
        <w:t>Venkovní výpočtová teplota je uvažována -15 °C zima a +32°C léto. Vnitřní výpočtová teplota je stanovena na +20°C v zimě a +26°C v létě.</w:t>
      </w:r>
    </w:p>
    <w:p>
      <w:pPr>
        <w:pStyle w:val="Nadpis1"/>
        <w:numPr>
          <w:ilvl w:val="0"/>
          <w:numId w:val="2"/>
        </w:numPr>
        <w:rPr/>
      </w:pPr>
      <w:bookmarkStart w:id="11" w:name="_Toc48902460"/>
      <w:r>
        <w:rPr/>
        <w:t>Kapacity napojovacích bodů:</w:t>
      </w:r>
      <w:bookmarkEnd w:id="11"/>
    </w:p>
    <w:p>
      <w:pPr>
        <w:pStyle w:val="StylZkladntext10b"/>
        <w:rPr/>
      </w:pPr>
      <w:r>
        <w:rPr/>
        <w:t>Množství vzduchu</w:t>
        <w:tab/>
        <w:t>Vp = Vo = 1165 m3/h</w:t>
      </w:r>
    </w:p>
    <w:p>
      <w:pPr>
        <w:pStyle w:val="StylZkladntext10b"/>
        <w:rPr/>
      </w:pPr>
      <w:r>
        <w:rPr/>
        <w:t>Topný výkon</w:t>
        <w:tab/>
        <w:tab/>
        <w:t>Qt = 1,5 kW (70/60 °C)</w:t>
      </w:r>
    </w:p>
    <w:p>
      <w:pPr>
        <w:pStyle w:val="StylZkladntext10b"/>
        <w:rPr/>
      </w:pPr>
      <w:r>
        <w:rPr/>
        <w:t>Chladicí výkon</w:t>
        <w:tab/>
        <w:tab/>
        <w:t>Qch = 7,5 kW (6/12 °C)</w:t>
      </w:r>
    </w:p>
    <w:p>
      <w:pPr>
        <w:pStyle w:val="StylZkladntext10b"/>
        <w:rPr/>
      </w:pPr>
      <w:r>
        <w:rPr/>
      </w:r>
    </w:p>
    <w:p>
      <w:pPr>
        <w:pStyle w:val="Nadpis1"/>
        <w:numPr>
          <w:ilvl w:val="0"/>
          <w:numId w:val="2"/>
        </w:numPr>
        <w:rPr/>
      </w:pPr>
      <w:bookmarkStart w:id="12" w:name="_Toc48902461"/>
      <w:r>
        <w:rPr/>
        <w:t>Technické řešení</w:t>
      </w:r>
      <w:bookmarkEnd w:id="12"/>
    </w:p>
    <w:p>
      <w:pPr>
        <w:pStyle w:val="Normal"/>
        <w:ind w:firstLine="574"/>
        <w:rPr>
          <w:b/>
          <w:b/>
        </w:rPr>
      </w:pPr>
      <w:r>
        <w:rPr>
          <w:b/>
        </w:rPr>
        <w:t>VZT</w:t>
      </w:r>
    </w:p>
    <w:p>
      <w:pPr>
        <w:pStyle w:val="Normal"/>
        <w:rPr>
          <w:iCs/>
        </w:rPr>
      </w:pPr>
      <w:r>
        <w:rPr>
          <w:szCs w:val="24"/>
        </w:rPr>
        <w:t xml:space="preserve">Návrh větrání respektuje stávající princip větrání – prostor infocentra je napojen na centrální vzduchotechniku budovy. Odvod i přívod vzduchu je realizován z prostoru užitné plochy. </w:t>
      </w:r>
      <w:r>
        <w:rPr/>
        <w:t>Pro větrání prostoru je navrženo množství větracího vzduchu 1000 m3/h.</w:t>
      </w:r>
      <w:r>
        <w:rPr>
          <w:iCs/>
        </w:rPr>
        <w:t xml:space="preserve"> V rámci stavebních úprav nebude zasahováno do stávajících rozvodů, rozvody budou pouze vyčištěny a bude měřením ověřena kapacita napojovacích bodů. Dle dokumentace centra je pro plochu vyhrazeno množství vzduchu 1165 m3/h, což je pro navrhovaný počet osob dostačující.</w:t>
      </w:r>
    </w:p>
    <w:p>
      <w:pPr>
        <w:pStyle w:val="Normal"/>
        <w:ind w:firstLine="574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>
          <w:b/>
          <w:b/>
        </w:rPr>
      </w:pPr>
      <w:r>
        <w:rPr>
          <w:b/>
        </w:rPr>
        <w:t xml:space="preserve">Všechny rozvody a zařízení budou nově opatřeny černým nátěrem. </w:t>
      </w:r>
    </w:p>
    <w:p>
      <w:pPr>
        <w:pStyle w:val="Normal"/>
        <w:rPr>
          <w:b/>
          <w:b/>
          <w:color w:val="FF0000"/>
          <w:szCs w:val="24"/>
        </w:rPr>
      </w:pPr>
      <w:r>
        <w:rPr>
          <w:b/>
          <w:color w:val="FF0000"/>
          <w:szCs w:val="24"/>
        </w:rPr>
      </w:r>
    </w:p>
    <w:p>
      <w:pPr>
        <w:pStyle w:val="Normal"/>
        <w:ind w:firstLine="576"/>
        <w:rPr>
          <w:b/>
          <w:b/>
        </w:rPr>
      </w:pPr>
      <w:r>
        <w:rPr>
          <w:b/>
        </w:rPr>
        <w:t>CHL/VYT</w:t>
      </w:r>
    </w:p>
    <w:p>
      <w:pPr>
        <w:pStyle w:val="Normal"/>
        <w:rPr/>
      </w:pPr>
      <w:r>
        <w:rPr/>
        <w:t xml:space="preserve">Z důvodu dostatečného krytí tepelné zátěže a možnosti komfortního regulováni teploty v prostoru obchodní jednotky jsou v současnosti instalovány dvě podstropní klimatizační jednotky GEA GEKO GF42.UWW4 o chladícím výkonu 3,6 kW a topném výkonu 0,6 kW, upravující cirkulační vzduch v prostoru. Obě jednotky jsou napojeny na centrální rozvody tepla a chladu budovy.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V rámci stavebních úprav budou vyměněny obě jednotky za kvalitativně shodné jednotky a budou vyměněny připojovací a regulační armatury. Dále dojde k přetrasování potrubí topné a chladicí vody. Napojovací bod zůstává bez změny, kapacity topné a chladicí vody jsou dostačující. Návrh regulace FCU předpokládá společné ovládání obou jednotek prostorovým přístrojem, umístěným na stěně infocentra. Veškeré rozvody budou z měděného potrubí, trubky budou vedeny pod stropem případně v nábytku. Dimenze potrubí je patrná z výkresové dokumentace. Veškeré potrubí bude tepelně izolováno. </w:t>
      </w:r>
    </w:p>
    <w:p>
      <w:pPr>
        <w:pStyle w:val="Normal"/>
        <w:ind w:firstLine="576"/>
        <w:rPr/>
      </w:pPr>
      <w:r>
        <w:rPr/>
      </w:r>
    </w:p>
    <w:p>
      <w:pPr>
        <w:pStyle w:val="Normal"/>
        <w:rPr/>
      </w:pPr>
      <w:r>
        <w:rPr/>
        <w:t>Tepelný komfort infocentra doplňují dvě dveřní vzduchové clony (VZC-02-B-150-V-SM) o topném výkonu 1,4 kW, tyto clony zůstávají bez úpravy, budou pouze dopojeny na přetrasovaný rozvod topné vody.</w:t>
      </w:r>
    </w:p>
    <w:p>
      <w:pPr>
        <w:pStyle w:val="Normal"/>
        <w:ind w:firstLine="576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 xml:space="preserve">Všechny rozvody a zařízení budou nově opatřeny černým nátěrem. </w:t>
      </w:r>
    </w:p>
    <w:p>
      <w:pPr>
        <w:pStyle w:val="Normal"/>
        <w:ind w:firstLine="576"/>
        <w:rPr/>
      </w:pPr>
      <w:r>
        <w:rPr/>
      </w:r>
    </w:p>
    <w:p>
      <w:pPr>
        <w:pStyle w:val="Normal"/>
        <w:ind w:firstLine="576"/>
        <w:rPr/>
      </w:pPr>
      <w:r>
        <w:rPr/>
        <w:t>Parametry jednotky GEA GEKO GF42.UWW4:</w:t>
      </w:r>
    </w:p>
    <w:p>
      <w:pPr>
        <w:pStyle w:val="Normal"/>
        <w:ind w:firstLine="576"/>
        <w:rPr/>
      </w:pPr>
      <w:r>
        <w:rPr/>
        <w:t>Chladicí výkon: 3,6 kW</w:t>
      </w:r>
    </w:p>
    <w:p>
      <w:pPr>
        <w:pStyle w:val="Normal"/>
        <w:ind w:firstLine="576"/>
        <w:rPr/>
      </w:pPr>
      <w:r>
        <w:rPr/>
        <w:t>Topný výkon: 0,6 kW</w:t>
      </w:r>
    </w:p>
    <w:p>
      <w:pPr>
        <w:pStyle w:val="Normal"/>
        <w:ind w:firstLine="576"/>
        <w:rPr/>
      </w:pPr>
      <w:r>
        <w:rPr/>
        <w:t>Příkon (nom/max) : 3,6 kW</w:t>
      </w:r>
    </w:p>
    <w:p>
      <w:pPr>
        <w:pStyle w:val="Normal"/>
        <w:ind w:firstLine="576"/>
        <w:rPr/>
      </w:pPr>
      <w:r>
        <w:rPr/>
        <w:t xml:space="preserve">Rozměry (š x v x d): 595 x 225 x 948 mm </w:t>
      </w:r>
    </w:p>
    <w:p>
      <w:pPr>
        <w:pStyle w:val="Normal"/>
        <w:ind w:firstLine="576"/>
        <w:rPr/>
      </w:pPr>
      <w:r>
        <w:rPr/>
      </w:r>
    </w:p>
    <w:p>
      <w:pPr>
        <w:pStyle w:val="Normal"/>
        <w:ind w:firstLine="576"/>
        <w:rPr/>
      </w:pPr>
      <w:r>
        <w:rPr/>
      </w:r>
    </w:p>
    <w:p>
      <w:pPr>
        <w:pStyle w:val="Normal"/>
        <w:ind w:firstLine="576"/>
        <w:rPr/>
      </w:pPr>
      <w:r>
        <w:rPr/>
        <w:t>Parametry clony VZC-02-B-150-V-SM</w:t>
      </w:r>
    </w:p>
    <w:p>
      <w:pPr>
        <w:pStyle w:val="Normal"/>
        <w:ind w:firstLine="576"/>
        <w:rPr/>
      </w:pPr>
      <w:r>
        <w:rPr/>
        <w:t>Topný výkon: 1,4 kW</w:t>
      </w:r>
    </w:p>
    <w:p>
      <w:pPr>
        <w:pStyle w:val="Normal"/>
        <w:ind w:firstLine="576"/>
        <w:rPr/>
      </w:pPr>
      <w:r>
        <w:rPr/>
        <w:t>Průtok: 1650 m</w:t>
      </w:r>
      <w:r>
        <w:rPr>
          <w:vertAlign w:val="superscript"/>
        </w:rPr>
        <w:t>3</w:t>
      </w:r>
      <w:r>
        <w:rPr/>
        <w:t>/h</w:t>
      </w:r>
    </w:p>
    <w:p>
      <w:pPr>
        <w:pStyle w:val="Normal"/>
        <w:ind w:firstLine="576"/>
        <w:rPr/>
      </w:pPr>
      <w:r>
        <w:rPr/>
        <w:t>Příkon: 0,9 A</w:t>
      </w:r>
    </w:p>
    <w:p>
      <w:pPr>
        <w:pStyle w:val="Normal"/>
        <w:ind w:firstLine="576"/>
        <w:rPr/>
      </w:pPr>
      <w:r>
        <w:rPr/>
        <w:t>Rozměry (ŠxHxV): 1506x238x371 mm</w:t>
      </w:r>
    </w:p>
    <w:p>
      <w:pPr>
        <w:pStyle w:val="Normal"/>
        <w:ind w:firstLine="576"/>
        <w:rPr/>
      </w:pPr>
      <w:r>
        <w:rPr/>
        <w:t xml:space="preserve">Hmotnost: 28,4 kg </w:t>
      </w:r>
    </w:p>
    <w:p>
      <w:pPr>
        <w:pStyle w:val="Normal"/>
        <w:ind w:firstLine="576"/>
        <w:rPr/>
      </w:pPr>
      <w:r>
        <w:rPr/>
      </w:r>
    </w:p>
    <w:p>
      <w:pPr>
        <w:pStyle w:val="Normal"/>
        <w:ind w:firstLine="576"/>
        <w:rPr>
          <w:b/>
          <w:b/>
        </w:rPr>
      </w:pPr>
      <w:r>
        <w:rPr>
          <w:b/>
        </w:rPr>
        <w:t xml:space="preserve">SOZ </w:t>
      </w:r>
    </w:p>
    <w:p>
      <w:pPr>
        <w:pStyle w:val="Normal"/>
        <w:ind w:firstLine="576"/>
        <w:rPr/>
      </w:pPr>
      <w:r>
        <w:rPr/>
        <w:t>V prostoru bude ponecháno stávající potrubí pro odvod tepla a kouře 500 x 280 mm (s.v. 3095 mm) s množstvím odtahovaného vzduchu 2x 1200 m3/h. Přívod náhradního vzduchu do prostoru je zajištěn skrz vstupní otvor – volná plocha min 0,35m</w:t>
      </w:r>
      <w:r>
        <w:rPr>
          <w:vertAlign w:val="superscript"/>
        </w:rPr>
        <w:t>2</w:t>
      </w:r>
      <w:r>
        <w:rPr/>
        <w:t>.</w:t>
      </w:r>
    </w:p>
    <w:p>
      <w:pPr>
        <w:pStyle w:val="Normal"/>
        <w:ind w:firstLine="576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ind w:firstLine="576"/>
        <w:rPr>
          <w:b/>
          <w:b/>
        </w:rPr>
      </w:pPr>
      <w:r>
        <w:rPr>
          <w:b/>
        </w:rPr>
        <w:t>ZTI - Odvod kondenzátu</w:t>
      </w:r>
    </w:p>
    <w:p>
      <w:pPr>
        <w:pStyle w:val="Normal"/>
        <w:ind w:firstLine="708"/>
        <w:rPr/>
      </w:pPr>
      <w:r>
        <w:rPr/>
        <w:t xml:space="preserve">Nově navržené jednotky budou vybaveny čerpadlem kondenzátu. Potrubí kondenzátu bude nové a bude vedeno pod stropem ve spádu min. 2 %. 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adpis1"/>
        <w:numPr>
          <w:ilvl w:val="0"/>
          <w:numId w:val="2"/>
        </w:numPr>
        <w:rPr/>
      </w:pPr>
      <w:bookmarkStart w:id="13" w:name="_Toc48902462"/>
      <w:bookmarkStart w:id="14" w:name="_Toc460359085"/>
      <w:r>
        <w:rPr/>
        <w:t>Požadavky na související profese</w:t>
      </w:r>
      <w:bookmarkEnd w:id="13"/>
      <w:bookmarkEnd w:id="14"/>
    </w:p>
    <w:p>
      <w:pPr>
        <w:pStyle w:val="Normal"/>
        <w:rPr>
          <w:rFonts w:ascii="Calibri" w:hAnsi="Calibri" w:cs="Arial" w:asciiTheme="minorHAnsi" w:hAnsiTheme="minorHAnsi"/>
          <w:szCs w:val="24"/>
          <w:u w:val="single"/>
        </w:rPr>
      </w:pPr>
      <w:bookmarkStart w:id="15" w:name="_Toc121733090"/>
      <w:bookmarkStart w:id="16" w:name="_Toc1981668"/>
      <w:bookmarkStart w:id="17" w:name="_Toc412032341"/>
      <w:bookmarkStart w:id="18" w:name="_Toc167617668"/>
      <w:bookmarkStart w:id="19" w:name="_Toc163219889"/>
      <w:r>
        <w:rPr>
          <w:rFonts w:cs="Arial"/>
          <w:szCs w:val="24"/>
          <w:u w:val="single"/>
        </w:rPr>
        <w:t>Stavební část</w:t>
      </w:r>
    </w:p>
    <w:p>
      <w:pPr>
        <w:pStyle w:val="StylZkladntext10b"/>
        <w:numPr>
          <w:ilvl w:val="0"/>
          <w:numId w:val="3"/>
        </w:numPr>
        <w:tabs>
          <w:tab w:val="clear" w:pos="708"/>
          <w:tab w:val="left" w:pos="720" w:leader="none"/>
        </w:tabs>
        <w:ind w:left="720" w:hanging="360"/>
        <w:rPr>
          <w:rFonts w:ascii="Calibri" w:hAnsi="Calibri" w:cs="Arial" w:asciiTheme="minorHAnsi" w:hAnsiTheme="minorHAnsi"/>
          <w:szCs w:val="24"/>
        </w:rPr>
      </w:pPr>
      <w:r>
        <w:rPr>
          <w:rFonts w:cs="Arial"/>
          <w:szCs w:val="24"/>
        </w:rPr>
        <w:t>Drážky a prostupy pro potrubí</w:t>
      </w:r>
    </w:p>
    <w:p>
      <w:pPr>
        <w:pStyle w:val="StylZkladntext10b"/>
        <w:numPr>
          <w:ilvl w:val="0"/>
          <w:numId w:val="3"/>
        </w:numPr>
        <w:tabs>
          <w:tab w:val="clear" w:pos="708"/>
          <w:tab w:val="left" w:pos="720" w:leader="none"/>
        </w:tabs>
        <w:ind w:left="720" w:hanging="360"/>
        <w:rPr>
          <w:rFonts w:ascii="Calibri" w:hAnsi="Calibri" w:cs="Arial" w:asciiTheme="minorHAnsi" w:hAnsiTheme="minorHAnsi"/>
          <w:szCs w:val="24"/>
        </w:rPr>
      </w:pPr>
      <w:r>
        <w:rPr>
          <w:rFonts w:cs="Arial"/>
          <w:szCs w:val="24"/>
        </w:rPr>
        <w:t>osadit do stropních konstrukcí závěsy pro připevnění potrubí, bude využito objímek s tlumící vložkou</w:t>
      </w:r>
    </w:p>
    <w:p>
      <w:pPr>
        <w:pStyle w:val="StylZkladntext10b"/>
        <w:numPr>
          <w:ilvl w:val="0"/>
          <w:numId w:val="3"/>
        </w:numPr>
        <w:tabs>
          <w:tab w:val="clear" w:pos="708"/>
          <w:tab w:val="left" w:pos="720" w:leader="none"/>
        </w:tabs>
        <w:ind w:left="720" w:hanging="360"/>
        <w:rPr>
          <w:rFonts w:ascii="Calibri" w:hAnsi="Calibri" w:cs="Arial" w:asciiTheme="minorHAnsi" w:hAnsiTheme="minorHAnsi"/>
          <w:szCs w:val="24"/>
        </w:rPr>
      </w:pPr>
      <w:r>
        <w:rPr>
          <w:rFonts w:cs="Arial"/>
          <w:szCs w:val="24"/>
        </w:rPr>
        <w:t>Po montáži potrubí začistit všechny prostupy</w:t>
      </w:r>
    </w:p>
    <w:p>
      <w:pPr>
        <w:pStyle w:val="Normal"/>
        <w:rPr>
          <w:rFonts w:ascii="Calibri" w:hAnsi="Calibri" w:cs="Arial" w:asciiTheme="minorHAnsi" w:hAnsiTheme="minorHAnsi"/>
          <w:szCs w:val="24"/>
          <w:u w:val="single"/>
        </w:rPr>
      </w:pPr>
      <w:r>
        <w:rPr>
          <w:rFonts w:cs="Arial"/>
          <w:szCs w:val="24"/>
          <w:u w:val="single"/>
        </w:rPr>
        <w:t>Elektro</w:t>
      </w:r>
    </w:p>
    <w:p>
      <w:pPr>
        <w:pStyle w:val="StylZkladntext10b"/>
        <w:numPr>
          <w:ilvl w:val="0"/>
          <w:numId w:val="3"/>
        </w:numPr>
        <w:tabs>
          <w:tab w:val="clear" w:pos="708"/>
          <w:tab w:val="left" w:pos="720" w:leader="none"/>
        </w:tabs>
        <w:ind w:left="720" w:hanging="360"/>
        <w:rPr>
          <w:rFonts w:ascii="Calibri" w:hAnsi="Calibri" w:cs="Arial" w:asciiTheme="minorHAnsi" w:hAnsiTheme="minorHAnsi"/>
          <w:szCs w:val="24"/>
        </w:rPr>
      </w:pPr>
      <w:r>
        <w:rPr>
          <w:rFonts w:cs="Arial"/>
          <w:szCs w:val="24"/>
        </w:rPr>
        <w:t>Dopojit přesunuté jednotky FCU – 100 W, 1f, 230 V</w:t>
      </w:r>
    </w:p>
    <w:p>
      <w:pPr>
        <w:pStyle w:val="Normal"/>
        <w:rPr>
          <w:rFonts w:ascii="Calibri" w:hAnsi="Calibri" w:cs="Arial" w:asciiTheme="minorHAnsi" w:hAnsiTheme="minorHAnsi"/>
          <w:szCs w:val="24"/>
          <w:u w:val="single"/>
        </w:rPr>
      </w:pPr>
      <w:r>
        <w:rPr>
          <w:rFonts w:cs="Arial"/>
          <w:szCs w:val="24"/>
          <w:u w:val="single"/>
        </w:rPr>
        <w:t>Zhotovitel</w:t>
      </w:r>
    </w:p>
    <w:p>
      <w:pPr>
        <w:pStyle w:val="StylZkladntext10b"/>
        <w:numPr>
          <w:ilvl w:val="0"/>
          <w:numId w:val="3"/>
        </w:numPr>
        <w:tabs>
          <w:tab w:val="clear" w:pos="708"/>
          <w:tab w:val="left" w:pos="720" w:leader="none"/>
        </w:tabs>
        <w:ind w:left="720" w:hanging="360"/>
        <w:rPr>
          <w:rFonts w:ascii="Calibri" w:hAnsi="Calibri" w:cs="Arial" w:asciiTheme="minorHAnsi" w:hAnsiTheme="minorHAnsi"/>
          <w:szCs w:val="24"/>
        </w:rPr>
      </w:pPr>
      <w:r>
        <w:rPr>
          <w:rFonts w:cs="Arial"/>
          <w:szCs w:val="24"/>
        </w:rPr>
        <w:t>Uvedení do provozu CHL</w:t>
      </w:r>
    </w:p>
    <w:p>
      <w:pPr>
        <w:pStyle w:val="StylZkladntext10b"/>
        <w:numPr>
          <w:ilvl w:val="0"/>
          <w:numId w:val="3"/>
        </w:numPr>
        <w:tabs>
          <w:tab w:val="clear" w:pos="708"/>
          <w:tab w:val="left" w:pos="720" w:leader="none"/>
        </w:tabs>
        <w:ind w:left="720" w:hanging="360"/>
        <w:rPr>
          <w:rFonts w:ascii="Calibri" w:hAnsi="Calibri" w:cs="Arial" w:asciiTheme="minorHAnsi" w:hAnsiTheme="minorHAnsi"/>
          <w:szCs w:val="24"/>
        </w:rPr>
      </w:pPr>
      <w:r>
        <w:rPr>
          <w:rFonts w:cs="Arial"/>
          <w:szCs w:val="24"/>
        </w:rPr>
        <w:t>Topná a tlaková zkouška CHL</w:t>
      </w:r>
    </w:p>
    <w:p>
      <w:pPr>
        <w:pStyle w:val="StylZkladntext10b"/>
        <w:numPr>
          <w:ilvl w:val="0"/>
          <w:numId w:val="3"/>
        </w:numPr>
        <w:tabs>
          <w:tab w:val="clear" w:pos="708"/>
          <w:tab w:val="left" w:pos="720" w:leader="none"/>
        </w:tabs>
        <w:ind w:left="720" w:hanging="360"/>
        <w:rPr>
          <w:rFonts w:ascii="Calibri" w:hAnsi="Calibri" w:cs="Arial" w:asciiTheme="minorHAnsi" w:hAnsiTheme="minorHAnsi"/>
          <w:szCs w:val="24"/>
        </w:rPr>
      </w:pPr>
      <w:r>
        <w:rPr>
          <w:rFonts w:cs="Arial"/>
          <w:szCs w:val="24"/>
        </w:rPr>
        <w:t>Vyčištění rozvodů VZT</w:t>
      </w:r>
    </w:p>
    <w:p>
      <w:pPr>
        <w:pStyle w:val="StylZkladntext10b"/>
        <w:numPr>
          <w:ilvl w:val="0"/>
          <w:numId w:val="3"/>
        </w:numPr>
        <w:tabs>
          <w:tab w:val="clear" w:pos="708"/>
          <w:tab w:val="left" w:pos="720" w:leader="none"/>
        </w:tabs>
        <w:ind w:left="720" w:hanging="360"/>
        <w:rPr>
          <w:rFonts w:ascii="Calibri" w:hAnsi="Calibri" w:cs="Arial" w:asciiTheme="minorHAnsi" w:hAnsiTheme="minorHAnsi"/>
          <w:szCs w:val="24"/>
        </w:rPr>
      </w:pPr>
      <w:r>
        <w:rPr>
          <w:rFonts w:cs="Arial"/>
          <w:szCs w:val="24"/>
        </w:rPr>
        <w:t>Kontrola kapacity napojovacího bodu VZT (měření)</w:t>
      </w:r>
    </w:p>
    <w:p>
      <w:pPr>
        <w:pStyle w:val="StylZkladntext10b"/>
        <w:numPr>
          <w:ilvl w:val="0"/>
          <w:numId w:val="3"/>
        </w:numPr>
        <w:tabs>
          <w:tab w:val="clear" w:pos="708"/>
          <w:tab w:val="left" w:pos="720" w:leader="none"/>
        </w:tabs>
        <w:ind w:left="720" w:hanging="360"/>
        <w:rPr>
          <w:rFonts w:ascii="Calibri" w:hAnsi="Calibri" w:cs="Arial" w:asciiTheme="minorHAnsi" w:hAnsiTheme="minorHAnsi"/>
          <w:szCs w:val="24"/>
        </w:rPr>
      </w:pPr>
      <w:r>
        <w:rPr>
          <w:rFonts w:cs="Arial"/>
          <w:szCs w:val="24"/>
        </w:rPr>
        <w:t>Dokumentace skutečného provedení</w:t>
      </w:r>
    </w:p>
    <w:p>
      <w:pPr>
        <w:pStyle w:val="Nadpis1"/>
        <w:numPr>
          <w:ilvl w:val="0"/>
          <w:numId w:val="2"/>
        </w:numPr>
        <w:rPr/>
      </w:pPr>
      <w:bookmarkStart w:id="20" w:name="_Toc412032341"/>
      <w:bookmarkStart w:id="21" w:name="_Toc167617668"/>
      <w:bookmarkStart w:id="22" w:name="_Toc163219889"/>
      <w:bookmarkStart w:id="23" w:name="_Toc48902463"/>
      <w:bookmarkStart w:id="24" w:name="_Toc460359090"/>
      <w:r>
        <w:rPr/>
        <w:t>Bezpečnost práce a ochrana zdraví při práci</w:t>
      </w:r>
      <w:bookmarkEnd w:id="20"/>
      <w:bookmarkEnd w:id="21"/>
      <w:bookmarkEnd w:id="22"/>
      <w:bookmarkEnd w:id="23"/>
      <w:bookmarkEnd w:id="24"/>
    </w:p>
    <w:p>
      <w:pPr>
        <w:pStyle w:val="Normal"/>
        <w:rPr>
          <w:b/>
          <w:b/>
        </w:rPr>
      </w:pPr>
      <w:bookmarkStart w:id="25" w:name="_Toc460359091"/>
      <w:bookmarkStart w:id="26" w:name="_Toc412032342"/>
      <w:bookmarkStart w:id="27" w:name="_Toc167617669"/>
      <w:r>
        <w:rPr>
          <w:b/>
        </w:rPr>
        <w:t>Předpisy a normy</w:t>
      </w:r>
      <w:bookmarkEnd w:id="25"/>
      <w:bookmarkEnd w:id="26"/>
      <w:bookmarkEnd w:id="27"/>
    </w:p>
    <w:p>
      <w:pPr>
        <w:pStyle w:val="Normal"/>
        <w:rPr/>
      </w:pPr>
      <w:r>
        <w:rPr/>
        <w:t>Při montáži a provozu zařízení musí být respektovány platné právní předpisy, vyhlášky a normy ČSN k zajištění BOZP, které se týkají projektovaného zařízení.</w:t>
      </w:r>
    </w:p>
    <w:p>
      <w:pPr>
        <w:pStyle w:val="Odraen"/>
        <w:numPr>
          <w:ilvl w:val="0"/>
          <w:numId w:val="3"/>
        </w:numPr>
        <w:rPr/>
      </w:pPr>
      <w:r>
        <w:rPr/>
        <w:t xml:space="preserve">Zákon č. 262/2006 Zákoník práce </w:t>
      </w:r>
    </w:p>
    <w:p>
      <w:pPr>
        <w:pStyle w:val="Odraen"/>
        <w:numPr>
          <w:ilvl w:val="0"/>
          <w:numId w:val="3"/>
        </w:numPr>
        <w:rPr/>
      </w:pPr>
      <w:r>
        <w:rPr>
          <w:b/>
        </w:rPr>
        <w:t xml:space="preserve">Nařízení vlády č. 361/2007 Sb., </w:t>
      </w:r>
      <w:r>
        <w:rPr/>
        <w:t>kterým se stanoví podmínky ochrany zdraví při práci- ve znění pozdějších předpisů</w:t>
      </w:r>
    </w:p>
    <w:p>
      <w:pPr>
        <w:pStyle w:val="Odraen"/>
        <w:numPr>
          <w:ilvl w:val="0"/>
          <w:numId w:val="3"/>
        </w:numPr>
        <w:rPr>
          <w:b/>
          <w:b/>
        </w:rPr>
      </w:pPr>
      <w:r>
        <w:rPr>
          <w:b/>
        </w:rPr>
        <w:t>Nařízení vlády č. 406/2004 Sb.,</w:t>
      </w:r>
      <w:r>
        <w:rPr/>
        <w:t xml:space="preserve"> o bližších požadavcích na zajištění BOZP v prostředí s nebezpečím výbuchu</w:t>
      </w:r>
    </w:p>
    <w:p>
      <w:pPr>
        <w:pStyle w:val="Odraen"/>
        <w:numPr>
          <w:ilvl w:val="0"/>
          <w:numId w:val="3"/>
        </w:numPr>
        <w:rPr>
          <w:b/>
          <w:b/>
        </w:rPr>
      </w:pPr>
      <w:r>
        <w:rPr>
          <w:b/>
        </w:rPr>
        <w:t xml:space="preserve">Nařízení vlády č. 362/2005 Sb., </w:t>
      </w:r>
      <w:r>
        <w:rPr/>
        <w:t>o bližších požadavcích na bezpečnost a ochranu zdraví při práci na pracovištích s nebezpečím pádu z výšky nebo do hloubky</w:t>
      </w:r>
    </w:p>
    <w:p>
      <w:pPr>
        <w:pStyle w:val="Odraen"/>
        <w:numPr>
          <w:ilvl w:val="0"/>
          <w:numId w:val="3"/>
        </w:numPr>
        <w:rPr>
          <w:b/>
          <w:b/>
        </w:rPr>
      </w:pPr>
      <w:r>
        <w:rPr>
          <w:b/>
        </w:rPr>
        <w:t xml:space="preserve">Vyhláška 591/2006 Sb., </w:t>
      </w:r>
      <w:r>
        <w:rPr/>
        <w:t>o bližších minimálních požadavcích na BOZP na staveništích v platném znění</w:t>
      </w:r>
    </w:p>
    <w:p>
      <w:pPr>
        <w:pStyle w:val="Odraen"/>
        <w:numPr>
          <w:ilvl w:val="0"/>
          <w:numId w:val="3"/>
        </w:numPr>
        <w:rPr>
          <w:b/>
          <w:b/>
        </w:rPr>
      </w:pPr>
      <w:r>
        <w:rPr>
          <w:b/>
        </w:rPr>
        <w:t xml:space="preserve">Nařízení vlády č. 272/2011 Sb., </w:t>
      </w:r>
      <w:r>
        <w:rPr/>
        <w:t>o ochraně zdraví před nepříznivými účinky hluku a vibrací</w:t>
      </w:r>
    </w:p>
    <w:p>
      <w:pPr>
        <w:pStyle w:val="Odraen"/>
        <w:numPr>
          <w:ilvl w:val="0"/>
          <w:numId w:val="3"/>
        </w:numPr>
        <w:rPr>
          <w:b/>
          <w:b/>
        </w:rPr>
      </w:pPr>
      <w:r>
        <w:rPr>
          <w:b/>
        </w:rPr>
        <w:t xml:space="preserve">Zákon č. 22/1997 Sb., </w:t>
      </w:r>
      <w:r>
        <w:rPr/>
        <w:t>o technických požadavcích na výrobky a o změně a doplnění některých předpisů – ve znění pozdějších předpisů</w:t>
      </w:r>
    </w:p>
    <w:p>
      <w:pPr>
        <w:pStyle w:val="Odraen"/>
        <w:numPr>
          <w:ilvl w:val="0"/>
          <w:numId w:val="3"/>
        </w:numPr>
        <w:rPr>
          <w:b/>
          <w:b/>
        </w:rPr>
      </w:pPr>
      <w:r>
        <w:rPr>
          <w:b/>
        </w:rPr>
        <w:t xml:space="preserve">Zákon 183/2006 Sb., </w:t>
      </w:r>
      <w:r>
        <w:rPr/>
        <w:t>o územním plánování a stavebním řádu ve znění pozdějších předpisů</w:t>
      </w:r>
    </w:p>
    <w:p>
      <w:pPr>
        <w:pStyle w:val="Odraen"/>
        <w:numPr>
          <w:ilvl w:val="0"/>
          <w:numId w:val="3"/>
        </w:numPr>
        <w:rPr/>
      </w:pPr>
      <w:r>
        <w:rPr>
          <w:b/>
        </w:rPr>
        <w:t>Vyhláška ČÚBP č. 48/1982 Sb.,</w:t>
      </w:r>
      <w:r>
        <w:rPr/>
        <w:t xml:space="preserve"> kterou se stanoví základní požadavky k zajištění bezpečnosti práce a technických zařízení, v platném znění</w:t>
      </w:r>
    </w:p>
    <w:p>
      <w:pPr>
        <w:pStyle w:val="Odraen"/>
        <w:numPr>
          <w:ilvl w:val="0"/>
          <w:numId w:val="3"/>
        </w:numPr>
        <w:rPr/>
      </w:pPr>
      <w:r>
        <w:rPr/>
        <w:t>Předpisy k zajištění BOZP dodavatele</w:t>
      </w:r>
    </w:p>
    <w:p>
      <w:pPr>
        <w:pStyle w:val="Odraen"/>
        <w:numPr>
          <w:ilvl w:val="0"/>
          <w:numId w:val="3"/>
        </w:numPr>
        <w:rPr/>
      </w:pPr>
      <w:r>
        <w:rPr/>
        <w:t>Předpisy k zajištění BOP provozovatele</w:t>
      </w:r>
    </w:p>
    <w:p>
      <w:pPr>
        <w:pStyle w:val="Normal"/>
        <w:rPr/>
      </w:pPr>
      <w:r>
        <w:rPr/>
        <w:t xml:space="preserve">Výčet předpisů BOZP pro projektované zařízení není taxativní – jedná se o hlavní předpisy BOZP dotčeného oboru činnosti. Jejich seznam doplní o další související předpisy, vyhlášky a nařízení BOZP pro konkrétní činnosti dodavatel a provozovatel zařízení. 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bookmarkStart w:id="28" w:name="_Toc460359092"/>
      <w:bookmarkStart w:id="29" w:name="_Toc412032343"/>
      <w:bookmarkStart w:id="30" w:name="_Toc167617670"/>
      <w:r>
        <w:rPr>
          <w:b/>
        </w:rPr>
        <w:t>BOZP při montáži</w:t>
      </w:r>
      <w:bookmarkEnd w:id="28"/>
      <w:bookmarkEnd w:id="29"/>
      <w:bookmarkEnd w:id="30"/>
    </w:p>
    <w:p>
      <w:pPr>
        <w:pStyle w:val="Odraen"/>
        <w:numPr>
          <w:ilvl w:val="0"/>
          <w:numId w:val="3"/>
        </w:numPr>
        <w:rPr/>
      </w:pPr>
      <w:r>
        <w:rPr/>
        <w:t>Při montáži musí být dodržen technologický postup montáže zpracovaný dodavatelskou organizací, jedná se zejména o:</w:t>
      </w:r>
    </w:p>
    <w:p>
      <w:pPr>
        <w:pStyle w:val="Odraen"/>
        <w:numPr>
          <w:ilvl w:val="0"/>
          <w:numId w:val="3"/>
        </w:numPr>
        <w:rPr/>
      </w:pPr>
      <w:r>
        <w:rPr/>
        <w:t>používání vhodných montážních prostředků</w:t>
      </w:r>
    </w:p>
    <w:p>
      <w:pPr>
        <w:pStyle w:val="Odraen"/>
        <w:numPr>
          <w:ilvl w:val="0"/>
          <w:numId w:val="3"/>
        </w:numPr>
        <w:rPr/>
      </w:pPr>
      <w:r>
        <w:rPr/>
        <w:t>používání ochranných pracovních prostředků a vybavení</w:t>
      </w:r>
    </w:p>
    <w:p>
      <w:pPr>
        <w:pStyle w:val="Odraen"/>
        <w:numPr>
          <w:ilvl w:val="0"/>
          <w:numId w:val="3"/>
        </w:numPr>
        <w:rPr/>
      </w:pPr>
      <w:r>
        <w:rPr/>
        <w:t>montážní pracoviště musí být provedeno v souladu s projektovou dokumentací, vyklizeno a připraveno k montáži</w:t>
      </w:r>
    </w:p>
    <w:p>
      <w:pPr>
        <w:pStyle w:val="Odraen"/>
        <w:numPr>
          <w:ilvl w:val="0"/>
          <w:numId w:val="3"/>
        </w:numPr>
        <w:rPr/>
      </w:pPr>
      <w:r>
        <w:rPr/>
        <w:t>všechny vstupní otvory, umožňující pád předmětů nebo pracovníků, musí být opatřeny pevnou zábranou</w:t>
      </w:r>
    </w:p>
    <w:p>
      <w:pPr>
        <w:pStyle w:val="Odraen"/>
        <w:numPr>
          <w:ilvl w:val="0"/>
          <w:numId w:val="3"/>
        </w:numPr>
        <w:rPr/>
      </w:pPr>
      <w:r>
        <w:rPr/>
        <w:t>v montážním prostoru není přípustné provádět jiné činnosti bez souhlasu vedoucího montáže</w:t>
      </w:r>
    </w:p>
    <w:p>
      <w:pPr>
        <w:pStyle w:val="Normal"/>
        <w:rPr>
          <w:b/>
          <w:b/>
        </w:rPr>
      </w:pPr>
      <w:bookmarkStart w:id="31" w:name="_Toc460359093"/>
      <w:bookmarkStart w:id="32" w:name="_Toc412032344"/>
      <w:bookmarkStart w:id="33" w:name="_Toc167617671"/>
      <w:r>
        <w:rPr>
          <w:b/>
        </w:rPr>
        <w:t>BOZP při provozu</w:t>
      </w:r>
      <w:bookmarkEnd w:id="31"/>
      <w:bookmarkEnd w:id="32"/>
      <w:bookmarkEnd w:id="33"/>
    </w:p>
    <w:p>
      <w:pPr>
        <w:pStyle w:val="Odraen"/>
        <w:numPr>
          <w:ilvl w:val="0"/>
          <w:numId w:val="3"/>
        </w:numPr>
        <w:rPr/>
      </w:pPr>
      <w:r>
        <w:rPr/>
        <w:t>Při provozu vzduchotechnických zařízení musí být dodrženy požadavky vyplývající z provozního návodu, zpracovaného výrobcem, nebo dodavatelem zařízení.</w:t>
      </w:r>
    </w:p>
    <w:p>
      <w:pPr>
        <w:pStyle w:val="Odraen"/>
        <w:numPr>
          <w:ilvl w:val="0"/>
          <w:numId w:val="3"/>
        </w:numPr>
        <w:rPr/>
      </w:pPr>
      <w:r>
        <w:rPr/>
        <w:t>Pracovníci musí být vybaveni dle charakteru pracoviště předepsanými pracovními a ochrannými prostředky.</w:t>
      </w:r>
    </w:p>
    <w:p>
      <w:pPr>
        <w:pStyle w:val="Odraen"/>
        <w:numPr>
          <w:ilvl w:val="0"/>
          <w:numId w:val="3"/>
        </w:numPr>
        <w:rPr/>
      </w:pPr>
      <w:r>
        <w:rPr/>
        <w:t>Provozovat zařízení smějí pouze osoby k tomu určené a proškolené.</w:t>
      </w:r>
    </w:p>
    <w:p>
      <w:pPr>
        <w:pStyle w:val="Odraen"/>
        <w:numPr>
          <w:ilvl w:val="0"/>
          <w:numId w:val="3"/>
        </w:numPr>
        <w:rPr/>
      </w:pPr>
      <w:r>
        <w:rPr/>
        <w:t>Provozovatel zařízení vypracuje místní bezpečnostní předpisy pro užívání zařízení</w:t>
      </w:r>
    </w:p>
    <w:p>
      <w:pPr>
        <w:pStyle w:val="Nadpis1"/>
        <w:numPr>
          <w:ilvl w:val="0"/>
          <w:numId w:val="2"/>
        </w:numPr>
        <w:rPr/>
      </w:pPr>
      <w:bookmarkStart w:id="34" w:name="_Toc121733090"/>
      <w:bookmarkStart w:id="35" w:name="_Toc1981668"/>
      <w:bookmarkStart w:id="36" w:name="_Toc48902464"/>
      <w:bookmarkStart w:id="37" w:name="_Toc460359094"/>
      <w:bookmarkStart w:id="38" w:name="_Toc412032345"/>
      <w:bookmarkStart w:id="39" w:name="_Toc167617672"/>
      <w:r>
        <w:rPr/>
        <w:t>Komplexní zkoušky</w:t>
      </w:r>
      <w:bookmarkEnd w:id="34"/>
      <w:bookmarkEnd w:id="35"/>
      <w:bookmarkEnd w:id="36"/>
      <w:bookmarkEnd w:id="37"/>
      <w:bookmarkEnd w:id="38"/>
      <w:bookmarkEnd w:id="39"/>
    </w:p>
    <w:p>
      <w:pPr>
        <w:pStyle w:val="Normal"/>
        <w:rPr/>
      </w:pPr>
      <w:r>
        <w:rPr/>
        <w:t>Po skončení montáže bude provedeno komplexní vyzkoušení celého zařízení v rozsahu cca 48h, které prokáže kompletnost a funkčnost dodaného zařízení. Náplň a náklady na komplexní zkoušky uplatnit při nabídkovém řízení.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 xml:space="preserve">Příprava ke komplexním zkouškám </w:t>
      </w:r>
    </w:p>
    <w:p>
      <w:pPr>
        <w:pStyle w:val="Odraen"/>
        <w:numPr>
          <w:ilvl w:val="0"/>
          <w:numId w:val="3"/>
        </w:numPr>
        <w:rPr/>
      </w:pPr>
      <w:r>
        <w:rPr/>
        <w:t>Provede se kontrola jakosti a úplnosti dodávky, řádné připojení na el. síť, vč. kontroly</w:t>
      </w:r>
    </w:p>
    <w:p>
      <w:pPr>
        <w:pStyle w:val="Odraen"/>
        <w:numPr>
          <w:ilvl w:val="0"/>
          <w:numId w:val="3"/>
        </w:numPr>
        <w:rPr/>
      </w:pPr>
      <w:r>
        <w:rPr/>
        <w:t xml:space="preserve">Zajistit je třeba vyčištění všech vzduchových cest (kanálů a potrubí) od zbytků stavebních materiálů apod. </w:t>
      </w:r>
    </w:p>
    <w:p>
      <w:pPr>
        <w:pStyle w:val="Odraen"/>
        <w:numPr>
          <w:ilvl w:val="0"/>
          <w:numId w:val="3"/>
        </w:numPr>
        <w:rPr/>
      </w:pPr>
      <w:r>
        <w:rPr/>
        <w:t>Hrubé nastavení množství vzduchu na koncových prvcích</w:t>
      </w:r>
    </w:p>
    <w:p>
      <w:pPr>
        <w:pStyle w:val="Normal"/>
        <w:rPr>
          <w:b/>
          <w:b/>
        </w:rPr>
      </w:pPr>
      <w:r>
        <w:rPr>
          <w:b/>
        </w:rPr>
        <w:t>Komplexní zkoušky</w:t>
      </w:r>
    </w:p>
    <w:p>
      <w:pPr>
        <w:pStyle w:val="Odraen"/>
        <w:numPr>
          <w:ilvl w:val="0"/>
          <w:numId w:val="3"/>
        </w:numPr>
        <w:rPr/>
      </w:pPr>
      <w:r>
        <w:rPr/>
        <w:t>Vlastní KZ zahrnují uvedení zařízení do chodu na předem určenou dobu, kontrolu všech VZT elementů za chodu. Dále musí být prověřena funkce řídicího systému za všech provozních režimů.</w:t>
      </w:r>
    </w:p>
    <w:p>
      <w:pPr>
        <w:pStyle w:val="Odraen"/>
        <w:numPr>
          <w:ilvl w:val="0"/>
          <w:numId w:val="3"/>
        </w:numPr>
        <w:rPr/>
      </w:pPr>
      <w:r>
        <w:rPr/>
        <w:t>Hlučnost ve větraných místnostech způsobenou chodem zařízení</w:t>
      </w:r>
    </w:p>
    <w:p>
      <w:pPr>
        <w:pStyle w:val="Odraen"/>
        <w:numPr>
          <w:ilvl w:val="0"/>
          <w:numId w:val="3"/>
        </w:numPr>
        <w:rPr/>
      </w:pPr>
      <w:r>
        <w:rPr/>
        <w:t>Správná funkce jednotek FCU – běh ventilátoru, topení, chlazení</w:t>
      </w:r>
    </w:p>
    <w:p>
      <w:pPr>
        <w:pStyle w:val="Odraen"/>
        <w:numPr>
          <w:ilvl w:val="0"/>
          <w:numId w:val="0"/>
        </w:numPr>
        <w:ind w:left="644" w:hanging="360"/>
        <w:rPr/>
      </w:pPr>
      <w:r>
        <w:rPr/>
      </w:r>
    </w:p>
    <w:p>
      <w:pPr>
        <w:pStyle w:val="Nadpis1"/>
        <w:numPr>
          <w:ilvl w:val="0"/>
          <w:numId w:val="2"/>
        </w:numPr>
        <w:rPr/>
      </w:pPr>
      <w:bookmarkStart w:id="40" w:name="_Toc48902465"/>
      <w:bookmarkStart w:id="41" w:name="_Toc460359095"/>
      <w:bookmarkStart w:id="42" w:name="_Toc412032346"/>
      <w:r>
        <w:rPr/>
        <w:t>Závěr</w:t>
      </w:r>
      <w:bookmarkStart w:id="43" w:name="_Toc269733693"/>
      <w:bookmarkEnd w:id="40"/>
      <w:bookmarkEnd w:id="41"/>
      <w:bookmarkEnd w:id="42"/>
      <w:bookmarkEnd w:id="43"/>
    </w:p>
    <w:p>
      <w:pPr>
        <w:pStyle w:val="Normal"/>
        <w:rPr/>
      </w:pPr>
      <w:r>
        <w:rPr/>
        <w:t>Před započetím prací budou prověřeny veškeré plánované trasy. Detaily budou řešeny v rámci autorského dozoru v průběhu stavby nebo před započetím prací. Jakékoliv změny proti předloženému projektu budou předem konzultovány a odsouhlaseny s generálním projektantem a projektantem části VZT. Veškeré montáže a instalace budou provedeny dle montážních návodů a předpisů jednotlivých výrobců. Tato dokumentace nenahrazuje dokumentaci skutečného provedení.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134" w:footer="708" w:bottom="993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roman"/>
    <w:pitch w:val="variable"/>
  </w:font>
  <w:font w:name="Arial Narrow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380" w:type="dxa"/>
      <w:jc w:val="left"/>
      <w:tblInd w:w="0" w:type="dxa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1488"/>
      <w:gridCol w:w="3779"/>
      <w:gridCol w:w="1662"/>
      <w:gridCol w:w="2444"/>
      <w:gridCol w:w="7"/>
    </w:tblGrid>
    <w:tr>
      <w:trPr/>
      <w:tc>
        <w:tcPr>
          <w:tcW w:w="14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Zpat"/>
            <w:tabs>
              <w:tab w:val="clear" w:pos="4536"/>
              <w:tab w:val="right" w:pos="9072" w:leader="none"/>
            </w:tabs>
            <w:rPr>
              <w:rFonts w:ascii="Calibri" w:hAnsi="Calibri"/>
            </w:rPr>
          </w:pPr>
          <w:r>
            <w:rPr>
              <w:rFonts w:cs="Arial" w:ascii="Calibri" w:hAnsi="Calibri"/>
              <w:sz w:val="14"/>
            </w:rPr>
            <w:t>Profese/ část PD:</w:t>
          </w:r>
        </w:p>
      </w:tc>
      <w:tc>
        <w:tcPr>
          <w:tcW w:w="37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Zpat"/>
            <w:rPr>
              <w:rFonts w:ascii="Calibri" w:hAnsi="Calibri"/>
              <w:b/>
              <w:b/>
              <w:sz w:val="18"/>
            </w:rPr>
          </w:pPr>
          <w:r>
            <w:rPr>
              <w:rFonts w:ascii="Calibri" w:hAnsi="Calibri"/>
              <w:b/>
              <w:sz w:val="18"/>
            </w:rPr>
            <w:t>RTCH, VZT - Technická zpráva</w:t>
          </w:r>
        </w:p>
      </w:tc>
      <w:tc>
        <w:tcPr>
          <w:tcW w:w="166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Zpat"/>
            <w:tabs>
              <w:tab w:val="clear" w:pos="4536"/>
              <w:tab w:val="right" w:pos="9072" w:leader="none"/>
            </w:tabs>
            <w:rPr>
              <w:rFonts w:ascii="Calibri" w:hAnsi="Calibri"/>
            </w:rPr>
          </w:pPr>
          <w:r>
            <w:rPr>
              <w:rFonts w:cs="Arial" w:ascii="Calibri" w:hAnsi="Calibri"/>
              <w:sz w:val="14"/>
            </w:rPr>
            <w:t>Zpracoval:</w:t>
          </w:r>
        </w:p>
      </w:tc>
      <w:tc>
        <w:tcPr>
          <w:tcW w:w="244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Zpat"/>
            <w:rPr>
              <w:rFonts w:ascii="Calibri" w:hAnsi="Calibri"/>
              <w:sz w:val="18"/>
            </w:rPr>
          </w:pPr>
          <w:r>
            <w:rPr>
              <w:rFonts w:ascii="Calibri" w:hAnsi="Calibri"/>
              <w:sz w:val="18"/>
            </w:rPr>
            <w:t>Ing. Václav Heis</w:t>
          </w:r>
        </w:p>
      </w:tc>
      <w:tc>
        <w:tcPr>
          <w:tcW w:w="7" w:type="dxa"/>
          <w:tcBorders/>
        </w:tcPr>
        <w:p>
          <w:pPr>
            <w:pStyle w:val="Normal"/>
            <w:rPr/>
          </w:pPr>
          <w:r>
            <w:rPr/>
          </w:r>
        </w:p>
      </w:tc>
    </w:tr>
    <w:tr>
      <w:trPr/>
      <w:tc>
        <w:tcPr>
          <w:tcW w:w="14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Zpat"/>
            <w:tabs>
              <w:tab w:val="clear" w:pos="4536"/>
              <w:tab w:val="right" w:pos="9072" w:leader="none"/>
            </w:tabs>
            <w:rPr>
              <w:rFonts w:ascii="Calibri" w:hAnsi="Calibri" w:cs="Arial"/>
              <w:sz w:val="14"/>
            </w:rPr>
          </w:pPr>
          <w:r>
            <w:rPr>
              <w:rFonts w:cs="Arial" w:ascii="Calibri" w:hAnsi="Calibri"/>
              <w:sz w:val="14"/>
            </w:rPr>
            <w:t xml:space="preserve">Stupeň dokumentace </w:t>
          </w:r>
        </w:p>
      </w:tc>
      <w:tc>
        <w:tcPr>
          <w:tcW w:w="37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Zpat"/>
            <w:rPr>
              <w:rFonts w:ascii="Calibri" w:hAnsi="Calibri"/>
              <w:sz w:val="18"/>
            </w:rPr>
          </w:pPr>
          <w:r>
            <w:rPr>
              <w:rFonts w:ascii="Calibri" w:hAnsi="Calibri"/>
              <w:sz w:val="18"/>
            </w:rPr>
            <w:t>DRS</w:t>
          </w:r>
        </w:p>
      </w:tc>
      <w:tc>
        <w:tcPr>
          <w:tcW w:w="166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Zpat"/>
            <w:tabs>
              <w:tab w:val="clear" w:pos="4536"/>
              <w:tab w:val="right" w:pos="9072" w:leader="none"/>
            </w:tabs>
            <w:rPr>
              <w:rFonts w:ascii="Calibri" w:hAnsi="Calibri"/>
            </w:rPr>
          </w:pPr>
          <w:r>
            <w:rPr>
              <w:rFonts w:cs="Arial" w:ascii="Calibri" w:hAnsi="Calibri"/>
              <w:sz w:val="14"/>
            </w:rPr>
            <w:t>Dozoroval:</w:t>
          </w:r>
        </w:p>
      </w:tc>
      <w:tc>
        <w:tcPr>
          <w:tcW w:w="244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Zpat"/>
            <w:rPr>
              <w:rFonts w:ascii="Calibri" w:hAnsi="Calibri"/>
              <w:sz w:val="18"/>
            </w:rPr>
          </w:pPr>
          <w:r>
            <w:rPr>
              <w:rFonts w:ascii="Calibri" w:hAnsi="Calibri"/>
              <w:sz w:val="18"/>
            </w:rPr>
            <w:t>Ing. Václav Heis</w:t>
          </w:r>
        </w:p>
      </w:tc>
      <w:tc>
        <w:tcPr>
          <w:tcW w:w="7" w:type="dxa"/>
          <w:tcBorders/>
        </w:tcPr>
        <w:p>
          <w:pPr>
            <w:pStyle w:val="Normal"/>
            <w:rPr/>
          </w:pPr>
          <w:r>
            <w:rPr/>
          </w:r>
        </w:p>
      </w:tc>
    </w:tr>
    <w:tr>
      <w:trPr/>
      <w:tc>
        <w:tcPr>
          <w:tcW w:w="9380" w:type="dxa"/>
          <w:gridSpan w:val="5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Zpat"/>
            <w:jc w:val="center"/>
            <w:rPr>
              <w:rFonts w:ascii="Calibri" w:hAnsi="Calibri" w:cs="Arial"/>
              <w:sz w:val="18"/>
            </w:rPr>
          </w:pPr>
          <w:r>
            <w:rPr>
              <w:rFonts w:cs="Arial" w:ascii="Calibri" w:hAnsi="Calibri"/>
              <w:b/>
              <w:bCs/>
              <w:sz w:val="18"/>
            </w:rPr>
            <w:fldChar w:fldCharType="begin"/>
          </w:r>
          <w:r>
            <w:rPr>
              <w:sz w:val="18"/>
              <w:b/>
              <w:bCs/>
              <w:rFonts w:cs="Arial" w:ascii="Calibri" w:hAnsi="Calibri"/>
            </w:rPr>
            <w:instrText> PAGE \* ARABIC </w:instrText>
          </w:r>
          <w:r>
            <w:rPr>
              <w:sz w:val="18"/>
              <w:b/>
              <w:bCs/>
              <w:rFonts w:cs="Arial" w:ascii="Calibri" w:hAnsi="Calibri"/>
            </w:rPr>
            <w:fldChar w:fldCharType="separate"/>
          </w:r>
          <w:r>
            <w:rPr>
              <w:sz w:val="18"/>
              <w:b/>
              <w:bCs/>
              <w:rFonts w:cs="Arial" w:ascii="Calibri" w:hAnsi="Calibri"/>
            </w:rPr>
            <w:t>6</w:t>
          </w:r>
          <w:r>
            <w:rPr>
              <w:sz w:val="18"/>
              <w:b/>
              <w:bCs/>
              <w:rFonts w:cs="Arial" w:ascii="Calibri" w:hAnsi="Calibri"/>
            </w:rPr>
            <w:fldChar w:fldCharType="end"/>
          </w:r>
          <w:r>
            <w:rPr>
              <w:rFonts w:cs="Arial" w:ascii="Calibri" w:hAnsi="Calibri"/>
              <w:sz w:val="18"/>
            </w:rPr>
            <w:t xml:space="preserve"> </w:t>
          </w:r>
          <w:r>
            <w:rPr>
              <w:rFonts w:cs="Arial" w:ascii="Calibri" w:hAnsi="Calibri"/>
              <w:sz w:val="18"/>
            </w:rPr>
            <w:t xml:space="preserve">/ </w:t>
          </w:r>
          <w:r>
            <w:rPr>
              <w:rFonts w:cs="Arial" w:ascii="Calibri" w:hAnsi="Calibri"/>
              <w:b/>
              <w:bCs/>
              <w:sz w:val="18"/>
            </w:rPr>
            <w:fldChar w:fldCharType="begin"/>
          </w:r>
          <w:r>
            <w:rPr>
              <w:sz w:val="18"/>
              <w:b/>
              <w:bCs/>
              <w:rFonts w:cs="Arial" w:ascii="Calibri" w:hAnsi="Calibri"/>
            </w:rPr>
            <w:instrText> NUMPAGES \* ARABIC </w:instrText>
          </w:r>
          <w:r>
            <w:rPr>
              <w:sz w:val="18"/>
              <w:b/>
              <w:bCs/>
              <w:rFonts w:cs="Arial" w:ascii="Calibri" w:hAnsi="Calibri"/>
            </w:rPr>
            <w:fldChar w:fldCharType="separate"/>
          </w:r>
          <w:r>
            <w:rPr>
              <w:sz w:val="18"/>
              <w:b/>
              <w:bCs/>
              <w:rFonts w:cs="Arial" w:ascii="Calibri" w:hAnsi="Calibri"/>
            </w:rPr>
            <w:t>6</w:t>
          </w:r>
          <w:r>
            <w:rPr>
              <w:sz w:val="18"/>
              <w:b/>
              <w:bCs/>
              <w:rFonts w:cs="Arial" w:ascii="Calibri" w:hAnsi="Calibri"/>
            </w:rPr>
            <w:fldChar w:fldCharType="end"/>
          </w:r>
        </w:p>
      </w:tc>
    </w:tr>
  </w:tbl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142" w:type="dxa"/>
      <w:jc w:val="left"/>
      <w:tblInd w:w="0" w:type="dxa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1330"/>
      <w:gridCol w:w="3780"/>
      <w:gridCol w:w="4032"/>
    </w:tblGrid>
    <w:tr>
      <w:trPr/>
      <w:tc>
        <w:tcPr>
          <w:tcW w:w="133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Zhlav"/>
            <w:rPr>
              <w:rFonts w:ascii="Calibri" w:hAnsi="Calibri" w:cs="Arial"/>
              <w:sz w:val="14"/>
            </w:rPr>
          </w:pPr>
          <w:r>
            <w:rPr>
              <w:rFonts w:cs="Arial" w:ascii="Calibri" w:hAnsi="Calibri"/>
              <w:sz w:val="14"/>
            </w:rPr>
            <w:t xml:space="preserve">Název projektu: </w:t>
          </w:r>
        </w:p>
      </w:tc>
      <w:tc>
        <w:tcPr>
          <w:tcW w:w="378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Zhlav"/>
            <w:tabs>
              <w:tab w:val="clear" w:pos="4536"/>
              <w:tab w:val="right" w:pos="9072" w:leader="none"/>
            </w:tabs>
            <w:rPr>
              <w:rFonts w:ascii="Calibri" w:hAnsi="Calibri" w:cs="Arial"/>
              <w:b/>
              <w:b/>
              <w:bCs/>
              <w:sz w:val="18"/>
            </w:rPr>
          </w:pPr>
          <w:r>
            <w:rPr>
              <w:rFonts w:cs="Arial" w:ascii="Calibri" w:hAnsi="Calibri"/>
              <w:b/>
              <w:bCs/>
              <w:sz w:val="18"/>
            </w:rPr>
          </w:r>
        </w:p>
        <w:p>
          <w:pPr>
            <w:pStyle w:val="Zhlav"/>
            <w:tabs>
              <w:tab w:val="clear" w:pos="4536"/>
              <w:tab w:val="right" w:pos="9072" w:leader="none"/>
            </w:tabs>
            <w:rPr>
              <w:rFonts w:ascii="Calibri" w:hAnsi="Calibri" w:cs="Arial"/>
              <w:b/>
              <w:b/>
              <w:sz w:val="18"/>
            </w:rPr>
          </w:pPr>
          <w:r>
            <w:rPr>
              <w:rFonts w:ascii="Calibri" w:hAnsi="Calibri"/>
              <w:b/>
              <w:sz w:val="18"/>
              <w:szCs w:val="24"/>
            </w:rPr>
            <w:t>Infocentrum SZDC – VZT, RTCH</w:t>
          </w:r>
        </w:p>
      </w:tc>
      <w:tc>
        <w:tcPr>
          <w:tcW w:w="40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Zhlav"/>
            <w:rPr>
              <w:rFonts w:ascii="Calibri" w:hAnsi="Calibri" w:cs="Arial"/>
              <w:sz w:val="18"/>
            </w:rPr>
          </w:pPr>
          <w:r>
            <w:rPr>
              <w:rFonts w:cs="Arial" w:ascii="Calibri" w:hAnsi="Calibri"/>
              <w:sz w:val="18"/>
            </w:rPr>
          </w:r>
        </w:p>
      </w:tc>
    </w:tr>
  </w:tbl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decimal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pStyle w:val="Nadpis2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pStyle w:val="Nadpis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pStyle w:val="Nadpis4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pStyle w:val="Nadpis5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pStyle w:val="Nadpis6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pStyle w:val="Nadpis7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pStyle w:val="Nadpis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pStyle w:val="Nadpis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34754"/>
    <w:pPr>
      <w:widowControl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4"/>
      <w:szCs w:val="20"/>
      <w:lang w:val="cs-CZ" w:eastAsia="cs-CZ" w:bidi="ar-SA"/>
    </w:rPr>
  </w:style>
  <w:style w:type="paragraph" w:styleId="Nadpis1">
    <w:name w:val="Heading 1"/>
    <w:basedOn w:val="Normal"/>
    <w:next w:val="Normal"/>
    <w:autoRedefine/>
    <w:qFormat/>
    <w:rsid w:val="00656063"/>
    <w:pPr>
      <w:keepNext w:val="true"/>
      <w:numPr>
        <w:ilvl w:val="0"/>
        <w:numId w:val="1"/>
      </w:numPr>
      <w:spacing w:before="240" w:after="60"/>
      <w:outlineLvl w:val="0"/>
    </w:pPr>
    <w:rPr>
      <w:b/>
      <w:kern w:val="2"/>
      <w:sz w:val="28"/>
      <w:u w:val="single"/>
    </w:rPr>
  </w:style>
  <w:style w:type="paragraph" w:styleId="Nadpis2">
    <w:name w:val="Heading 2"/>
    <w:basedOn w:val="Normal"/>
    <w:next w:val="Normal"/>
    <w:qFormat/>
    <w:rsid w:val="0096341d"/>
    <w:pPr>
      <w:keepNext w:val="true"/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al"/>
    <w:next w:val="Normal"/>
    <w:qFormat/>
    <w:rsid w:val="0096341d"/>
    <w:pPr>
      <w:keepNext w:val="true"/>
      <w:numPr>
        <w:ilvl w:val="2"/>
        <w:numId w:val="1"/>
      </w:numPr>
      <w:spacing w:before="240" w:after="60"/>
      <w:outlineLvl w:val="2"/>
    </w:pPr>
    <w:rPr>
      <w:b/>
    </w:rPr>
  </w:style>
  <w:style w:type="paragraph" w:styleId="Nadpis4">
    <w:name w:val="Heading 4"/>
    <w:basedOn w:val="Normal"/>
    <w:next w:val="Normal"/>
    <w:qFormat/>
    <w:rsid w:val="00d12bd1"/>
    <w:pPr>
      <w:keepNext w:val="true"/>
      <w:numPr>
        <w:ilvl w:val="3"/>
        <w:numId w:val="1"/>
      </w:numPr>
      <w:spacing w:before="240" w:after="60"/>
      <w:outlineLvl w:val="3"/>
    </w:pPr>
    <w:rPr>
      <w:rFonts w:ascii="Arial" w:hAnsi="Arial"/>
      <w:sz w:val="20"/>
    </w:rPr>
  </w:style>
  <w:style w:type="paragraph" w:styleId="Nadpis5">
    <w:name w:val="Heading 5"/>
    <w:basedOn w:val="Normal"/>
    <w:next w:val="Normal"/>
    <w:qFormat/>
    <w:rsid w:val="00d12bd1"/>
    <w:pPr>
      <w:numPr>
        <w:ilvl w:val="4"/>
        <w:numId w:val="1"/>
      </w:numPr>
      <w:spacing w:before="240" w:after="60"/>
      <w:outlineLvl w:val="4"/>
    </w:pPr>
    <w:rPr>
      <w:sz w:val="20"/>
    </w:rPr>
  </w:style>
  <w:style w:type="paragraph" w:styleId="Nadpis6">
    <w:name w:val="Heading 6"/>
    <w:basedOn w:val="Normal"/>
    <w:next w:val="Normal"/>
    <w:qFormat/>
    <w:rsid w:val="00db065a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al"/>
    <w:next w:val="Normal"/>
    <w:qFormat/>
    <w:rsid w:val="00db065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al"/>
    <w:next w:val="Normal"/>
    <w:qFormat/>
    <w:rsid w:val="00db065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al"/>
    <w:next w:val="Normal"/>
    <w:qFormat/>
    <w:rsid w:val="00db065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db065a"/>
    <w:rPr/>
  </w:style>
  <w:style w:type="character" w:styleId="Internetovodkaz">
    <w:name w:val="Internetový odkaz"/>
    <w:uiPriority w:val="99"/>
    <w:rsid w:val="00db065a"/>
    <w:rPr>
      <w:color w:val="0000FF"/>
      <w:u w:val="single"/>
    </w:rPr>
  </w:style>
  <w:style w:type="character" w:styleId="Zkladntext2Char" w:customStyle="1">
    <w:name w:val="Základní text 2 Char"/>
    <w:link w:val="Zkladntext2"/>
    <w:qFormat/>
    <w:rsid w:val="00971d55"/>
    <w:rPr>
      <w:sz w:val="24"/>
      <w:lang w:val="cs-CZ" w:eastAsia="cs-CZ" w:bidi="ar-SA"/>
    </w:rPr>
  </w:style>
  <w:style w:type="character" w:styleId="ZkladntextChar" w:customStyle="1">
    <w:name w:val="Základní text Char"/>
    <w:link w:val="Zkladntext"/>
    <w:qFormat/>
    <w:rsid w:val="00394f61"/>
    <w:rPr>
      <w:sz w:val="24"/>
    </w:rPr>
  </w:style>
  <w:style w:type="character" w:styleId="ZpatChar" w:customStyle="1">
    <w:name w:val="Zápatí Char"/>
    <w:link w:val="Zpat"/>
    <w:uiPriority w:val="99"/>
    <w:qFormat/>
    <w:rsid w:val="0054076a"/>
    <w:rPr>
      <w:sz w:val="24"/>
    </w:rPr>
  </w:style>
  <w:style w:type="character" w:styleId="TextbublinyChar" w:customStyle="1">
    <w:name w:val="Text bubliny Char"/>
    <w:link w:val="Textbubliny"/>
    <w:qFormat/>
    <w:rsid w:val="0054076a"/>
    <w:rPr>
      <w:rFonts w:ascii="Tahoma" w:hAnsi="Tahoma" w:cs="Tahoma"/>
      <w:sz w:val="16"/>
      <w:szCs w:val="16"/>
    </w:rPr>
  </w:style>
  <w:style w:type="character" w:styleId="ZhlavChar" w:customStyle="1">
    <w:name w:val="Záhlaví Char"/>
    <w:link w:val="Zhlav"/>
    <w:qFormat/>
    <w:rsid w:val="0054076a"/>
    <w:rPr>
      <w:sz w:val="24"/>
    </w:rPr>
  </w:style>
  <w:style w:type="character" w:styleId="ProsttextChar" w:customStyle="1">
    <w:name w:val="Prostý text Char"/>
    <w:link w:val="Prosttext"/>
    <w:qFormat/>
    <w:rsid w:val="00fc6d75"/>
    <w:rPr>
      <w:rFonts w:ascii="Courier New" w:hAnsi="Courier New" w:cs="Arial"/>
      <w:szCs w:val="22"/>
    </w:rPr>
  </w:style>
  <w:style w:type="character" w:styleId="TextKChar" w:customStyle="1">
    <w:name w:val="Text K Char"/>
    <w:link w:val="TextK"/>
    <w:qFormat/>
    <w:rsid w:val="00fc6d75"/>
    <w:rPr>
      <w:rFonts w:ascii="Arial" w:hAnsi="Arial"/>
      <w:bCs/>
      <w:kern w:val="2"/>
      <w:sz w:val="22"/>
      <w:szCs w:val="22"/>
      <w:lang w:bidi="ar-SA"/>
    </w:rPr>
  </w:style>
  <w:style w:type="character" w:styleId="StylZkladntext10bChar" w:customStyle="1">
    <w:name w:val="Styl Základní text + 10 b. Char"/>
    <w:link w:val="StylZkladntext10b"/>
    <w:qFormat/>
    <w:rsid w:val="00b96cc0"/>
    <w:rPr>
      <w:rFonts w:ascii="Calibri" w:hAnsi="Calibri"/>
      <w:sz w:val="24"/>
    </w:rPr>
  </w:style>
  <w:style w:type="character" w:styleId="OdraenChar" w:customStyle="1">
    <w:name w:val="Odražení Char"/>
    <w:basedOn w:val="StylZkladntext10bChar"/>
    <w:link w:val="Odraen"/>
    <w:qFormat/>
    <w:rsid w:val="001e0451"/>
    <w:rPr>
      <w:rFonts w:ascii="Calibri" w:hAnsi="Calibri"/>
      <w:sz w:val="24"/>
    </w:rPr>
  </w:style>
  <w:style w:type="character" w:styleId="PodtitulChar" w:customStyle="1">
    <w:name w:val="Podtitul Char"/>
    <w:link w:val="Podtitul"/>
    <w:qFormat/>
    <w:rsid w:val="001e0451"/>
    <w:rPr>
      <w:rFonts w:ascii="Calibri Light" w:hAnsi="Calibri Light" w:eastAsia="Times New Roman" w:cs="Times New Roman"/>
      <w:sz w:val="24"/>
      <w:szCs w:val="24"/>
    </w:rPr>
  </w:style>
  <w:style w:type="character" w:styleId="IntenseEmphasis">
    <w:name w:val="Intense Emphasis"/>
    <w:uiPriority w:val="21"/>
    <w:qFormat/>
    <w:rsid w:val="007625e2"/>
    <w:rPr>
      <w:i/>
      <w:iCs/>
      <w:color w:val="5B9BD5"/>
    </w:rPr>
  </w:style>
  <w:style w:type="character" w:styleId="Odkaznarejstk">
    <w:name w:val="Odkaz na rejstřík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link w:val="ZkladntextChar"/>
    <w:rsid w:val="00db065a"/>
    <w:pPr>
      <w:spacing w:before="120" w:after="0"/>
    </w:pPr>
    <w:rPr>
      <w:rFonts w:ascii="Times New Roman" w:hAnsi="Times New Roman"/>
    </w:rPr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link w:val="ZpatChar"/>
    <w:uiPriority w:val="99"/>
    <w:rsid w:val="00db065a"/>
    <w:pPr>
      <w:tabs>
        <w:tab w:val="clear" w:pos="708"/>
        <w:tab w:val="center" w:pos="4536" w:leader="none"/>
        <w:tab w:val="right" w:pos="9072" w:leader="none"/>
      </w:tabs>
    </w:pPr>
    <w:rPr>
      <w:rFonts w:ascii="Times New Roman" w:hAnsi="Times New Roman"/>
    </w:rPr>
  </w:style>
  <w:style w:type="paragraph" w:styleId="Zhlav">
    <w:name w:val="Header"/>
    <w:basedOn w:val="Normal"/>
    <w:link w:val="ZhlavChar"/>
    <w:rsid w:val="00db065a"/>
    <w:pPr>
      <w:tabs>
        <w:tab w:val="clear" w:pos="708"/>
        <w:tab w:val="center" w:pos="4536" w:leader="none"/>
        <w:tab w:val="right" w:pos="9072" w:leader="none"/>
      </w:tabs>
    </w:pPr>
    <w:rPr>
      <w:rFonts w:ascii="Times New Roman" w:hAnsi="Times New Roman"/>
    </w:rPr>
  </w:style>
  <w:style w:type="paragraph" w:styleId="BodyText2">
    <w:name w:val="Body Text 2"/>
    <w:basedOn w:val="Normal"/>
    <w:link w:val="Zkladntext2Char"/>
    <w:qFormat/>
    <w:rsid w:val="00db065a"/>
    <w:pPr>
      <w:spacing w:before="120" w:after="0"/>
    </w:pPr>
    <w:rPr>
      <w:rFonts w:ascii="Times New Roman" w:hAnsi="Times New Roman"/>
    </w:rPr>
  </w:style>
  <w:style w:type="paragraph" w:styleId="Odsazentlatextu">
    <w:name w:val="Body Text Indent"/>
    <w:basedOn w:val="Normal"/>
    <w:rsid w:val="00db065a"/>
    <w:pPr>
      <w:ind w:firstLine="432"/>
    </w:pPr>
    <w:rPr/>
  </w:style>
  <w:style w:type="paragraph" w:styleId="BodyText3">
    <w:name w:val="Body Text 3"/>
    <w:basedOn w:val="Normal"/>
    <w:qFormat/>
    <w:rsid w:val="00db065a"/>
    <w:pPr>
      <w:spacing w:before="120" w:after="0"/>
    </w:pPr>
    <w:rPr>
      <w:b/>
    </w:rPr>
  </w:style>
  <w:style w:type="paragraph" w:styleId="BodyTextIndent2">
    <w:name w:val="Body Text Indent 2"/>
    <w:basedOn w:val="Normal"/>
    <w:qFormat/>
    <w:rsid w:val="00db065a"/>
    <w:pPr>
      <w:spacing w:before="120" w:after="0"/>
      <w:ind w:left="3540" w:hanging="0"/>
    </w:pPr>
    <w:rPr>
      <w:b/>
    </w:rPr>
  </w:style>
  <w:style w:type="paragraph" w:styleId="BodyTextIndent3">
    <w:name w:val="Body Text Indent 3"/>
    <w:basedOn w:val="Normal"/>
    <w:qFormat/>
    <w:rsid w:val="00db065a"/>
    <w:pPr>
      <w:ind w:firstLine="708"/>
    </w:pPr>
    <w:rPr>
      <w:b/>
      <w:bCs/>
    </w:rPr>
  </w:style>
  <w:style w:type="paragraph" w:styleId="NormalWeb">
    <w:name w:val="Normal (Web)"/>
    <w:basedOn w:val="Normal"/>
    <w:qFormat/>
    <w:rsid w:val="00974b4a"/>
    <w:pPr>
      <w:spacing w:lineRule="atLeast" w:line="240" w:beforeAutospacing="1" w:afterAutospacing="1"/>
    </w:pPr>
    <w:rPr>
      <w:rFonts w:ascii="Verdana" w:hAnsi="Verdana"/>
      <w:color w:val="000000"/>
      <w:sz w:val="17"/>
      <w:szCs w:val="17"/>
    </w:rPr>
  </w:style>
  <w:style w:type="paragraph" w:styleId="StylZkladntext10b" w:customStyle="1">
    <w:name w:val="Styl Základní text + 10 b."/>
    <w:basedOn w:val="Tlotextu"/>
    <w:link w:val="StylZkladntext10bChar"/>
    <w:qFormat/>
    <w:rsid w:val="00de13da"/>
    <w:pPr>
      <w:spacing w:before="0" w:after="0"/>
    </w:pPr>
    <w:rPr>
      <w:rFonts w:ascii="Calibri" w:hAnsi="Calibri"/>
    </w:rPr>
  </w:style>
  <w:style w:type="paragraph" w:styleId="Styl3" w:customStyle="1">
    <w:name w:val="Styl3"/>
    <w:basedOn w:val="Normal"/>
    <w:next w:val="Tlotextu"/>
    <w:qFormat/>
    <w:rsid w:val="00412668"/>
    <w:pPr>
      <w:overflowPunct w:val="true"/>
      <w:spacing w:before="0" w:after="60"/>
    </w:pPr>
    <w:rPr>
      <w:rFonts w:ascii="Arial" w:hAnsi="Arial"/>
    </w:rPr>
  </w:style>
  <w:style w:type="paragraph" w:styleId="Nadpis1tz" w:customStyle="1">
    <w:name w:val="nadpis_1tz"/>
    <w:next w:val="Nadpis2tz"/>
    <w:autoRedefine/>
    <w:qFormat/>
    <w:rsid w:val="00412668"/>
    <w:pPr>
      <w:keepNext w:val="true"/>
      <w:widowControl w:val="false"/>
      <w:suppressAutoHyphens w:val="true"/>
      <w:bidi w:val="0"/>
      <w:spacing w:before="240" w:after="120"/>
      <w:jc w:val="left"/>
      <w:outlineLvl w:val="0"/>
    </w:pPr>
    <w:rPr>
      <w:rFonts w:ascii="Arial" w:hAnsi="Arial" w:eastAsia="Times New Roman" w:cs="Times New Roman"/>
      <w:b/>
      <w:color w:val="auto"/>
      <w:kern w:val="0"/>
      <w:sz w:val="36"/>
      <w:szCs w:val="20"/>
      <w:lang w:val="cs-CZ" w:eastAsia="cs-CZ" w:bidi="ar-SA"/>
    </w:rPr>
  </w:style>
  <w:style w:type="paragraph" w:styleId="Nadpis2tz" w:customStyle="1">
    <w:name w:val="nadpis_2tz"/>
    <w:basedOn w:val="Normal"/>
    <w:next w:val="Normal"/>
    <w:autoRedefine/>
    <w:qFormat/>
    <w:rsid w:val="00412668"/>
    <w:pPr>
      <w:keepNext w:val="true"/>
      <w:spacing w:before="240" w:after="120"/>
      <w:outlineLvl w:val="1"/>
    </w:pPr>
    <w:rPr>
      <w:rFonts w:ascii="Arial Narrow" w:hAnsi="Arial Narrow"/>
      <w:b/>
      <w:sz w:val="32"/>
    </w:rPr>
  </w:style>
  <w:style w:type="paragraph" w:styleId="Nadpis3tz" w:customStyle="1">
    <w:name w:val="nadpis_3tz"/>
    <w:next w:val="Normal"/>
    <w:autoRedefine/>
    <w:qFormat/>
    <w:rsid w:val="00412668"/>
    <w:pPr>
      <w:widowControl/>
      <w:bidi w:val="0"/>
      <w:spacing w:before="240" w:after="120"/>
      <w:jc w:val="left"/>
      <w:outlineLvl w:val="2"/>
    </w:pPr>
    <w:rPr>
      <w:rFonts w:ascii="Arial Narrow" w:hAnsi="Arial Narrow" w:eastAsia="Times New Roman" w:cs="Times New Roman"/>
      <w:b/>
      <w:color w:val="auto"/>
      <w:kern w:val="0"/>
      <w:sz w:val="28"/>
      <w:szCs w:val="20"/>
      <w:lang w:val="cs-CZ" w:eastAsia="cs-CZ" w:bidi="ar-SA"/>
    </w:rPr>
  </w:style>
  <w:style w:type="paragraph" w:styleId="BOZPPO" w:customStyle="1">
    <w:name w:val="BOZP_PO"/>
    <w:basedOn w:val="Normal"/>
    <w:qFormat/>
    <w:rsid w:val="00412668"/>
    <w:pPr>
      <w:overflowPunct w:val="true"/>
      <w:spacing w:before="0" w:after="60"/>
    </w:pPr>
    <w:rPr>
      <w:rFonts w:ascii="Arial" w:hAnsi="Arial"/>
      <w:sz w:val="22"/>
    </w:rPr>
  </w:style>
  <w:style w:type="paragraph" w:styleId="BalloonText">
    <w:name w:val="Balloon Text"/>
    <w:basedOn w:val="Normal"/>
    <w:link w:val="TextbublinyChar"/>
    <w:qFormat/>
    <w:rsid w:val="0054076a"/>
    <w:pPr/>
    <w:rPr>
      <w:rFonts w:ascii="Tahoma" w:hAnsi="Tahoma"/>
      <w:sz w:val="16"/>
      <w:szCs w:val="16"/>
    </w:rPr>
  </w:style>
  <w:style w:type="paragraph" w:styleId="TOCHeading">
    <w:name w:val="TOC Heading"/>
    <w:basedOn w:val="Nadpis1"/>
    <w:next w:val="Normal"/>
    <w:uiPriority w:val="39"/>
    <w:unhideWhenUsed/>
    <w:qFormat/>
    <w:rsid w:val="001e0451"/>
    <w:pPr>
      <w:keepLines/>
      <w:numPr>
        <w:ilvl w:val="0"/>
        <w:numId w:val="0"/>
      </w:numPr>
      <w:spacing w:lineRule="auto" w:line="276" w:before="480" w:after="0"/>
    </w:pPr>
    <w:rPr>
      <w:bCs/>
      <w:kern w:val="0"/>
      <w:sz w:val="32"/>
      <w:szCs w:val="28"/>
      <w:u w:val="none"/>
      <w:lang w:eastAsia="en-US"/>
    </w:rPr>
  </w:style>
  <w:style w:type="paragraph" w:styleId="Obsah1">
    <w:name w:val="TOC 1"/>
    <w:basedOn w:val="Normal"/>
    <w:next w:val="Normal"/>
    <w:autoRedefine/>
    <w:uiPriority w:val="39"/>
    <w:rsid w:val="00c64a00"/>
    <w:pPr/>
    <w:rPr/>
  </w:style>
  <w:style w:type="paragraph" w:styleId="Obsah2">
    <w:name w:val="TOC 2"/>
    <w:basedOn w:val="Normal"/>
    <w:next w:val="Normal"/>
    <w:autoRedefine/>
    <w:uiPriority w:val="39"/>
    <w:rsid w:val="00c64a00"/>
    <w:pPr>
      <w:ind w:left="240" w:hanging="0"/>
    </w:pPr>
    <w:rPr/>
  </w:style>
  <w:style w:type="paragraph" w:styleId="PlainText">
    <w:name w:val="Plain Text"/>
    <w:basedOn w:val="Normal"/>
    <w:link w:val="ProsttextChar"/>
    <w:qFormat/>
    <w:rsid w:val="00fc6d75"/>
    <w:pPr/>
    <w:rPr>
      <w:rFonts w:ascii="Courier New" w:hAnsi="Courier New"/>
      <w:sz w:val="20"/>
      <w:szCs w:val="22"/>
    </w:rPr>
  </w:style>
  <w:style w:type="paragraph" w:styleId="TextK" w:customStyle="1">
    <w:name w:val="Text K"/>
    <w:link w:val="TextKChar"/>
    <w:qFormat/>
    <w:rsid w:val="00fc6d75"/>
    <w:pPr>
      <w:widowControl/>
      <w:bidi w:val="0"/>
      <w:spacing w:before="0" w:after="0"/>
      <w:ind w:firstLine="720"/>
      <w:jc w:val="both"/>
    </w:pPr>
    <w:rPr>
      <w:rFonts w:ascii="Arial" w:hAnsi="Arial" w:eastAsia="Times New Roman" w:cs="Times New Roman"/>
      <w:bCs/>
      <w:color w:val="auto"/>
      <w:kern w:val="2"/>
      <w:sz w:val="22"/>
      <w:szCs w:val="22"/>
      <w:lang w:val="cs-CZ" w:eastAsia="cs-CZ" w:bidi="ar-SA"/>
    </w:rPr>
  </w:style>
  <w:style w:type="paragraph" w:styleId="Body" w:customStyle="1">
    <w:name w:val="Body"/>
    <w:basedOn w:val="Normal"/>
    <w:qFormat/>
    <w:rsid w:val="00b96cc0"/>
    <w:pPr>
      <w:tabs>
        <w:tab w:val="clear" w:pos="708"/>
        <w:tab w:val="right" w:pos="9639" w:leader="none"/>
      </w:tabs>
      <w:ind w:left="357" w:hanging="357"/>
    </w:pPr>
    <w:rPr>
      <w:rFonts w:cs="Arial"/>
      <w:szCs w:val="22"/>
    </w:rPr>
  </w:style>
  <w:style w:type="paragraph" w:styleId="Odraen" w:customStyle="1">
    <w:name w:val="Odražení"/>
    <w:basedOn w:val="StylZkladntext10b"/>
    <w:link w:val="OdraenChar"/>
    <w:qFormat/>
    <w:rsid w:val="001e0451"/>
    <w:pPr/>
    <w:rPr/>
  </w:style>
  <w:style w:type="paragraph" w:styleId="Podtitul">
    <w:name w:val="Subtitle"/>
    <w:basedOn w:val="Normal"/>
    <w:next w:val="Normal"/>
    <w:link w:val="PodtitulChar"/>
    <w:qFormat/>
    <w:rsid w:val="001e0451"/>
    <w:pPr>
      <w:spacing w:before="0" w:after="60"/>
      <w:jc w:val="center"/>
      <w:outlineLvl w:val="1"/>
    </w:pPr>
    <w:rPr>
      <w:rFonts w:ascii="Calibri Light" w:hAnsi="Calibri Light"/>
      <w:szCs w:val="24"/>
    </w:rPr>
  </w:style>
  <w:style w:type="paragraph" w:styleId="Odrky" w:customStyle="1">
    <w:name w:val="odrážky"/>
    <w:basedOn w:val="Normal"/>
    <w:qFormat/>
    <w:rsid w:val="006852f7"/>
    <w:pPr>
      <w:tabs>
        <w:tab w:val="clear" w:pos="708"/>
        <w:tab w:val="left" w:pos="360" w:leader="none"/>
      </w:tabs>
      <w:ind w:left="360" w:hanging="360"/>
      <w:jc w:val="left"/>
    </w:pPr>
    <w:rPr>
      <w:rFonts w:cs="Arial"/>
      <w:szCs w:val="22"/>
    </w:rPr>
  </w:style>
  <w:style w:type="paragraph" w:styleId="ListBullet">
    <w:name w:val="List Bullet"/>
    <w:basedOn w:val="Normal"/>
    <w:autoRedefine/>
    <w:qFormat/>
    <w:rsid w:val="006852f7"/>
    <w:pPr/>
    <w:rPr>
      <w:rFonts w:cs="Arial"/>
      <w:szCs w:val="22"/>
    </w:rPr>
  </w:style>
  <w:style w:type="paragraph" w:styleId="Obsah3">
    <w:name w:val="TOC 3"/>
    <w:basedOn w:val="Normal"/>
    <w:next w:val="Normal"/>
    <w:autoRedefine/>
    <w:uiPriority w:val="39"/>
    <w:rsid w:val="00003911"/>
    <w:pPr>
      <w:ind w:left="480" w:hanging="0"/>
    </w:pPr>
    <w:rPr/>
  </w:style>
  <w:style w:type="paragraph" w:styleId="ListParagraph">
    <w:name w:val="List Paragraph"/>
    <w:basedOn w:val="Normal"/>
    <w:uiPriority w:val="34"/>
    <w:qFormat/>
    <w:rsid w:val="00b35011"/>
    <w:pPr>
      <w:spacing w:before="0" w:after="0"/>
      <w:ind w:left="720" w:hanging="0"/>
      <w:contextualSpacing/>
    </w:pPr>
    <w:rPr/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Jednoduchtabulka2">
    <w:name w:val="Table Simple 2"/>
    <w:basedOn w:val="Normlntabulka"/>
    <w:rsid w:val="00331f09"/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38D6E6-AD7D-47E7-A533-2B8510C87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Radek.dot</Template>
  <TotalTime>1093</TotalTime>
  <Application>LibreOffice/6.4.0.3$Windows_X86_64 LibreOffice_project/b0a288ab3d2d4774cb44b62f04d5d28733ac6df8</Application>
  <Pages>6</Pages>
  <Words>1362</Words>
  <Characters>7817</Characters>
  <CharactersWithSpaces>9081</CharactersWithSpaces>
  <Paragraphs>139</Paragraphs>
  <Company>Projektová kancelář FOKT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2018-03-25T18:06:00Z</dcterms:created>
  <dc:creator>Václav Heis</dc:creator>
  <dc:description/>
  <dc:language>cs-CZ</dc:language>
  <cp:lastModifiedBy/>
  <cp:lastPrinted>2020-09-21T14:00:00Z</cp:lastPrinted>
  <dcterms:modified xsi:type="dcterms:W3CDTF">2020-11-13T08:18:44Z</dcterms:modified>
  <cp:revision>72</cp:revision>
  <dc:subject/>
  <dc:title>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Projektová kancelář FOKT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