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r w:rsidR="00531B99" w:rsidRPr="00DA4104">
        <w:rPr>
          <w:sz w:val="19"/>
          <w:szCs w:val="19"/>
        </w:rPr>
        <w:t>….</w:t>
      </w:r>
      <w:r w:rsidR="00A03259" w:rsidRPr="00DA4104">
        <w:rPr>
          <w:sz w:val="19"/>
          <w:szCs w:val="19"/>
        </w:rPr>
        <w:t>/20</w:t>
      </w:r>
      <w:r w:rsidR="00D23629">
        <w:rPr>
          <w:sz w:val="19"/>
          <w:szCs w:val="19"/>
        </w:rPr>
        <w:t>2</w:t>
      </w:r>
      <w:r w:rsidR="009C0CED" w:rsidRPr="00DA4104">
        <w:rPr>
          <w:sz w:val="19"/>
          <w:szCs w:val="19"/>
        </w:rPr>
        <w:t>x</w:t>
      </w:r>
      <w:r w:rsidR="00A03259" w:rsidRPr="00DA4104">
        <w:rPr>
          <w:sz w:val="19"/>
          <w:szCs w:val="19"/>
        </w:rPr>
        <w:t>/</w:t>
      </w:r>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456C5A">
        <w:rPr>
          <w:sz w:val="19"/>
          <w:szCs w:val="19"/>
        </w:rPr>
        <w:t>/ISPROFOND</w:t>
      </w:r>
      <w:r w:rsidRPr="00DA4104">
        <w:rPr>
          <w:sz w:val="19"/>
          <w:szCs w:val="19"/>
        </w:rPr>
        <w:t xml:space="preserve">: </w:t>
      </w:r>
      <w:r w:rsidR="00E74CB1" w:rsidRPr="00DA4104">
        <w:rPr>
          <w:sz w:val="19"/>
          <w:szCs w:val="19"/>
        </w:rPr>
        <w:t>……………</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3A5DFE" w:rsidRPr="00392B01">
        <w:rPr>
          <w:sz w:val="19"/>
          <w:szCs w:val="19"/>
        </w:rPr>
        <w:t xml:space="preserve">včetně </w:t>
      </w:r>
      <w:r w:rsidR="00913557" w:rsidRPr="00392B01">
        <w:rPr>
          <w:sz w:val="19"/>
          <w:szCs w:val="19"/>
        </w:rPr>
        <w:t>hodnocení</w:t>
      </w:r>
      <w:r w:rsidR="009E2A7F" w:rsidRPr="00392B01">
        <w:rPr>
          <w:sz w:val="19"/>
          <w:szCs w:val="19"/>
        </w:rPr>
        <w:t xml:space="preserve"> </w:t>
      </w:r>
      <w:r w:rsidR="003A5DFE" w:rsidRPr="00392B01">
        <w:rPr>
          <w:sz w:val="19"/>
          <w:szCs w:val="19"/>
        </w:rPr>
        <w:t>ekonomické</w:t>
      </w:r>
      <w:r w:rsidR="00832DB5" w:rsidRPr="00392B01">
        <w:rPr>
          <w:sz w:val="19"/>
          <w:szCs w:val="19"/>
        </w:rPr>
        <w:t xml:space="preserve"> efektivnosti</w:t>
      </w:r>
      <w:r w:rsidR="00252194">
        <w:rPr>
          <w:sz w:val="19"/>
          <w:szCs w:val="19"/>
        </w:rPr>
        <w:t xml:space="preserve"> </w:t>
      </w:r>
      <w:r w:rsidR="00A15A07" w:rsidRPr="00DA4104">
        <w:rPr>
          <w:sz w:val="19"/>
          <w:szCs w:val="19"/>
        </w:rPr>
        <w:t>a 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72612B">
        <w:t>„</w:t>
      </w:r>
      <w:r w:rsidR="00E74CB1" w:rsidRPr="00E74CB1">
        <w:t>Rekonstrukce mostu v km 20,691 na trati Domažlice – Planá u M.L.</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F92D2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392B01" w:rsidRDefault="002F3EEE" w:rsidP="00D0091D">
      <w:pPr>
        <w:numPr>
          <w:ilvl w:val="0"/>
          <w:numId w:val="5"/>
        </w:numPr>
        <w:suppressAutoHyphens/>
        <w:spacing w:before="60"/>
        <w:rPr>
          <w:rFonts w:ascii="Arial" w:hAnsi="Arial" w:cs="Arial"/>
          <w:sz w:val="19"/>
          <w:szCs w:val="19"/>
        </w:rPr>
      </w:pPr>
      <w:r w:rsidRPr="00392B01">
        <w:rPr>
          <w:rFonts w:ascii="Arial" w:hAnsi="Arial" w:cs="Arial"/>
          <w:sz w:val="19"/>
          <w:szCs w:val="19"/>
        </w:rPr>
        <w:t xml:space="preserve">ve věcech smluvních: </w:t>
      </w:r>
      <w:r w:rsidR="00392B01" w:rsidRPr="00392B01">
        <w:rPr>
          <w:rFonts w:ascii="Arial" w:hAnsi="Arial" w:cs="Arial"/>
          <w:sz w:val="19"/>
          <w:szCs w:val="19"/>
        </w:rPr>
        <w:t>JUDr. Richard Cihlář</w:t>
      </w:r>
      <w:r w:rsidRPr="00392B01">
        <w:rPr>
          <w:rFonts w:ascii="Arial" w:hAnsi="Arial" w:cs="Arial"/>
          <w:sz w:val="19"/>
          <w:szCs w:val="19"/>
        </w:rPr>
        <w:t xml:space="preserve">, tel.: </w:t>
      </w:r>
      <w:r w:rsidR="00392B01" w:rsidRPr="00392B01">
        <w:rPr>
          <w:rFonts w:ascii="Arial" w:hAnsi="Arial" w:cs="Arial"/>
          <w:sz w:val="19"/>
          <w:szCs w:val="19"/>
        </w:rPr>
        <w:t>702 163</w:t>
      </w:r>
      <w:r w:rsidR="00D0091D">
        <w:rPr>
          <w:rFonts w:ascii="Arial" w:hAnsi="Arial" w:cs="Arial"/>
          <w:sz w:val="19"/>
          <w:szCs w:val="19"/>
        </w:rPr>
        <w:t> </w:t>
      </w:r>
      <w:r w:rsidR="00392B01" w:rsidRPr="00392B01">
        <w:rPr>
          <w:rFonts w:ascii="Arial" w:hAnsi="Arial" w:cs="Arial"/>
          <w:sz w:val="19"/>
          <w:szCs w:val="19"/>
        </w:rPr>
        <w:t>402</w:t>
      </w:r>
      <w:r w:rsidR="00D0091D">
        <w:rPr>
          <w:rFonts w:ascii="Arial" w:hAnsi="Arial" w:cs="Arial"/>
          <w:sz w:val="19"/>
          <w:szCs w:val="19"/>
        </w:rPr>
        <w:t xml:space="preserve">, e-mail: </w:t>
      </w:r>
      <w:hyperlink r:id="rId8" w:history="1">
        <w:r w:rsidR="00D0091D" w:rsidRPr="00D0091D">
          <w:rPr>
            <w:rStyle w:val="Hypertextovodkaz"/>
            <w:rFonts w:ascii="Arial" w:hAnsi="Arial" w:cs="Arial"/>
            <w:sz w:val="19"/>
            <w:szCs w:val="19"/>
          </w:rPr>
          <w:t>CihlarR@spravazeleznic.cz</w:t>
        </w:r>
      </w:hyperlink>
      <w:r w:rsidR="00732FCD" w:rsidRPr="00392B01">
        <w:rPr>
          <w:rFonts w:ascii="Arial" w:hAnsi="Arial" w:cs="Arial"/>
          <w:sz w:val="19"/>
          <w:szCs w:val="19"/>
        </w:rPr>
        <w:br/>
        <w:t xml:space="preserve">   </w:t>
      </w:r>
      <w:r w:rsidR="00F1357D" w:rsidRPr="00392B01">
        <w:rPr>
          <w:rFonts w:ascii="Arial" w:hAnsi="Arial" w:cs="Arial"/>
          <w:sz w:val="19"/>
          <w:szCs w:val="19"/>
        </w:rPr>
        <w:t xml:space="preserve">                             </w:t>
      </w:r>
      <w:r w:rsidR="001A0268" w:rsidRPr="00392B01">
        <w:rPr>
          <w:rFonts w:ascii="Arial" w:hAnsi="Arial" w:cs="Arial"/>
          <w:sz w:val="19"/>
          <w:szCs w:val="19"/>
        </w:rPr>
        <w:t xml:space="preserve">(mimo podpis této </w:t>
      </w:r>
      <w:r w:rsidR="004547EF" w:rsidRPr="00392B01">
        <w:rPr>
          <w:rFonts w:ascii="Arial" w:hAnsi="Arial" w:cs="Arial"/>
          <w:sz w:val="19"/>
          <w:szCs w:val="19"/>
        </w:rPr>
        <w:t>s</w:t>
      </w:r>
      <w:r w:rsidR="001A0268" w:rsidRPr="00392B01">
        <w:rPr>
          <w:rFonts w:ascii="Arial" w:hAnsi="Arial" w:cs="Arial"/>
          <w:sz w:val="19"/>
          <w:szCs w:val="19"/>
        </w:rPr>
        <w:t>mlouvy a jejích případných dodatků)</w:t>
      </w:r>
    </w:p>
    <w:p w:rsidR="00D0091D" w:rsidRPr="00D0091D" w:rsidRDefault="001A0268" w:rsidP="00D0091D">
      <w:pPr>
        <w:numPr>
          <w:ilvl w:val="0"/>
          <w:numId w:val="5"/>
        </w:numPr>
        <w:suppressAutoHyphens/>
        <w:spacing w:before="120"/>
        <w:ind w:left="284" w:hanging="284"/>
        <w:rPr>
          <w:rFonts w:ascii="Arial" w:hAnsi="Arial" w:cs="Arial"/>
          <w:sz w:val="19"/>
          <w:szCs w:val="19"/>
        </w:rPr>
      </w:pPr>
      <w:r w:rsidRPr="00392B01">
        <w:rPr>
          <w:rFonts w:ascii="Arial" w:hAnsi="Arial" w:cs="Arial"/>
          <w:sz w:val="19"/>
          <w:szCs w:val="19"/>
        </w:rPr>
        <w:t>ve věcech technických</w:t>
      </w:r>
      <w:r w:rsidRPr="00D0091D">
        <w:rPr>
          <w:rFonts w:ascii="Arial" w:hAnsi="Arial" w:cs="Arial"/>
          <w:sz w:val="19"/>
          <w:szCs w:val="19"/>
        </w:rPr>
        <w:t xml:space="preserve">: </w:t>
      </w:r>
      <w:r w:rsidR="00ED77BD" w:rsidRPr="00D0091D">
        <w:rPr>
          <w:rFonts w:ascii="Arial" w:hAnsi="Arial" w:cs="Arial"/>
          <w:sz w:val="19"/>
          <w:szCs w:val="19"/>
        </w:rPr>
        <w:t xml:space="preserve"> </w:t>
      </w:r>
      <w:r w:rsidR="00D0091D" w:rsidRPr="00D0091D">
        <w:rPr>
          <w:rFonts w:ascii="Arial" w:hAnsi="Arial" w:cs="Arial"/>
          <w:sz w:val="19"/>
          <w:szCs w:val="19"/>
        </w:rPr>
        <w:t xml:space="preserve">Ing. Petr Zdeněk (OŘ Plzeň), </w:t>
      </w:r>
    </w:p>
    <w:p w:rsidR="001A0268" w:rsidRPr="00D0091D" w:rsidRDefault="00D0091D" w:rsidP="00D0091D">
      <w:pPr>
        <w:suppressAutoHyphens/>
        <w:spacing w:before="120"/>
        <w:ind w:left="2127"/>
        <w:rPr>
          <w:rFonts w:ascii="Arial" w:hAnsi="Arial" w:cs="Arial"/>
          <w:sz w:val="19"/>
          <w:szCs w:val="19"/>
        </w:rPr>
      </w:pPr>
      <w:r w:rsidRPr="00D0091D">
        <w:rPr>
          <w:rFonts w:ascii="Arial" w:hAnsi="Arial" w:cs="Arial"/>
          <w:sz w:val="19"/>
          <w:szCs w:val="19"/>
        </w:rPr>
        <w:t xml:space="preserve">tel.: 9725 24450, 724 808 583, e-mail: </w:t>
      </w:r>
      <w:hyperlink r:id="rId9" w:history="1">
        <w:r w:rsidRPr="00D0091D">
          <w:rPr>
            <w:rStyle w:val="Hypertextovodkaz"/>
            <w:rFonts w:ascii="Arial" w:hAnsi="Arial" w:cs="Arial"/>
            <w:sz w:val="19"/>
            <w:szCs w:val="19"/>
          </w:rPr>
          <w:t>zdenek@spravazeleznic.cz</w:t>
        </w:r>
      </w:hyperlink>
      <w:r w:rsidRPr="00D0091D">
        <w:rPr>
          <w:rFonts w:ascii="Arial" w:hAnsi="Arial" w:cs="Arial"/>
          <w:sz w:val="19"/>
          <w:szCs w:val="19"/>
        </w:rPr>
        <w:t>,</w:t>
      </w:r>
      <w:r w:rsidR="006A7423" w:rsidRPr="00D0091D">
        <w:rPr>
          <w:rFonts w:ascii="Arial" w:hAnsi="Arial" w:cs="Arial"/>
          <w:sz w:val="19"/>
          <w:szCs w:val="19"/>
        </w:rPr>
        <w:t xml:space="preserve"> </w:t>
      </w:r>
    </w:p>
    <w:p w:rsidR="002366DE" w:rsidRPr="002366DE" w:rsidRDefault="001A0268" w:rsidP="002366DE">
      <w:pPr>
        <w:numPr>
          <w:ilvl w:val="0"/>
          <w:numId w:val="5"/>
        </w:numPr>
        <w:tabs>
          <w:tab w:val="num" w:pos="284"/>
        </w:tabs>
        <w:spacing w:before="120"/>
        <w:ind w:left="284" w:hanging="284"/>
        <w:rPr>
          <w:rFonts w:ascii="Arial" w:hAnsi="Arial" w:cs="Arial"/>
          <w:i/>
          <w:sz w:val="19"/>
          <w:szCs w:val="19"/>
        </w:rPr>
      </w:pPr>
      <w:r w:rsidRPr="00392B01">
        <w:rPr>
          <w:rFonts w:ascii="Arial" w:hAnsi="Arial" w:cs="Arial"/>
          <w:sz w:val="19"/>
          <w:szCs w:val="19"/>
        </w:rPr>
        <w:t>úředně</w:t>
      </w:r>
      <w:r w:rsidRPr="00DA4104">
        <w:rPr>
          <w:rFonts w:ascii="Arial" w:hAnsi="Arial" w:cs="Arial"/>
          <w:sz w:val="19"/>
          <w:szCs w:val="19"/>
        </w:rPr>
        <w:t xml:space="preserve">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w:t>
      </w:r>
      <w:r w:rsidRPr="002366DE">
        <w:rPr>
          <w:rFonts w:ascii="Arial" w:hAnsi="Arial" w:cs="Arial"/>
          <w:sz w:val="19"/>
          <w:szCs w:val="19"/>
        </w:rPr>
        <w:t>inženýr:</w:t>
      </w:r>
      <w:r w:rsidR="00B41B3F" w:rsidRPr="002366DE">
        <w:rPr>
          <w:rFonts w:ascii="Arial" w:hAnsi="Arial" w:cs="Arial"/>
          <w:sz w:val="19"/>
          <w:szCs w:val="19"/>
        </w:rPr>
        <w:t xml:space="preserve"> </w:t>
      </w:r>
      <w:r w:rsidR="002366DE" w:rsidRPr="002366DE">
        <w:rPr>
          <w:rFonts w:ascii="Arial" w:hAnsi="Arial" w:cs="Arial"/>
          <w:sz w:val="19"/>
          <w:szCs w:val="19"/>
        </w:rPr>
        <w:t>Ing. Ondřej Kugler (SŽG Praha),</w:t>
      </w:r>
    </w:p>
    <w:p w:rsidR="00F01785" w:rsidRPr="002366DE" w:rsidRDefault="002366DE" w:rsidP="002366DE">
      <w:pPr>
        <w:spacing w:before="120"/>
        <w:ind w:left="1702" w:firstLine="425"/>
        <w:rPr>
          <w:rFonts w:ascii="Arial" w:hAnsi="Arial" w:cs="Arial"/>
          <w:sz w:val="19"/>
          <w:szCs w:val="19"/>
        </w:rPr>
      </w:pPr>
      <w:r w:rsidRPr="002366DE">
        <w:rPr>
          <w:rFonts w:ascii="Arial" w:hAnsi="Arial" w:cs="Arial"/>
          <w:sz w:val="19"/>
          <w:szCs w:val="19"/>
        </w:rPr>
        <w:t xml:space="preserve">tel.: 9725 22104, 607 037 215, e- mail: </w:t>
      </w:r>
      <w:hyperlink r:id="rId10" w:history="1">
        <w:r w:rsidRPr="002366DE">
          <w:rPr>
            <w:rStyle w:val="Hypertextovodkaz"/>
            <w:rFonts w:ascii="Arial" w:hAnsi="Arial" w:cs="Arial"/>
            <w:sz w:val="19"/>
            <w:szCs w:val="19"/>
          </w:rPr>
          <w:t>KuglerO@spravazeleznic.cz</w:t>
        </w:r>
      </w:hyperlink>
      <w:r w:rsidRPr="002366DE">
        <w:rPr>
          <w:rFonts w:ascii="Arial" w:hAnsi="Arial" w:cs="Arial"/>
          <w:sz w:val="19"/>
          <w:szCs w:val="19"/>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F92D2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EC7528">
        <w:rPr>
          <w:rFonts w:ascii="Arial" w:hAnsi="Arial" w:cs="Arial"/>
          <w:sz w:val="19"/>
          <w:szCs w:val="19"/>
        </w:rPr>
        <w:t>Dílem se rozumí zpracování</w:t>
      </w:r>
      <w:r w:rsidR="00497C87" w:rsidRPr="00EC7528">
        <w:rPr>
          <w:rFonts w:ascii="Arial" w:hAnsi="Arial" w:cs="Arial"/>
          <w:b/>
          <w:sz w:val="19"/>
          <w:szCs w:val="19"/>
        </w:rPr>
        <w:t xml:space="preserve"> Projektové d</w:t>
      </w:r>
      <w:r w:rsidR="00CA10FF" w:rsidRPr="00EC7528">
        <w:rPr>
          <w:rFonts w:ascii="Arial" w:hAnsi="Arial" w:cs="Arial"/>
          <w:b/>
          <w:sz w:val="19"/>
          <w:szCs w:val="19"/>
        </w:rPr>
        <w:t xml:space="preserve">okumentace pro </w:t>
      </w:r>
      <w:r w:rsidR="004547EF" w:rsidRPr="00EC7528">
        <w:rPr>
          <w:rFonts w:ascii="Arial" w:hAnsi="Arial" w:cs="Arial"/>
          <w:b/>
          <w:sz w:val="19"/>
          <w:szCs w:val="19"/>
        </w:rPr>
        <w:t xml:space="preserve">společné </w:t>
      </w:r>
      <w:r w:rsidR="00A1278E" w:rsidRPr="00EC7528">
        <w:rPr>
          <w:rFonts w:ascii="Arial" w:hAnsi="Arial" w:cs="Arial"/>
          <w:b/>
          <w:sz w:val="19"/>
          <w:szCs w:val="19"/>
        </w:rPr>
        <w:t>povolení</w:t>
      </w:r>
      <w:r w:rsidR="00A1278E" w:rsidRPr="00EC7528" w:rsidDel="00A1278E">
        <w:rPr>
          <w:rFonts w:ascii="Arial" w:hAnsi="Arial" w:cs="Arial"/>
          <w:sz w:val="19"/>
          <w:szCs w:val="19"/>
        </w:rPr>
        <w:t xml:space="preserve"> </w:t>
      </w:r>
      <w:r w:rsidR="00CE4754" w:rsidRPr="00EC7528">
        <w:rPr>
          <w:rFonts w:ascii="Arial" w:hAnsi="Arial" w:cs="Arial"/>
          <w:sz w:val="19"/>
          <w:szCs w:val="19"/>
        </w:rPr>
        <w:t>(</w:t>
      </w:r>
      <w:r w:rsidR="00BF6E2E" w:rsidRPr="00EC7528">
        <w:rPr>
          <w:rFonts w:ascii="Arial" w:hAnsi="Arial" w:cs="Arial"/>
          <w:sz w:val="19"/>
          <w:szCs w:val="19"/>
        </w:rPr>
        <w:t xml:space="preserve">dále </w:t>
      </w:r>
      <w:r w:rsidR="00B92C42" w:rsidRPr="00EC7528">
        <w:rPr>
          <w:rFonts w:ascii="Arial" w:hAnsi="Arial" w:cs="Arial"/>
          <w:sz w:val="19"/>
          <w:szCs w:val="19"/>
        </w:rPr>
        <w:t xml:space="preserve">jen </w:t>
      </w:r>
      <w:r w:rsidR="00CE4754" w:rsidRPr="00EC7528">
        <w:rPr>
          <w:rFonts w:ascii="Arial" w:hAnsi="Arial" w:cs="Arial"/>
          <w:sz w:val="19"/>
          <w:szCs w:val="19"/>
        </w:rPr>
        <w:t>„</w:t>
      </w:r>
      <w:r w:rsidR="00CA10FF" w:rsidRPr="00EC7528">
        <w:rPr>
          <w:rFonts w:ascii="Arial" w:hAnsi="Arial" w:cs="Arial"/>
          <w:sz w:val="19"/>
          <w:szCs w:val="19"/>
        </w:rPr>
        <w:t>D</w:t>
      </w:r>
      <w:r w:rsidR="00717058" w:rsidRPr="00EC7528">
        <w:rPr>
          <w:rFonts w:ascii="Arial" w:hAnsi="Arial" w:cs="Arial"/>
          <w:sz w:val="19"/>
          <w:szCs w:val="19"/>
        </w:rPr>
        <w:t>U</w:t>
      </w:r>
      <w:r w:rsidR="00CA10FF" w:rsidRPr="00EC7528">
        <w:rPr>
          <w:rFonts w:ascii="Arial" w:hAnsi="Arial" w:cs="Arial"/>
          <w:sz w:val="19"/>
          <w:szCs w:val="19"/>
        </w:rPr>
        <w:t>S</w:t>
      </w:r>
      <w:r w:rsidR="00CE4754" w:rsidRPr="00EC7528">
        <w:rPr>
          <w:rFonts w:ascii="Arial" w:hAnsi="Arial" w:cs="Arial"/>
          <w:sz w:val="19"/>
          <w:szCs w:val="19"/>
        </w:rPr>
        <w:t>P“)</w:t>
      </w:r>
      <w:r w:rsidR="00B92C42" w:rsidRPr="00EC7528">
        <w:rPr>
          <w:rFonts w:ascii="Arial" w:hAnsi="Arial" w:cs="Arial"/>
          <w:sz w:val="19"/>
          <w:szCs w:val="19"/>
        </w:rPr>
        <w:t>,</w:t>
      </w:r>
      <w:r w:rsidR="00CE4754" w:rsidRPr="00EC7528">
        <w:rPr>
          <w:rFonts w:ascii="Arial" w:hAnsi="Arial" w:cs="Arial"/>
          <w:sz w:val="19"/>
          <w:szCs w:val="19"/>
        </w:rPr>
        <w:t xml:space="preserve"> včetně </w:t>
      </w:r>
      <w:r w:rsidR="00274FFF" w:rsidRPr="00EC7528">
        <w:rPr>
          <w:rFonts w:ascii="Arial" w:hAnsi="Arial" w:cs="Arial"/>
          <w:b/>
          <w:sz w:val="19"/>
          <w:szCs w:val="19"/>
        </w:rPr>
        <w:t>hodnocení ekonomické efektivnosti</w:t>
      </w:r>
      <w:r w:rsidR="00274FFF" w:rsidRPr="00EC7528">
        <w:rPr>
          <w:rFonts w:ascii="Arial" w:hAnsi="Arial" w:cs="Arial"/>
          <w:sz w:val="19"/>
          <w:szCs w:val="19"/>
        </w:rPr>
        <w:t xml:space="preserve"> </w:t>
      </w:r>
      <w:r w:rsidR="008E199B" w:rsidRPr="00EC7528">
        <w:rPr>
          <w:rFonts w:ascii="Arial" w:hAnsi="Arial" w:cs="Arial"/>
          <w:sz w:val="19"/>
          <w:szCs w:val="19"/>
        </w:rPr>
        <w:t>(</w:t>
      </w:r>
      <w:r w:rsidR="00BF6E2E" w:rsidRPr="00EC7528">
        <w:rPr>
          <w:rFonts w:ascii="Arial" w:hAnsi="Arial" w:cs="Arial"/>
          <w:sz w:val="19"/>
          <w:szCs w:val="19"/>
        </w:rPr>
        <w:t xml:space="preserve">dále </w:t>
      </w:r>
      <w:r w:rsidR="00B92C42" w:rsidRPr="00EC7528">
        <w:rPr>
          <w:rFonts w:ascii="Arial" w:hAnsi="Arial" w:cs="Arial"/>
          <w:sz w:val="19"/>
          <w:szCs w:val="19"/>
        </w:rPr>
        <w:t>jen „</w:t>
      </w:r>
      <w:r w:rsidR="008E199B" w:rsidRPr="00EC7528">
        <w:rPr>
          <w:rFonts w:ascii="Arial" w:hAnsi="Arial" w:cs="Arial"/>
          <w:sz w:val="19"/>
          <w:szCs w:val="19"/>
        </w:rPr>
        <w:t>EH</w:t>
      </w:r>
      <w:r w:rsidR="00B92C42" w:rsidRPr="00EC7528">
        <w:rPr>
          <w:rFonts w:ascii="Arial" w:hAnsi="Arial" w:cs="Arial"/>
          <w:sz w:val="19"/>
          <w:szCs w:val="19"/>
        </w:rPr>
        <w:t>“</w:t>
      </w:r>
      <w:r w:rsidR="008E199B" w:rsidRPr="00EC7528">
        <w:rPr>
          <w:rFonts w:ascii="Arial" w:hAnsi="Arial" w:cs="Arial"/>
          <w:sz w:val="19"/>
          <w:szCs w:val="19"/>
        </w:rPr>
        <w:t>)</w:t>
      </w:r>
      <w:r w:rsidR="00C1529C" w:rsidRPr="00EC7528">
        <w:rPr>
          <w:rFonts w:ascii="Arial" w:hAnsi="Arial" w:cs="Arial"/>
          <w:sz w:val="19"/>
          <w:szCs w:val="19"/>
        </w:rPr>
        <w:t xml:space="preserve"> </w:t>
      </w:r>
      <w:r w:rsidR="00274FFF" w:rsidRPr="00EC7528">
        <w:rPr>
          <w:rFonts w:ascii="Arial" w:hAnsi="Arial" w:cs="Arial"/>
          <w:sz w:val="19"/>
          <w:szCs w:val="19"/>
        </w:rPr>
        <w:t xml:space="preserve">a </w:t>
      </w:r>
      <w:r w:rsidR="00010322" w:rsidRPr="00EC7528">
        <w:rPr>
          <w:rFonts w:ascii="Arial" w:hAnsi="Arial" w:cs="Arial"/>
          <w:b/>
          <w:sz w:val="19"/>
          <w:szCs w:val="19"/>
        </w:rPr>
        <w:t>s</w:t>
      </w:r>
      <w:r w:rsidR="00230849" w:rsidRPr="00EC7528">
        <w:rPr>
          <w:rFonts w:ascii="Arial" w:hAnsi="Arial" w:cs="Arial"/>
          <w:b/>
          <w:sz w:val="19"/>
          <w:szCs w:val="19"/>
        </w:rPr>
        <w:t>ouhrnného</w:t>
      </w:r>
      <w:r w:rsidR="00274FFF" w:rsidRPr="00EC7528">
        <w:rPr>
          <w:rFonts w:ascii="Arial" w:hAnsi="Arial" w:cs="Arial"/>
          <w:b/>
          <w:sz w:val="19"/>
          <w:szCs w:val="19"/>
        </w:rPr>
        <w:t xml:space="preserve"> rozpočt</w:t>
      </w:r>
      <w:r w:rsidR="00230849" w:rsidRPr="00EC7528">
        <w:rPr>
          <w:rFonts w:ascii="Arial" w:hAnsi="Arial" w:cs="Arial"/>
          <w:b/>
          <w:sz w:val="19"/>
          <w:szCs w:val="19"/>
        </w:rPr>
        <w:t>u</w:t>
      </w:r>
      <w:r w:rsidR="00BF6E2E" w:rsidRPr="00EC7528">
        <w:rPr>
          <w:rFonts w:ascii="Arial" w:hAnsi="Arial" w:cs="Arial"/>
          <w:sz w:val="19"/>
          <w:szCs w:val="19"/>
        </w:rPr>
        <w:t xml:space="preserve"> (dále </w:t>
      </w:r>
      <w:r w:rsidR="00274FFF" w:rsidRPr="00EC7528">
        <w:rPr>
          <w:rFonts w:ascii="Arial" w:hAnsi="Arial" w:cs="Arial"/>
          <w:sz w:val="19"/>
          <w:szCs w:val="19"/>
        </w:rPr>
        <w:t>jen „</w:t>
      </w:r>
      <w:r w:rsidR="00230849" w:rsidRPr="00EC7528">
        <w:rPr>
          <w:rFonts w:ascii="Arial" w:hAnsi="Arial" w:cs="Arial"/>
          <w:sz w:val="19"/>
          <w:szCs w:val="19"/>
        </w:rPr>
        <w:t>S</w:t>
      </w:r>
      <w:r w:rsidR="00274FFF" w:rsidRPr="00EC7528">
        <w:rPr>
          <w:rFonts w:ascii="Arial" w:hAnsi="Arial" w:cs="Arial"/>
          <w:sz w:val="19"/>
          <w:szCs w:val="19"/>
        </w:rPr>
        <w:t xml:space="preserve">R“), </w:t>
      </w:r>
      <w:r w:rsidR="007E0062" w:rsidRPr="00EC7528">
        <w:rPr>
          <w:rFonts w:ascii="Arial" w:hAnsi="Arial" w:cs="Arial"/>
          <w:sz w:val="19"/>
          <w:szCs w:val="19"/>
        </w:rPr>
        <w:t xml:space="preserve">v podrobnostech </w:t>
      </w:r>
      <w:r w:rsidR="00AC3560" w:rsidRPr="00EC7528">
        <w:rPr>
          <w:rFonts w:ascii="Arial" w:hAnsi="Arial" w:cs="Arial"/>
          <w:b/>
          <w:sz w:val="19"/>
          <w:szCs w:val="19"/>
        </w:rPr>
        <w:t>Projektové dokumentace pro provádění stavby</w:t>
      </w:r>
      <w:r w:rsidR="00AC3560" w:rsidRPr="00EC7528">
        <w:rPr>
          <w:rFonts w:ascii="Arial" w:hAnsi="Arial" w:cs="Arial"/>
          <w:sz w:val="19"/>
          <w:szCs w:val="19"/>
        </w:rPr>
        <w:t xml:space="preserve"> (dále jen „PDPS“), </w:t>
      </w:r>
      <w:r w:rsidR="00274FFF" w:rsidRPr="00EC7528">
        <w:rPr>
          <w:rFonts w:ascii="Arial" w:hAnsi="Arial" w:cs="Arial"/>
          <w:b/>
          <w:sz w:val="19"/>
          <w:szCs w:val="19"/>
        </w:rPr>
        <w:t xml:space="preserve">činnosti </w:t>
      </w:r>
      <w:r w:rsidR="00C1529C" w:rsidRPr="00EC7528">
        <w:rPr>
          <w:rFonts w:ascii="Arial" w:hAnsi="Arial" w:cs="Arial"/>
          <w:b/>
          <w:sz w:val="19"/>
          <w:szCs w:val="19"/>
        </w:rPr>
        <w:t>koordinátora BOZP v přípravě</w:t>
      </w:r>
      <w:r w:rsidR="0026700B" w:rsidRPr="00EC7528">
        <w:rPr>
          <w:rFonts w:ascii="Arial" w:hAnsi="Arial" w:cs="Arial"/>
          <w:sz w:val="19"/>
          <w:szCs w:val="19"/>
        </w:rPr>
        <w:t xml:space="preserve"> </w:t>
      </w:r>
      <w:r w:rsidR="00C1529C" w:rsidRPr="00EC7528">
        <w:rPr>
          <w:rFonts w:ascii="Arial" w:hAnsi="Arial" w:cs="Arial"/>
          <w:sz w:val="19"/>
          <w:szCs w:val="19"/>
        </w:rPr>
        <w:t xml:space="preserve">a </w:t>
      </w:r>
      <w:r w:rsidR="00C1529C" w:rsidRPr="00EC7528">
        <w:rPr>
          <w:rFonts w:ascii="Arial" w:hAnsi="Arial" w:cs="Arial"/>
          <w:b/>
          <w:sz w:val="19"/>
          <w:szCs w:val="19"/>
        </w:rPr>
        <w:t>provádění autorského dozoru</w:t>
      </w:r>
      <w:r w:rsidR="00C1529C" w:rsidRPr="00EC7528">
        <w:rPr>
          <w:rFonts w:ascii="Arial" w:hAnsi="Arial" w:cs="Arial"/>
          <w:sz w:val="19"/>
          <w:szCs w:val="19"/>
        </w:rPr>
        <w:t xml:space="preserve"> </w:t>
      </w:r>
      <w:r w:rsidR="00BF6E2E" w:rsidRPr="00EC7528">
        <w:rPr>
          <w:rFonts w:ascii="Arial" w:hAnsi="Arial" w:cs="Arial"/>
          <w:sz w:val="19"/>
          <w:szCs w:val="19"/>
        </w:rPr>
        <w:t xml:space="preserve">(dále </w:t>
      </w:r>
      <w:r w:rsidR="009A5CE7" w:rsidRPr="00EC7528">
        <w:rPr>
          <w:rFonts w:ascii="Arial" w:hAnsi="Arial" w:cs="Arial"/>
          <w:sz w:val="19"/>
          <w:szCs w:val="19"/>
        </w:rPr>
        <w:t xml:space="preserve">jen </w:t>
      </w:r>
      <w:r w:rsidR="004547EF" w:rsidRPr="00EC7528">
        <w:rPr>
          <w:rFonts w:ascii="Arial" w:hAnsi="Arial" w:cs="Arial"/>
          <w:sz w:val="19"/>
          <w:szCs w:val="19"/>
        </w:rPr>
        <w:t>„</w:t>
      </w:r>
      <w:r w:rsidR="009A5CE7" w:rsidRPr="00EC7528">
        <w:rPr>
          <w:rFonts w:ascii="Arial" w:hAnsi="Arial" w:cs="Arial"/>
          <w:sz w:val="19"/>
          <w:szCs w:val="19"/>
        </w:rPr>
        <w:t>AD</w:t>
      </w:r>
      <w:r w:rsidR="004547EF" w:rsidRPr="00EC7528">
        <w:rPr>
          <w:rFonts w:ascii="Arial" w:hAnsi="Arial" w:cs="Arial"/>
          <w:sz w:val="19"/>
          <w:szCs w:val="19"/>
        </w:rPr>
        <w:t>“</w:t>
      </w:r>
      <w:r w:rsidR="009A5CE7" w:rsidRPr="00EC7528">
        <w:rPr>
          <w:rFonts w:ascii="Arial" w:hAnsi="Arial" w:cs="Arial"/>
          <w:sz w:val="19"/>
          <w:szCs w:val="19"/>
        </w:rPr>
        <w:t xml:space="preserve">) </w:t>
      </w:r>
      <w:r w:rsidR="00B92C42" w:rsidRPr="00EC7528">
        <w:rPr>
          <w:rFonts w:ascii="Arial" w:hAnsi="Arial" w:cs="Arial"/>
          <w:sz w:val="19"/>
          <w:szCs w:val="19"/>
        </w:rPr>
        <w:t xml:space="preserve">stavby </w:t>
      </w:r>
      <w:r w:rsidR="00CE4754" w:rsidRPr="00EC7528">
        <w:rPr>
          <w:rFonts w:ascii="Arial" w:hAnsi="Arial" w:cs="Arial"/>
          <w:b/>
          <w:sz w:val="19"/>
          <w:szCs w:val="19"/>
        </w:rPr>
        <w:t>„</w:t>
      </w:r>
      <w:r w:rsidR="00631F12" w:rsidRPr="00EC7528">
        <w:rPr>
          <w:rFonts w:ascii="Arial" w:hAnsi="Arial" w:cs="Arial"/>
          <w:b/>
          <w:sz w:val="19"/>
          <w:szCs w:val="19"/>
        </w:rPr>
        <w:t>Rekonstrukce mostu v km 20,691 na trati Domažlice – Planá u M.L.</w:t>
      </w:r>
      <w:r w:rsidR="00CE4754" w:rsidRPr="00EC7528">
        <w:rPr>
          <w:rFonts w:ascii="Arial" w:hAnsi="Arial" w:cs="Arial"/>
          <w:b/>
          <w:sz w:val="19"/>
          <w:szCs w:val="19"/>
        </w:rPr>
        <w:t>“</w:t>
      </w:r>
      <w:r w:rsidR="009B1BBB" w:rsidRPr="00EC7528">
        <w:rPr>
          <w:rFonts w:ascii="Arial" w:hAnsi="Arial" w:cs="Arial"/>
          <w:sz w:val="19"/>
          <w:szCs w:val="19"/>
        </w:rPr>
        <w:t xml:space="preserve"> </w:t>
      </w:r>
      <w:r w:rsidR="00CE4754" w:rsidRPr="00EC7528">
        <w:rPr>
          <w:rFonts w:ascii="Arial" w:hAnsi="Arial" w:cs="Arial"/>
          <w:sz w:val="19"/>
          <w:szCs w:val="19"/>
        </w:rPr>
        <w:t>v rozsahu stanoveném zadávací dokumentací a předloženou nabídkou</w:t>
      </w:r>
      <w:r w:rsidR="00F12F9E" w:rsidRPr="00EC7528">
        <w:rPr>
          <w:rFonts w:ascii="Arial" w:hAnsi="Arial" w:cs="Arial"/>
          <w:sz w:val="19"/>
          <w:szCs w:val="19"/>
        </w:rPr>
        <w:t xml:space="preserve"> zhotovitele</w:t>
      </w:r>
      <w:r w:rsidR="00CC1763" w:rsidRPr="00EC7528">
        <w:rPr>
          <w:rFonts w:ascii="Arial" w:hAnsi="Arial" w:cs="Arial"/>
          <w:sz w:val="19"/>
          <w:szCs w:val="19"/>
        </w:rPr>
        <w:t>,</w:t>
      </w:r>
      <w:r w:rsidR="00CE4754" w:rsidRPr="00EC7528">
        <w:rPr>
          <w:rFonts w:ascii="Arial" w:hAnsi="Arial" w:cs="Arial"/>
          <w:sz w:val="19"/>
          <w:szCs w:val="19"/>
        </w:rPr>
        <w:t xml:space="preserve"> </w:t>
      </w:r>
      <w:r w:rsidR="00DE2629" w:rsidRPr="00EC7528">
        <w:rPr>
          <w:rFonts w:ascii="Arial" w:hAnsi="Arial" w:cs="Arial"/>
          <w:sz w:val="19"/>
          <w:szCs w:val="19"/>
        </w:rPr>
        <w:t xml:space="preserve">včetně zajištění komplexního inženýringu pro vydání </w:t>
      </w:r>
      <w:r w:rsidR="0027573A" w:rsidRPr="00EC7528">
        <w:rPr>
          <w:rFonts w:ascii="Arial" w:hAnsi="Arial" w:cs="Arial"/>
          <w:sz w:val="19"/>
          <w:szCs w:val="19"/>
        </w:rPr>
        <w:t>společného</w:t>
      </w:r>
      <w:r w:rsidR="00C1529C" w:rsidRPr="00EC7528">
        <w:rPr>
          <w:rFonts w:ascii="Arial" w:hAnsi="Arial" w:cs="Arial"/>
          <w:sz w:val="19"/>
          <w:szCs w:val="19"/>
        </w:rPr>
        <w:t xml:space="preserve"> povolení</w:t>
      </w:r>
      <w:r w:rsidR="00702F00" w:rsidRPr="00EC7528">
        <w:rPr>
          <w:rFonts w:ascii="Arial" w:hAnsi="Arial" w:cs="Arial"/>
          <w:sz w:val="19"/>
          <w:szCs w:val="19"/>
        </w:rPr>
        <w:t xml:space="preserve"> </w:t>
      </w:r>
      <w:r w:rsidR="00DE2629" w:rsidRPr="00EC7528">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rsidR="00CB78AC" w:rsidRPr="00631F12"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4547EF" w:rsidRPr="00631F12">
        <w:rPr>
          <w:rFonts w:ascii="Arial" w:hAnsi="Arial" w:cs="Arial"/>
          <w:sz w:val="19"/>
          <w:szCs w:val="19"/>
        </w:rPr>
        <w:t>……………../20x</w:t>
      </w:r>
      <w:r w:rsidRPr="00631F12">
        <w:rPr>
          <w:rFonts w:ascii="Arial" w:hAnsi="Arial" w:cs="Arial"/>
          <w:sz w:val="19"/>
          <w:szCs w:val="19"/>
        </w:rPr>
        <w:t>x</w:t>
      </w:r>
      <w:r w:rsidR="00456C5A" w:rsidRPr="00631F12">
        <w:rPr>
          <w:rFonts w:ascii="Arial" w:hAnsi="Arial" w:cs="Arial"/>
          <w:sz w:val="19"/>
          <w:szCs w:val="19"/>
        </w:rPr>
        <w:t>/SŽ</w:t>
      </w:r>
      <w:r w:rsidRPr="00631F12">
        <w:rPr>
          <w:rFonts w:ascii="Arial" w:hAnsi="Arial" w:cs="Arial"/>
          <w:sz w:val="19"/>
          <w:szCs w:val="19"/>
        </w:rPr>
        <w:t xml:space="preserve">-SSZ-OVZ ze dne …………………….., </w:t>
      </w:r>
      <w:r w:rsidR="004547EF" w:rsidRPr="00631F12">
        <w:rPr>
          <w:rFonts w:ascii="Arial" w:hAnsi="Arial" w:cs="Arial"/>
          <w:sz w:val="19"/>
          <w:szCs w:val="19"/>
        </w:rPr>
        <w:t>vč.</w:t>
      </w:r>
      <w:r w:rsidRPr="00631F12">
        <w:rPr>
          <w:rFonts w:ascii="Arial" w:hAnsi="Arial" w:cs="Arial"/>
          <w:sz w:val="19"/>
          <w:szCs w:val="19"/>
        </w:rPr>
        <w:t xml:space="preserve"> příloh</w:t>
      </w:r>
    </w:p>
    <w:p w:rsidR="00CB78AC" w:rsidRPr="00631F12" w:rsidRDefault="004547EF" w:rsidP="00CB78AC">
      <w:pPr>
        <w:numPr>
          <w:ilvl w:val="0"/>
          <w:numId w:val="20"/>
        </w:numPr>
        <w:suppressAutoHyphens/>
        <w:spacing w:after="60"/>
        <w:ind w:left="1418" w:hanging="284"/>
        <w:jc w:val="both"/>
        <w:rPr>
          <w:rFonts w:ascii="Arial" w:hAnsi="Arial" w:cs="Arial"/>
          <w:sz w:val="19"/>
          <w:szCs w:val="19"/>
        </w:rPr>
      </w:pPr>
      <w:r w:rsidRPr="00631F12">
        <w:rPr>
          <w:rFonts w:ascii="Arial" w:hAnsi="Arial" w:cs="Arial"/>
          <w:sz w:val="19"/>
          <w:szCs w:val="19"/>
        </w:rPr>
        <w:t>Smlouva o dílo, vč. příloh</w:t>
      </w:r>
    </w:p>
    <w:p w:rsidR="00CB78AC" w:rsidRPr="00631F12"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631F12">
        <w:rPr>
          <w:rFonts w:ascii="Arial" w:hAnsi="Arial" w:cs="Arial"/>
          <w:sz w:val="19"/>
          <w:szCs w:val="19"/>
        </w:rPr>
        <w:t>Nabíd</w:t>
      </w:r>
      <w:r w:rsidR="004547EF" w:rsidRPr="00631F12">
        <w:rPr>
          <w:rFonts w:ascii="Arial" w:hAnsi="Arial" w:cs="Arial"/>
          <w:sz w:val="19"/>
          <w:szCs w:val="19"/>
        </w:rPr>
        <w:t>ka zhotovitele ze dne ……..</w:t>
      </w:r>
      <w:r w:rsidRPr="00631F12">
        <w:rPr>
          <w:rFonts w:ascii="Arial" w:hAnsi="Arial" w:cs="Arial"/>
          <w:sz w:val="19"/>
          <w:szCs w:val="19"/>
        </w:rPr>
        <w:t>, která byla obje</w:t>
      </w:r>
      <w:r w:rsidR="00C10155" w:rsidRPr="00631F12">
        <w:rPr>
          <w:rFonts w:ascii="Arial" w:hAnsi="Arial" w:cs="Arial"/>
          <w:sz w:val="19"/>
          <w:szCs w:val="19"/>
        </w:rPr>
        <w:t xml:space="preserve">dnatelem přijata Rozhodnutím a </w:t>
      </w:r>
      <w:r w:rsidRPr="00631F12">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631F12">
        <w:rPr>
          <w:rFonts w:ascii="Arial" w:hAnsi="Arial" w:cs="Arial"/>
          <w:sz w:val="19"/>
          <w:szCs w:val="19"/>
        </w:rPr>
        <w:t xml:space="preserve"> zadavatele o </w:t>
      </w:r>
      <w:r w:rsidR="004547EF" w:rsidRPr="00631F12">
        <w:rPr>
          <w:rFonts w:ascii="Arial" w:hAnsi="Arial" w:cs="Arial"/>
          <w:sz w:val="19"/>
          <w:szCs w:val="19"/>
        </w:rPr>
        <w:t>výběru dodavatele čj.: ………../20x</w:t>
      </w:r>
      <w:r w:rsidRPr="00631F12">
        <w:rPr>
          <w:rFonts w:ascii="Arial" w:hAnsi="Arial" w:cs="Arial"/>
          <w:sz w:val="19"/>
          <w:szCs w:val="19"/>
        </w:rPr>
        <w:t>x</w:t>
      </w:r>
      <w:r w:rsidR="00456C5A" w:rsidRPr="00631F12">
        <w:rPr>
          <w:rFonts w:ascii="Arial" w:hAnsi="Arial" w:cs="Arial"/>
          <w:sz w:val="19"/>
          <w:szCs w:val="19"/>
        </w:rPr>
        <w:t>/SŽ</w:t>
      </w:r>
      <w:r w:rsidRPr="00631F12">
        <w:rPr>
          <w:rFonts w:ascii="Arial" w:hAnsi="Arial" w:cs="Arial"/>
          <w:sz w:val="19"/>
          <w:szCs w:val="19"/>
        </w:rPr>
        <w:t>-SSZ-OVZ ze dne ………………………..</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392B01"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w:t>
      </w:r>
      <w:r w:rsidRPr="00392B01">
        <w:rPr>
          <w:rFonts w:ascii="Arial" w:hAnsi="Arial"/>
          <w:sz w:val="19"/>
          <w:szCs w:val="19"/>
        </w:rPr>
        <w:t>Správa železniční dopravní cesty, v platném znění</w:t>
      </w:r>
    </w:p>
    <w:p w:rsidR="00CB78AC" w:rsidRPr="00E9641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92B01">
        <w:rPr>
          <w:rFonts w:ascii="Arial" w:hAnsi="Arial"/>
          <w:sz w:val="19"/>
          <w:szCs w:val="19"/>
        </w:rPr>
        <w:t xml:space="preserve">Směrnice SŽDC SM62 Postupy v přípravě investičních staveb státní organizace Správy </w:t>
      </w:r>
      <w:r w:rsidRPr="00E9641E">
        <w:rPr>
          <w:rFonts w:ascii="Arial" w:hAnsi="Arial"/>
          <w:sz w:val="19"/>
          <w:szCs w:val="19"/>
        </w:rPr>
        <w:t>železniční dopravní cesty, v platném znění</w:t>
      </w:r>
    </w:p>
    <w:p w:rsidR="00CB78AC" w:rsidRPr="00E9641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E9641E">
        <w:rPr>
          <w:rFonts w:ascii="Arial" w:hAnsi="Arial" w:cs="Arial"/>
          <w:sz w:val="19"/>
          <w:szCs w:val="19"/>
        </w:rPr>
        <w:t xml:space="preserve">Směrnice SŽDC č. 32 Zásady rekonstrukce regionálních drah, v platném znění </w:t>
      </w:r>
    </w:p>
    <w:p w:rsidR="00CB78AC" w:rsidRPr="00392B01"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92B01">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92B01">
        <w:rPr>
          <w:rFonts w:ascii="Arial" w:hAnsi="Arial" w:cs="Arial"/>
          <w:sz w:val="19"/>
          <w:szCs w:val="19"/>
        </w:rPr>
        <w:t>Vyhláška č.</w:t>
      </w:r>
      <w:r w:rsidRPr="00DA4104">
        <w:rPr>
          <w:rFonts w:ascii="Arial" w:hAnsi="Arial" w:cs="Arial"/>
          <w:sz w:val="19"/>
          <w:szCs w:val="19"/>
        </w:rPr>
        <w:t xml:space="preserve">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11"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2"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3" w:history="1">
        <w:r w:rsidR="00392B01" w:rsidRPr="00FD6D1A">
          <w:rPr>
            <w:rStyle w:val="Hypertextovodkaz"/>
            <w:rFonts w:ascii="Arial" w:hAnsi="Arial" w:cs="Arial"/>
            <w:sz w:val="19"/>
            <w:szCs w:val="19"/>
          </w:rPr>
          <w:t>https://www.spravazeleznic.cz/</w:t>
        </w:r>
      </w:hyperlink>
      <w:r w:rsidR="006040EF" w:rsidRPr="006040EF">
        <w:rPr>
          <w:rFonts w:ascii="Arial" w:hAnsi="Arial" w:cs="Arial"/>
          <w:sz w:val="19"/>
          <w:szCs w:val="19"/>
        </w:rPr>
        <w:t xml:space="preserve"> (v sekci „O nás“ –&gt; „Vnitřní předpisy“ odkaz „Dokumenty a předpisy“) a na </w:t>
      </w:r>
      <w:hyperlink r:id="rId14"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lastRenderedPageBreak/>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rsidTr="00052931">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052931">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052931">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052931">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052931" w:rsidRPr="00DA4104" w:rsidTr="00052931">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052931" w:rsidRPr="00052931" w:rsidRDefault="00052931" w:rsidP="00052931">
            <w:pPr>
              <w:jc w:val="center"/>
              <w:rPr>
                <w:rFonts w:ascii="Arial" w:hAnsi="Arial" w:cs="Arial"/>
                <w:b/>
                <w:bCs/>
                <w:sz w:val="19"/>
                <w:szCs w:val="19"/>
              </w:rPr>
            </w:pPr>
            <w:r w:rsidRPr="00052931">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052931" w:rsidRPr="00052931" w:rsidRDefault="00052931" w:rsidP="00052931">
            <w:pPr>
              <w:jc w:val="center"/>
              <w:rPr>
                <w:rFonts w:ascii="Arial" w:hAnsi="Arial" w:cs="Arial"/>
                <w:b/>
                <w:bCs/>
                <w:sz w:val="19"/>
                <w:szCs w:val="19"/>
              </w:rPr>
            </w:pPr>
            <w:r w:rsidRPr="00052931">
              <w:rPr>
                <w:rFonts w:ascii="Arial" w:hAnsi="Arial" w:cs="Arial"/>
                <w:b/>
                <w:bCs/>
                <w:sz w:val="19"/>
                <w:szCs w:val="19"/>
              </w:rPr>
              <w:t>do 6 měsíců po nabytí</w:t>
            </w:r>
          </w:p>
          <w:p w:rsidR="00052931" w:rsidRPr="00052931" w:rsidRDefault="00052931" w:rsidP="00052931">
            <w:pPr>
              <w:jc w:val="center"/>
              <w:rPr>
                <w:rFonts w:ascii="Arial" w:hAnsi="Arial" w:cs="Arial"/>
                <w:b/>
                <w:bCs/>
                <w:sz w:val="19"/>
                <w:szCs w:val="19"/>
              </w:rPr>
            </w:pPr>
            <w:r w:rsidRPr="00052931">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052931" w:rsidRPr="00052931" w:rsidRDefault="00052931" w:rsidP="00052931">
            <w:pPr>
              <w:pStyle w:val="TPText-3neslovan"/>
              <w:tabs>
                <w:tab w:val="num" w:pos="851"/>
              </w:tabs>
              <w:spacing w:before="0"/>
              <w:ind w:left="0"/>
              <w:jc w:val="center"/>
              <w:rPr>
                <w:rFonts w:ascii="Arial" w:hAnsi="Arial"/>
                <w:sz w:val="19"/>
                <w:szCs w:val="19"/>
              </w:rPr>
            </w:pPr>
            <w:r w:rsidRPr="00052931">
              <w:rPr>
                <w:rFonts w:ascii="Arial" w:hAnsi="Arial"/>
                <w:sz w:val="19"/>
                <w:szCs w:val="19"/>
              </w:rPr>
              <w:t>DUSP včetně EH a SR v podrobnostech PDPS k připomínkám</w:t>
            </w:r>
          </w:p>
          <w:p w:rsidR="00052931" w:rsidRPr="00052931" w:rsidRDefault="00052931" w:rsidP="00052931">
            <w:pPr>
              <w:ind w:right="-54"/>
              <w:jc w:val="center"/>
              <w:rPr>
                <w:rFonts w:ascii="Arial" w:hAnsi="Arial" w:cs="Arial"/>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052931" w:rsidRPr="00052931" w:rsidRDefault="00052931" w:rsidP="00052931">
            <w:pPr>
              <w:ind w:left="73" w:right="-54"/>
              <w:jc w:val="center"/>
              <w:rPr>
                <w:rFonts w:ascii="Arial" w:hAnsi="Arial" w:cs="Arial"/>
                <w:sz w:val="19"/>
                <w:szCs w:val="19"/>
              </w:rPr>
            </w:pPr>
            <w:r w:rsidRPr="00052931">
              <w:rPr>
                <w:rFonts w:ascii="Arial" w:hAnsi="Arial" w:cs="Arial"/>
                <w:sz w:val="19"/>
                <w:szCs w:val="19"/>
              </w:rPr>
              <w:t>Předávací</w:t>
            </w:r>
          </w:p>
          <w:p w:rsidR="00052931" w:rsidRPr="00052931" w:rsidRDefault="00052931" w:rsidP="00052931">
            <w:pPr>
              <w:ind w:left="73" w:right="-54"/>
              <w:jc w:val="center"/>
              <w:rPr>
                <w:rFonts w:ascii="Arial" w:hAnsi="Arial" w:cs="Arial"/>
                <w:sz w:val="19"/>
                <w:szCs w:val="19"/>
              </w:rPr>
            </w:pPr>
            <w:r w:rsidRPr="00052931">
              <w:rPr>
                <w:rFonts w:ascii="Arial" w:hAnsi="Arial" w:cs="Arial"/>
                <w:sz w:val="19"/>
                <w:szCs w:val="19"/>
              </w:rPr>
              <w:t>protokol pro</w:t>
            </w:r>
          </w:p>
          <w:p w:rsidR="00052931" w:rsidRPr="00052931" w:rsidRDefault="00052931" w:rsidP="00052931">
            <w:pPr>
              <w:ind w:left="73" w:right="-54"/>
              <w:jc w:val="center"/>
              <w:rPr>
                <w:rFonts w:ascii="Arial" w:hAnsi="Arial" w:cs="Arial"/>
                <w:sz w:val="19"/>
                <w:szCs w:val="19"/>
              </w:rPr>
            </w:pPr>
            <w:r w:rsidRPr="00052931">
              <w:rPr>
                <w:rFonts w:ascii="Arial" w:hAnsi="Arial" w:cs="Arial"/>
                <w:sz w:val="19"/>
                <w:szCs w:val="19"/>
              </w:rPr>
              <w:t>část díla podepsaný zadavatelem</w:t>
            </w:r>
          </w:p>
        </w:tc>
      </w:tr>
      <w:tr w:rsidR="00052931" w:rsidRPr="00DA4104" w:rsidTr="00052931">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052931" w:rsidRPr="00052931" w:rsidRDefault="00052931" w:rsidP="00052931">
            <w:pPr>
              <w:jc w:val="center"/>
              <w:rPr>
                <w:rFonts w:ascii="Arial" w:hAnsi="Arial" w:cs="Arial"/>
                <w:b/>
                <w:bCs/>
                <w:sz w:val="19"/>
                <w:szCs w:val="19"/>
              </w:rPr>
            </w:pPr>
            <w:r w:rsidRPr="00052931">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052931" w:rsidRPr="00052931" w:rsidRDefault="00052931" w:rsidP="00052931">
            <w:pPr>
              <w:jc w:val="center"/>
              <w:rPr>
                <w:rFonts w:ascii="Arial" w:hAnsi="Arial" w:cs="Arial"/>
                <w:b/>
                <w:bCs/>
                <w:sz w:val="19"/>
                <w:szCs w:val="19"/>
              </w:rPr>
            </w:pPr>
            <w:r w:rsidRPr="00052931">
              <w:rPr>
                <w:rFonts w:ascii="Arial" w:hAnsi="Arial" w:cs="Arial"/>
                <w:b/>
                <w:bCs/>
                <w:sz w:val="19"/>
                <w:szCs w:val="19"/>
              </w:rPr>
              <w:t>do 8 měsíců po nabytí</w:t>
            </w:r>
          </w:p>
          <w:p w:rsidR="00052931" w:rsidRPr="00052931" w:rsidRDefault="00052931" w:rsidP="00052931">
            <w:pPr>
              <w:jc w:val="center"/>
              <w:rPr>
                <w:rFonts w:ascii="Arial" w:hAnsi="Arial" w:cs="Arial"/>
                <w:b/>
                <w:bCs/>
                <w:sz w:val="19"/>
                <w:szCs w:val="19"/>
              </w:rPr>
            </w:pPr>
            <w:r w:rsidRPr="00052931">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052931" w:rsidRPr="00052931" w:rsidRDefault="00052931" w:rsidP="00052931">
            <w:pPr>
              <w:pStyle w:val="TPText-3neslovan"/>
              <w:tabs>
                <w:tab w:val="num" w:pos="851"/>
              </w:tabs>
              <w:spacing w:before="0"/>
              <w:ind w:left="0"/>
              <w:jc w:val="center"/>
              <w:rPr>
                <w:rFonts w:ascii="Arial" w:hAnsi="Arial"/>
                <w:bCs/>
                <w:sz w:val="19"/>
                <w:szCs w:val="19"/>
              </w:rPr>
            </w:pPr>
            <w:r w:rsidRPr="00052931">
              <w:rPr>
                <w:rFonts w:ascii="Arial" w:hAnsi="Arial"/>
                <w:sz w:val="19"/>
                <w:szCs w:val="19"/>
              </w:rPr>
              <w:t xml:space="preserve">Čistopis DUSP k podání žádosti o společné povolení, včetně EH a SR, v podrobnostech PDPS s kompletní dokladovou částí, specifikací </w:t>
            </w:r>
            <w:r w:rsidRPr="00052931">
              <w:rPr>
                <w:rFonts w:ascii="Arial" w:hAnsi="Arial"/>
                <w:bCs/>
                <w:sz w:val="19"/>
                <w:szCs w:val="19"/>
              </w:rPr>
              <w:t>pro výběr zhotovitele stavby, oceněného a neoceněného soupisu prací s výkazem výměr včetně všeobecného objektu</w:t>
            </w:r>
          </w:p>
        </w:tc>
        <w:tc>
          <w:tcPr>
            <w:tcW w:w="934" w:type="pct"/>
            <w:tcBorders>
              <w:top w:val="nil"/>
              <w:left w:val="nil"/>
              <w:bottom w:val="single" w:sz="8" w:space="0" w:color="auto"/>
              <w:right w:val="single" w:sz="8" w:space="0" w:color="auto"/>
            </w:tcBorders>
            <w:shd w:val="clear" w:color="000000" w:fill="FFFFFF"/>
            <w:vAlign w:val="center"/>
          </w:tcPr>
          <w:p w:rsidR="00052931" w:rsidRPr="00052931" w:rsidRDefault="00052931" w:rsidP="00052931">
            <w:pPr>
              <w:ind w:left="73" w:right="-54"/>
              <w:jc w:val="center"/>
              <w:rPr>
                <w:rFonts w:ascii="Arial" w:hAnsi="Arial" w:cs="Arial"/>
                <w:sz w:val="19"/>
                <w:szCs w:val="19"/>
              </w:rPr>
            </w:pPr>
            <w:r w:rsidRPr="00052931">
              <w:rPr>
                <w:rFonts w:ascii="Arial" w:hAnsi="Arial" w:cs="Arial"/>
                <w:sz w:val="19"/>
                <w:szCs w:val="19"/>
              </w:rPr>
              <w:t>Předávací</w:t>
            </w:r>
          </w:p>
          <w:p w:rsidR="00052931" w:rsidRPr="00052931" w:rsidRDefault="00052931" w:rsidP="00052931">
            <w:pPr>
              <w:ind w:left="73" w:right="-54"/>
              <w:jc w:val="center"/>
              <w:rPr>
                <w:rFonts w:ascii="Arial" w:hAnsi="Arial" w:cs="Arial"/>
                <w:sz w:val="19"/>
                <w:szCs w:val="19"/>
              </w:rPr>
            </w:pPr>
            <w:r w:rsidRPr="00052931">
              <w:rPr>
                <w:rFonts w:ascii="Arial" w:hAnsi="Arial" w:cs="Arial"/>
                <w:sz w:val="19"/>
                <w:szCs w:val="19"/>
              </w:rPr>
              <w:t>protokol pro</w:t>
            </w:r>
          </w:p>
          <w:p w:rsidR="00052931" w:rsidRPr="00052931" w:rsidRDefault="00052931" w:rsidP="00052931">
            <w:pPr>
              <w:ind w:left="73" w:right="-54"/>
              <w:jc w:val="center"/>
              <w:rPr>
                <w:rFonts w:ascii="Arial" w:hAnsi="Arial" w:cs="Arial"/>
                <w:sz w:val="19"/>
                <w:szCs w:val="19"/>
              </w:rPr>
            </w:pPr>
            <w:r w:rsidRPr="00052931">
              <w:rPr>
                <w:rFonts w:ascii="Arial" w:hAnsi="Arial" w:cs="Arial"/>
                <w:sz w:val="19"/>
                <w:szCs w:val="19"/>
              </w:rPr>
              <w:t>část díla podepsaný zadavatelem</w:t>
            </w:r>
          </w:p>
        </w:tc>
      </w:tr>
      <w:tr w:rsidR="00052931" w:rsidRPr="00DA4104" w:rsidTr="00052931">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052931" w:rsidRPr="00052931" w:rsidRDefault="00052931" w:rsidP="00052931">
            <w:pPr>
              <w:jc w:val="center"/>
              <w:rPr>
                <w:rFonts w:ascii="Arial" w:hAnsi="Arial" w:cs="Arial"/>
                <w:b/>
                <w:bCs/>
                <w:sz w:val="19"/>
                <w:szCs w:val="19"/>
              </w:rPr>
            </w:pPr>
            <w:r w:rsidRPr="00052931">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052931" w:rsidRPr="00052931" w:rsidRDefault="00052931" w:rsidP="00052931">
            <w:pPr>
              <w:jc w:val="center"/>
              <w:rPr>
                <w:rFonts w:ascii="Arial" w:hAnsi="Arial" w:cs="Arial"/>
                <w:b/>
                <w:bCs/>
                <w:sz w:val="19"/>
                <w:szCs w:val="19"/>
              </w:rPr>
            </w:pPr>
            <w:r w:rsidRPr="00052931">
              <w:rPr>
                <w:rFonts w:ascii="Arial" w:hAnsi="Arial" w:cs="Arial"/>
                <w:b/>
                <w:bCs/>
                <w:sz w:val="19"/>
                <w:szCs w:val="19"/>
              </w:rPr>
              <w:t>do 10 měsíců po nabytí</w:t>
            </w:r>
          </w:p>
          <w:p w:rsidR="00052931" w:rsidRPr="00052931" w:rsidRDefault="00052931" w:rsidP="00052931">
            <w:pPr>
              <w:jc w:val="center"/>
              <w:rPr>
                <w:rFonts w:ascii="Arial" w:hAnsi="Arial" w:cs="Arial"/>
                <w:b/>
                <w:bCs/>
                <w:sz w:val="19"/>
                <w:szCs w:val="19"/>
              </w:rPr>
            </w:pPr>
            <w:r w:rsidRPr="00052931">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052931" w:rsidRPr="00052931" w:rsidRDefault="00052931" w:rsidP="00052931">
            <w:pPr>
              <w:pStyle w:val="TSlneksmlouvy"/>
              <w:spacing w:before="0" w:after="0" w:line="240" w:lineRule="auto"/>
              <w:ind w:left="0" w:right="-54"/>
              <w:rPr>
                <w:rFonts w:cs="Arial"/>
                <w:b w:val="0"/>
                <w:sz w:val="19"/>
                <w:szCs w:val="19"/>
                <w:u w:val="none"/>
                <w:lang w:val="cs-CZ"/>
              </w:rPr>
            </w:pPr>
            <w:r w:rsidRPr="00052931">
              <w:rPr>
                <w:rFonts w:cs="Arial"/>
                <w:b w:val="0"/>
                <w:sz w:val="19"/>
                <w:szCs w:val="19"/>
                <w:u w:val="none"/>
                <w:lang w:val="cs-CZ"/>
              </w:rPr>
              <w:t>Kompletní majetkové vypořádání;</w:t>
            </w:r>
          </w:p>
          <w:p w:rsidR="00052931" w:rsidRPr="00052931" w:rsidRDefault="00052931" w:rsidP="00052931">
            <w:pPr>
              <w:pStyle w:val="TSlneksmlouvy"/>
              <w:spacing w:before="0" w:after="0" w:line="240" w:lineRule="auto"/>
              <w:ind w:left="0" w:right="-54"/>
              <w:rPr>
                <w:rFonts w:cs="Arial"/>
                <w:b w:val="0"/>
                <w:sz w:val="19"/>
                <w:szCs w:val="19"/>
                <w:u w:val="none"/>
                <w:lang w:val="cs-CZ"/>
              </w:rPr>
            </w:pPr>
            <w:r w:rsidRPr="00052931">
              <w:rPr>
                <w:rFonts w:cs="Arial"/>
                <w:b w:val="0"/>
                <w:sz w:val="19"/>
                <w:szCs w:val="19"/>
                <w:u w:val="none"/>
                <w:lang w:val="cs-CZ"/>
              </w:rPr>
              <w:t>Společné povolení</w:t>
            </w:r>
          </w:p>
          <w:p w:rsidR="00052931" w:rsidRPr="00052931" w:rsidRDefault="00052931" w:rsidP="00052931">
            <w:pPr>
              <w:pStyle w:val="TSlneksmlouvy"/>
              <w:spacing w:before="0" w:after="0" w:line="240" w:lineRule="auto"/>
              <w:ind w:left="0" w:right="-54"/>
              <w:rPr>
                <w:rFonts w:cs="Arial"/>
                <w:b w:val="0"/>
                <w:sz w:val="19"/>
                <w:szCs w:val="19"/>
                <w:u w:val="none"/>
                <w:lang w:val="cs-CZ"/>
              </w:rPr>
            </w:pPr>
            <w:r w:rsidRPr="00052931">
              <w:rPr>
                <w:rFonts w:cs="Arial"/>
                <w:b w:val="0"/>
                <w:sz w:val="19"/>
                <w:szCs w:val="19"/>
                <w:u w:val="none"/>
                <w:lang w:val="cs-CZ"/>
              </w:rPr>
              <w:t>v právní moci</w:t>
            </w:r>
          </w:p>
        </w:tc>
        <w:tc>
          <w:tcPr>
            <w:tcW w:w="934" w:type="pct"/>
            <w:tcBorders>
              <w:top w:val="nil"/>
              <w:left w:val="nil"/>
              <w:bottom w:val="single" w:sz="8" w:space="0" w:color="auto"/>
              <w:right w:val="single" w:sz="8" w:space="0" w:color="auto"/>
            </w:tcBorders>
            <w:shd w:val="clear" w:color="000000" w:fill="FFFFFF"/>
            <w:vAlign w:val="center"/>
          </w:tcPr>
          <w:p w:rsidR="00052931" w:rsidRPr="00052931" w:rsidRDefault="00052931" w:rsidP="00052931">
            <w:pPr>
              <w:ind w:left="73" w:right="-54"/>
              <w:jc w:val="center"/>
              <w:rPr>
                <w:rFonts w:ascii="Arial" w:hAnsi="Arial" w:cs="Arial"/>
                <w:sz w:val="19"/>
                <w:szCs w:val="19"/>
              </w:rPr>
            </w:pPr>
            <w:r w:rsidRPr="00052931">
              <w:rPr>
                <w:rFonts w:ascii="Arial" w:hAnsi="Arial" w:cs="Arial"/>
                <w:sz w:val="19"/>
                <w:szCs w:val="19"/>
              </w:rPr>
              <w:t>Předání</w:t>
            </w:r>
          </w:p>
          <w:p w:rsidR="00052931" w:rsidRPr="00052931" w:rsidRDefault="00052931" w:rsidP="00052931">
            <w:pPr>
              <w:ind w:left="73" w:right="-54"/>
              <w:jc w:val="center"/>
              <w:rPr>
                <w:rFonts w:ascii="Arial" w:hAnsi="Arial" w:cs="Arial"/>
                <w:sz w:val="19"/>
                <w:szCs w:val="19"/>
              </w:rPr>
            </w:pPr>
            <w:r w:rsidRPr="00052931">
              <w:rPr>
                <w:rFonts w:ascii="Arial" w:hAnsi="Arial" w:cs="Arial"/>
                <w:sz w:val="19"/>
                <w:szCs w:val="19"/>
              </w:rPr>
              <w:t>kompletního</w:t>
            </w:r>
          </w:p>
          <w:p w:rsidR="00052931" w:rsidRPr="00052931" w:rsidRDefault="00052931" w:rsidP="00052931">
            <w:pPr>
              <w:ind w:left="73" w:right="-54"/>
              <w:jc w:val="center"/>
              <w:rPr>
                <w:rFonts w:ascii="Arial" w:hAnsi="Arial" w:cs="Arial"/>
                <w:sz w:val="19"/>
                <w:szCs w:val="19"/>
              </w:rPr>
            </w:pPr>
            <w:r w:rsidRPr="00052931">
              <w:rPr>
                <w:rFonts w:ascii="Arial" w:hAnsi="Arial" w:cs="Arial"/>
                <w:sz w:val="19"/>
                <w:szCs w:val="19"/>
              </w:rPr>
              <w:t>majetkového</w:t>
            </w:r>
          </w:p>
          <w:p w:rsidR="00052931" w:rsidRPr="00052931" w:rsidRDefault="00052931" w:rsidP="00052931">
            <w:pPr>
              <w:ind w:left="73" w:right="-54"/>
              <w:jc w:val="center"/>
              <w:rPr>
                <w:rFonts w:ascii="Arial" w:hAnsi="Arial" w:cs="Arial"/>
                <w:sz w:val="19"/>
                <w:szCs w:val="19"/>
              </w:rPr>
            </w:pPr>
            <w:r w:rsidRPr="00052931">
              <w:rPr>
                <w:rFonts w:ascii="Arial" w:hAnsi="Arial" w:cs="Arial"/>
                <w:sz w:val="19"/>
                <w:szCs w:val="19"/>
              </w:rPr>
              <w:t>vypořádání</w:t>
            </w:r>
          </w:p>
          <w:p w:rsidR="00052931" w:rsidRPr="00052931" w:rsidRDefault="00052931" w:rsidP="00052931">
            <w:pPr>
              <w:ind w:left="73" w:right="-54"/>
              <w:jc w:val="center"/>
              <w:rPr>
                <w:rFonts w:ascii="Arial" w:hAnsi="Arial" w:cs="Arial"/>
                <w:sz w:val="19"/>
                <w:szCs w:val="19"/>
              </w:rPr>
            </w:pPr>
            <w:r w:rsidRPr="00052931">
              <w:rPr>
                <w:rFonts w:ascii="Arial" w:hAnsi="Arial" w:cs="Arial"/>
                <w:sz w:val="19"/>
                <w:szCs w:val="19"/>
              </w:rPr>
              <w:t>a společného</w:t>
            </w:r>
          </w:p>
          <w:p w:rsidR="00052931" w:rsidRPr="00052931" w:rsidRDefault="00052931" w:rsidP="00052931">
            <w:pPr>
              <w:ind w:left="73" w:right="-54"/>
              <w:jc w:val="center"/>
              <w:rPr>
                <w:rFonts w:ascii="Arial" w:hAnsi="Arial" w:cs="Arial"/>
                <w:sz w:val="19"/>
                <w:szCs w:val="19"/>
              </w:rPr>
            </w:pPr>
            <w:r w:rsidRPr="00052931">
              <w:rPr>
                <w:rFonts w:ascii="Arial" w:hAnsi="Arial" w:cs="Arial"/>
                <w:sz w:val="19"/>
                <w:szCs w:val="19"/>
              </w:rPr>
              <w:t>povolení</w:t>
            </w:r>
          </w:p>
          <w:p w:rsidR="00052931" w:rsidRPr="00052931" w:rsidRDefault="00052931" w:rsidP="00052931">
            <w:pPr>
              <w:ind w:left="73" w:right="-54"/>
              <w:jc w:val="center"/>
              <w:rPr>
                <w:rFonts w:ascii="Arial" w:hAnsi="Arial" w:cs="Arial"/>
                <w:sz w:val="19"/>
                <w:szCs w:val="19"/>
              </w:rPr>
            </w:pPr>
            <w:r w:rsidRPr="00052931">
              <w:rPr>
                <w:rFonts w:ascii="Arial" w:hAnsi="Arial" w:cs="Arial"/>
                <w:sz w:val="19"/>
                <w:szCs w:val="19"/>
              </w:rPr>
              <w:t>v právní moci</w:t>
            </w:r>
          </w:p>
        </w:tc>
      </w:tr>
      <w:tr w:rsidR="00052931" w:rsidRPr="00DA4104" w:rsidTr="00052931">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052931" w:rsidRPr="00052931" w:rsidRDefault="00052931" w:rsidP="00052931">
            <w:pPr>
              <w:jc w:val="center"/>
              <w:rPr>
                <w:rFonts w:ascii="Arial" w:hAnsi="Arial" w:cs="Arial"/>
                <w:b/>
                <w:bCs/>
                <w:sz w:val="19"/>
                <w:szCs w:val="19"/>
              </w:rPr>
            </w:pPr>
            <w:r w:rsidRPr="00052931">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052931" w:rsidRPr="00052931" w:rsidRDefault="00052931" w:rsidP="00052931">
            <w:pPr>
              <w:jc w:val="center"/>
              <w:rPr>
                <w:rFonts w:ascii="Arial" w:hAnsi="Arial" w:cs="Arial"/>
                <w:b/>
                <w:bCs/>
                <w:sz w:val="19"/>
                <w:szCs w:val="19"/>
              </w:rPr>
            </w:pPr>
            <w:r w:rsidRPr="00052931">
              <w:rPr>
                <w:rFonts w:ascii="Arial" w:hAnsi="Arial" w:cs="Arial"/>
                <w:b/>
                <w:bCs/>
                <w:sz w:val="19"/>
                <w:szCs w:val="19"/>
              </w:rPr>
              <w:t>11 měsíců</w:t>
            </w:r>
          </w:p>
          <w:p w:rsidR="00052931" w:rsidRPr="00052931" w:rsidRDefault="00052931" w:rsidP="00052931">
            <w:pPr>
              <w:jc w:val="center"/>
              <w:rPr>
                <w:rFonts w:ascii="Arial" w:hAnsi="Arial" w:cs="Arial"/>
                <w:b/>
                <w:bCs/>
                <w:sz w:val="19"/>
                <w:szCs w:val="19"/>
              </w:rPr>
            </w:pPr>
            <w:r w:rsidRPr="00052931">
              <w:rPr>
                <w:rFonts w:ascii="Arial" w:hAnsi="Arial" w:cs="Arial"/>
                <w:b/>
                <w:bCs/>
                <w:sz w:val="19"/>
                <w:szCs w:val="19"/>
              </w:rPr>
              <w:t xml:space="preserve">(předpoklad </w:t>
            </w:r>
          </w:p>
          <w:p w:rsidR="00052931" w:rsidRPr="00052931" w:rsidRDefault="00052931" w:rsidP="00052931">
            <w:pPr>
              <w:jc w:val="center"/>
              <w:rPr>
                <w:rFonts w:ascii="Arial" w:hAnsi="Arial" w:cs="Arial"/>
                <w:b/>
                <w:bCs/>
                <w:sz w:val="19"/>
                <w:szCs w:val="19"/>
              </w:rPr>
            </w:pPr>
            <w:r w:rsidRPr="00052931">
              <w:rPr>
                <w:rFonts w:ascii="Arial" w:hAnsi="Arial" w:cs="Arial"/>
                <w:b/>
                <w:bCs/>
                <w:sz w:val="19"/>
                <w:szCs w:val="19"/>
              </w:rPr>
              <w:t>01/2022 – 11/2022)</w:t>
            </w:r>
          </w:p>
        </w:tc>
        <w:tc>
          <w:tcPr>
            <w:tcW w:w="1560" w:type="pct"/>
            <w:tcBorders>
              <w:top w:val="nil"/>
              <w:left w:val="nil"/>
              <w:bottom w:val="single" w:sz="8" w:space="0" w:color="auto"/>
              <w:right w:val="single" w:sz="8" w:space="0" w:color="auto"/>
            </w:tcBorders>
            <w:shd w:val="clear" w:color="000000" w:fill="FFFFFF"/>
            <w:vAlign w:val="center"/>
          </w:tcPr>
          <w:p w:rsidR="00052931" w:rsidRPr="00052931" w:rsidRDefault="00052931" w:rsidP="00052931">
            <w:pPr>
              <w:pStyle w:val="TSlneksmlouvy"/>
              <w:spacing w:before="0" w:after="0"/>
              <w:ind w:left="0" w:right="-54" w:firstLine="51"/>
              <w:rPr>
                <w:rFonts w:cs="Arial"/>
                <w:b w:val="0"/>
                <w:sz w:val="19"/>
                <w:szCs w:val="19"/>
                <w:u w:val="none"/>
                <w:lang w:val="cs-CZ"/>
              </w:rPr>
            </w:pPr>
            <w:r w:rsidRPr="00052931">
              <w:rPr>
                <w:rFonts w:cs="Arial"/>
                <w:b w:val="0"/>
                <w:sz w:val="19"/>
                <w:szCs w:val="19"/>
                <w:u w:val="none"/>
                <w:lang w:val="cs-CZ"/>
              </w:rPr>
              <w:t>Autorský dozor projektanta při realizaci stavby; zhotovitel se zavazuje provádět AD ode dne zahájení realizace stavby do ukončení realizace stavby v předpokládané délce 11 měsíců</w:t>
            </w:r>
          </w:p>
        </w:tc>
        <w:tc>
          <w:tcPr>
            <w:tcW w:w="934" w:type="pct"/>
            <w:tcBorders>
              <w:top w:val="nil"/>
              <w:left w:val="nil"/>
              <w:bottom w:val="single" w:sz="8" w:space="0" w:color="auto"/>
              <w:right w:val="single" w:sz="8" w:space="0" w:color="auto"/>
            </w:tcBorders>
            <w:shd w:val="clear" w:color="000000" w:fill="FFFFFF"/>
            <w:vAlign w:val="center"/>
          </w:tcPr>
          <w:p w:rsidR="00052931" w:rsidRPr="00052931" w:rsidRDefault="00052931" w:rsidP="00052931">
            <w:pPr>
              <w:ind w:left="248" w:right="-54" w:hanging="197"/>
              <w:jc w:val="center"/>
              <w:rPr>
                <w:rFonts w:ascii="Arial" w:hAnsi="Arial" w:cs="Arial"/>
                <w:sz w:val="19"/>
                <w:szCs w:val="19"/>
              </w:rPr>
            </w:pPr>
            <w:r w:rsidRPr="00052931">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D302D2">
        <w:rPr>
          <w:rFonts w:ascii="Arial" w:hAnsi="Arial" w:cs="Arial"/>
          <w:b/>
          <w:sz w:val="19"/>
          <w:szCs w:val="19"/>
        </w:rPr>
        <w:t xml:space="preserve"> v podrobnostech Projektové dokumentace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AC3560" w:rsidRPr="00BA56D1" w:rsidRDefault="00497C87" w:rsidP="00BA56D1">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7E0062">
        <w:rPr>
          <w:rFonts w:ascii="Arial" w:hAnsi="Arial" w:cs="Arial"/>
          <w:sz w:val="19"/>
          <w:szCs w:val="19"/>
        </w:rPr>
        <w:t xml:space="preserve"> v podrobnostech Projektové</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r w:rsidR="00BA56D1">
        <w:rPr>
          <w:rFonts w:ascii="Arial" w:hAnsi="Arial" w:cs="Arial"/>
          <w:sz w:val="19"/>
          <w:szCs w:val="19"/>
        </w:rPr>
        <w:tab/>
      </w:r>
      <w:r w:rsidR="00BA56D1" w:rsidRPr="003A5510">
        <w:rPr>
          <w:rFonts w:ascii="Arial" w:hAnsi="Arial" w:cs="Arial"/>
          <w:b/>
          <w:sz w:val="19"/>
          <w:szCs w:val="19"/>
        </w:rPr>
        <w:t>specifikováno v ZTP bod č.</w:t>
      </w:r>
      <w:r w:rsidR="005024B7" w:rsidRPr="003A5510">
        <w:rPr>
          <w:rFonts w:ascii="Arial" w:hAnsi="Arial" w:cs="Arial"/>
          <w:b/>
          <w:sz w:val="19"/>
          <w:szCs w:val="19"/>
        </w:rPr>
        <w:t xml:space="preserve"> </w:t>
      </w:r>
      <w:r w:rsidR="00BA56D1" w:rsidRPr="003A5510">
        <w:rPr>
          <w:rFonts w:ascii="Arial" w:hAnsi="Arial" w:cs="Arial"/>
          <w:b/>
          <w:sz w:val="19"/>
          <w:szCs w:val="19"/>
        </w:rPr>
        <w:t>5.1.5</w:t>
      </w:r>
      <w:r w:rsidR="00BA56D1">
        <w:rPr>
          <w:rFonts w:ascii="Arial" w:hAnsi="Arial" w:cs="Arial"/>
          <w:sz w:val="19"/>
          <w:szCs w:val="19"/>
        </w:rPr>
        <w:t>.</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5CE" w:rsidRDefault="00FD601F" w:rsidP="00C003EB">
            <w:pPr>
              <w:jc w:val="center"/>
              <w:rPr>
                <w:rFonts w:ascii="Arial" w:hAnsi="Arial" w:cs="Arial"/>
                <w:sz w:val="19"/>
                <w:szCs w:val="19"/>
                <w:lang w:eastAsia="en-US"/>
              </w:rPr>
            </w:pPr>
            <w:r w:rsidRPr="00DB25CE">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E50532"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E50532"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E50532" w:rsidRDefault="00FD601F" w:rsidP="00C003EB">
            <w:pPr>
              <w:jc w:val="center"/>
              <w:rPr>
                <w:rFonts w:ascii="Arial" w:hAnsi="Arial" w:cs="Arial"/>
                <w:sz w:val="19"/>
                <w:szCs w:val="19"/>
                <w:highlight w:val="yellow"/>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5CE" w:rsidRDefault="00FD601F" w:rsidP="00C003EB">
            <w:pPr>
              <w:jc w:val="center"/>
              <w:rPr>
                <w:rFonts w:ascii="Arial" w:hAnsi="Arial" w:cs="Arial"/>
                <w:sz w:val="19"/>
                <w:szCs w:val="19"/>
                <w:lang w:eastAsia="en-US"/>
              </w:rPr>
            </w:pPr>
            <w:r w:rsidRPr="00DB25CE">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E50532"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E50532"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E50532" w:rsidRDefault="00FD601F" w:rsidP="00C003EB">
            <w:pPr>
              <w:jc w:val="center"/>
              <w:rPr>
                <w:rFonts w:ascii="Arial" w:hAnsi="Arial" w:cs="Arial"/>
                <w:sz w:val="19"/>
                <w:szCs w:val="19"/>
                <w:highlight w:val="yellow"/>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5CE" w:rsidRDefault="00FD601F" w:rsidP="00C003EB">
            <w:pPr>
              <w:jc w:val="center"/>
              <w:rPr>
                <w:rFonts w:ascii="Arial" w:hAnsi="Arial" w:cs="Arial"/>
                <w:sz w:val="19"/>
                <w:szCs w:val="19"/>
                <w:lang w:eastAsia="en-US"/>
              </w:rPr>
            </w:pPr>
            <w:r w:rsidRPr="00DB25CE">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E50532" w:rsidRDefault="00FD601F" w:rsidP="00C003EB">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E50532" w:rsidRDefault="00FD601F" w:rsidP="00C003EB">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E50532" w:rsidRDefault="00FD601F" w:rsidP="00C003EB">
            <w:pPr>
              <w:jc w:val="center"/>
              <w:rPr>
                <w:rFonts w:ascii="Arial" w:hAnsi="Arial" w:cs="Arial"/>
                <w:sz w:val="19"/>
                <w:szCs w:val="19"/>
                <w:highlight w:val="yellow"/>
                <w:lang w:eastAsia="en-US"/>
              </w:rPr>
            </w:pPr>
          </w:p>
        </w:tc>
      </w:tr>
      <w:tr w:rsidR="00DB25CE"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B25CE" w:rsidRPr="00DB25CE" w:rsidRDefault="00DB25CE" w:rsidP="00DB25CE">
            <w:pPr>
              <w:jc w:val="center"/>
              <w:rPr>
                <w:rFonts w:ascii="Arial" w:hAnsi="Arial" w:cs="Arial"/>
                <w:strike/>
                <w:sz w:val="19"/>
                <w:szCs w:val="19"/>
                <w:lang w:eastAsia="en-US"/>
              </w:rPr>
            </w:pPr>
            <w:r w:rsidRPr="00DB25CE">
              <w:rPr>
                <w:rFonts w:ascii="Arial" w:hAnsi="Arial" w:cs="Arial"/>
                <w:strike/>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DB25CE" w:rsidRPr="00DB25CE" w:rsidRDefault="00DB25CE" w:rsidP="00DB25CE">
            <w:pPr>
              <w:rPr>
                <w:rFonts w:ascii="Arial" w:hAnsi="Arial" w:cs="Arial"/>
                <w:strike/>
                <w:sz w:val="18"/>
                <w:szCs w:val="19"/>
                <w:lang w:eastAsia="en-US"/>
              </w:rPr>
            </w:pPr>
            <w:r w:rsidRPr="00DB25CE">
              <w:rPr>
                <w:rFonts w:ascii="Arial" w:hAnsi="Arial" w:cs="Arial"/>
                <w:strike/>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DB25CE" w:rsidRPr="00DB25CE" w:rsidRDefault="00DB25CE" w:rsidP="00DB25CE">
            <w:pPr>
              <w:jc w:val="center"/>
              <w:rPr>
                <w:rFonts w:ascii="Arial" w:hAnsi="Arial" w:cs="Arial"/>
                <w:strike/>
                <w:sz w:val="19"/>
                <w:szCs w:val="19"/>
                <w:lang w:eastAsia="en-US"/>
              </w:rPr>
            </w:pPr>
            <w:r w:rsidRPr="00DB25CE">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B25CE" w:rsidRPr="00DB245B" w:rsidRDefault="00DB25CE" w:rsidP="00DB25CE">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DB25CE" w:rsidRPr="00DB245B" w:rsidRDefault="00DB25CE" w:rsidP="00DB25CE">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DB25CE" w:rsidRPr="00DB245B" w:rsidRDefault="00DB25CE" w:rsidP="00DB25CE">
            <w:pPr>
              <w:jc w:val="center"/>
              <w:rPr>
                <w:rFonts w:ascii="Arial" w:hAnsi="Arial" w:cs="Arial"/>
                <w:sz w:val="19"/>
                <w:szCs w:val="19"/>
                <w:lang w:eastAsia="en-US"/>
              </w:rPr>
            </w:pPr>
            <w:r>
              <w:rPr>
                <w:rFonts w:ascii="Arial" w:hAnsi="Arial" w:cs="Arial"/>
                <w:sz w:val="19"/>
                <w:szCs w:val="19"/>
                <w:lang w:eastAsia="en-US"/>
              </w:rPr>
              <w:t>----------</w:t>
            </w:r>
          </w:p>
        </w:tc>
      </w:tr>
      <w:tr w:rsidR="00DB25CE"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B25CE" w:rsidRPr="00DB25CE" w:rsidRDefault="00DB25CE" w:rsidP="00DB25CE">
            <w:pPr>
              <w:jc w:val="center"/>
              <w:rPr>
                <w:rFonts w:ascii="Arial" w:hAnsi="Arial" w:cs="Arial"/>
                <w:strike/>
                <w:sz w:val="19"/>
                <w:szCs w:val="19"/>
                <w:lang w:eastAsia="en-US"/>
              </w:rPr>
            </w:pPr>
            <w:r w:rsidRPr="00DB25CE">
              <w:rPr>
                <w:rFonts w:ascii="Arial" w:hAnsi="Arial" w:cs="Arial"/>
                <w:strike/>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DB25CE" w:rsidRPr="00DB25CE" w:rsidRDefault="00DB25CE" w:rsidP="00DB25CE">
            <w:pPr>
              <w:rPr>
                <w:rFonts w:ascii="Arial" w:hAnsi="Arial" w:cs="Arial"/>
                <w:strike/>
                <w:sz w:val="18"/>
                <w:szCs w:val="19"/>
              </w:rPr>
            </w:pPr>
            <w:r w:rsidRPr="00DB25CE">
              <w:rPr>
                <w:rFonts w:ascii="Arial" w:hAnsi="Arial" w:cs="Arial"/>
                <w:strike/>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DB25CE" w:rsidRPr="00DB25CE" w:rsidRDefault="00DB25CE" w:rsidP="00DB25CE">
            <w:pPr>
              <w:jc w:val="center"/>
              <w:rPr>
                <w:rFonts w:ascii="Arial" w:hAnsi="Arial" w:cs="Arial"/>
                <w:strike/>
                <w:sz w:val="19"/>
                <w:szCs w:val="19"/>
              </w:rPr>
            </w:pPr>
            <w:r w:rsidRPr="00DB25CE">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B25CE" w:rsidRPr="00DB245B" w:rsidRDefault="00DB25CE" w:rsidP="00DB25CE">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DB25CE" w:rsidRPr="00DB245B" w:rsidRDefault="00DB25CE" w:rsidP="00DB25CE">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DB25CE" w:rsidRPr="00DB245B" w:rsidRDefault="00DB25CE" w:rsidP="00DB25CE">
            <w:pPr>
              <w:jc w:val="center"/>
              <w:rPr>
                <w:rFonts w:ascii="Arial" w:hAnsi="Arial" w:cs="Arial"/>
                <w:sz w:val="19"/>
                <w:szCs w:val="19"/>
                <w:lang w:eastAsia="en-US"/>
              </w:rPr>
            </w:pPr>
            <w:r>
              <w:rPr>
                <w:rFonts w:ascii="Arial" w:hAnsi="Arial" w:cs="Arial"/>
                <w:sz w:val="19"/>
                <w:szCs w:val="19"/>
                <w:lang w:eastAsia="en-US"/>
              </w:rPr>
              <w:t>----------</w:t>
            </w:r>
          </w:p>
        </w:tc>
      </w:tr>
      <w:tr w:rsidR="00DB25CE"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DB25CE" w:rsidRPr="00DB245B" w:rsidRDefault="00DB25CE" w:rsidP="00DB25CE">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DB25CE" w:rsidRPr="00DA4104" w:rsidRDefault="00DB25CE" w:rsidP="00DB25CE">
            <w:pPr>
              <w:rPr>
                <w:rFonts w:ascii="Arial" w:hAnsi="Arial" w:cs="Arial"/>
                <w:sz w:val="18"/>
                <w:szCs w:val="19"/>
                <w:lang w:eastAsia="en-US"/>
              </w:rPr>
            </w:pPr>
            <w:r w:rsidRPr="00DA4104">
              <w:rPr>
                <w:rFonts w:ascii="Arial" w:hAnsi="Arial" w:cs="Arial"/>
                <w:sz w:val="18"/>
                <w:szCs w:val="19"/>
              </w:rPr>
              <w:t>Zpracování D</w:t>
            </w:r>
            <w:r>
              <w:rPr>
                <w:rFonts w:ascii="Arial" w:hAnsi="Arial" w:cs="Arial"/>
                <w:sz w:val="18"/>
                <w:szCs w:val="19"/>
              </w:rPr>
              <w:t>U</w:t>
            </w:r>
            <w:r w:rsidRPr="00DA4104">
              <w:rPr>
                <w:rFonts w:ascii="Arial" w:hAnsi="Arial" w:cs="Arial"/>
                <w:sz w:val="18"/>
                <w:szCs w:val="19"/>
              </w:rPr>
              <w:t>SP</w:t>
            </w:r>
            <w:r>
              <w:rPr>
                <w:rFonts w:ascii="Arial" w:hAnsi="Arial" w:cs="Arial"/>
                <w:sz w:val="18"/>
                <w:szCs w:val="19"/>
              </w:rPr>
              <w:t xml:space="preserve"> v podrobnostech PDPS,</w:t>
            </w:r>
            <w:r w:rsidRPr="00DA4104">
              <w:rPr>
                <w:rFonts w:ascii="Arial" w:hAnsi="Arial" w:cs="Arial"/>
                <w:sz w:val="18"/>
                <w:szCs w:val="19"/>
              </w:rPr>
              <w:t xml:space="preserve"> vyjma příloh G, H a I, včetně všech dílčích odevzdání, dle Směrni</w:t>
            </w:r>
            <w:r>
              <w:rPr>
                <w:rFonts w:ascii="Arial" w:hAnsi="Arial" w:cs="Arial"/>
                <w:sz w:val="18"/>
                <w:szCs w:val="19"/>
              </w:rPr>
              <w:t xml:space="preserve">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znění</w:t>
            </w:r>
            <w:r>
              <w:rPr>
                <w:rFonts w:ascii="Arial" w:hAnsi="Arial" w:cs="Arial"/>
                <w:sz w:val="18"/>
                <w:szCs w:val="19"/>
              </w:rPr>
              <w:t>, a</w:t>
            </w:r>
            <w:r w:rsidRPr="00DA4104">
              <w:rPr>
                <w:rFonts w:ascii="Arial" w:hAnsi="Arial" w:cs="Arial"/>
                <w:sz w:val="18"/>
                <w:szCs w:val="19"/>
              </w:rPr>
              <w:t xml:space="preserve"> dle</w:t>
            </w:r>
            <w:r>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DB25CE" w:rsidRPr="00DB245B" w:rsidRDefault="00DB25CE" w:rsidP="00DB25CE">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r>
      <w:tr w:rsidR="00DB25CE"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DB25CE" w:rsidRPr="00DB245B" w:rsidRDefault="00DB25CE" w:rsidP="00DB25CE">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DB25CE" w:rsidRPr="00DA4104" w:rsidRDefault="00DB25CE" w:rsidP="00DB25CE">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Pr>
                <w:rFonts w:ascii="Arial" w:hAnsi="Arial" w:cs="Arial"/>
                <w:sz w:val="18"/>
                <w:szCs w:val="19"/>
              </w:rPr>
              <w:t xml:space="preserve">řílohy G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DB25CE" w:rsidRPr="00DB245B" w:rsidRDefault="00DB25CE" w:rsidP="00DB25CE">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r>
      <w:tr w:rsidR="00DB25CE"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B25CE" w:rsidRPr="00DB245B" w:rsidRDefault="00DB25CE" w:rsidP="00DB25CE">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DB25CE" w:rsidRPr="00DA4104" w:rsidRDefault="00DB25CE" w:rsidP="00DB25CE">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DB25CE" w:rsidRPr="00DB245B" w:rsidRDefault="00DB25CE" w:rsidP="00DB25CE">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r>
      <w:tr w:rsidR="00DB25CE"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B25CE" w:rsidRDefault="00DB25CE" w:rsidP="00DB25CE">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DB25CE" w:rsidRPr="00DA4104" w:rsidRDefault="00DB25CE" w:rsidP="00DB25CE">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DB25CE" w:rsidRPr="00DB245B" w:rsidRDefault="00DB25CE" w:rsidP="00DB25CE">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DB25CE" w:rsidRPr="00DB25CE" w:rsidRDefault="00DB25CE" w:rsidP="00DB25CE">
            <w:pPr>
              <w:jc w:val="center"/>
              <w:rPr>
                <w:rFonts w:ascii="Arial" w:hAnsi="Arial" w:cs="Arial"/>
                <w:sz w:val="19"/>
                <w:szCs w:val="19"/>
                <w:lang w:eastAsia="en-US"/>
              </w:rPr>
            </w:pPr>
            <w:r w:rsidRPr="00DB25CE">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r>
      <w:tr w:rsidR="00DB25CE"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B25CE" w:rsidRDefault="00DB25CE" w:rsidP="00DB25CE">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DB25CE" w:rsidRPr="00DA4104" w:rsidRDefault="00DB25CE" w:rsidP="00DB25CE">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DB25CE" w:rsidRPr="00DB245B" w:rsidRDefault="00DB25CE" w:rsidP="00DB25CE">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DB25CE" w:rsidRPr="00DB25CE" w:rsidRDefault="00DB25CE" w:rsidP="00DB25CE">
            <w:pPr>
              <w:jc w:val="center"/>
              <w:rPr>
                <w:rFonts w:ascii="Arial" w:hAnsi="Arial" w:cs="Arial"/>
                <w:sz w:val="19"/>
                <w:szCs w:val="19"/>
                <w:lang w:eastAsia="en-US"/>
              </w:rPr>
            </w:pPr>
            <w:r w:rsidRPr="00DB25CE">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r>
      <w:tr w:rsidR="00DB25CE"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B25CE" w:rsidRDefault="00DB25CE" w:rsidP="00DB25CE">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DB25CE" w:rsidRPr="00DA4104" w:rsidRDefault="00DB25CE" w:rsidP="00DB25CE">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DB25CE" w:rsidRPr="00DB245B" w:rsidRDefault="00DB25CE" w:rsidP="00DB25CE">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r>
      <w:tr w:rsidR="00DB25CE"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B25CE" w:rsidRPr="00BA2C7D" w:rsidRDefault="00DB25CE" w:rsidP="00DB25CE">
            <w:pPr>
              <w:jc w:val="center"/>
              <w:rPr>
                <w:rFonts w:ascii="Arial" w:hAnsi="Arial" w:cs="Arial"/>
                <w:sz w:val="19"/>
                <w:szCs w:val="19"/>
                <w:highlight w:val="yellow"/>
                <w:lang w:eastAsia="en-US"/>
              </w:rPr>
            </w:pPr>
            <w:r w:rsidRPr="00DB25CE">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DB25CE" w:rsidRPr="00DA4104" w:rsidRDefault="00DB25CE" w:rsidP="00DB25CE">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Pr>
                <w:rFonts w:ascii="Arial" w:hAnsi="Arial" w:cs="Arial"/>
                <w:sz w:val="18"/>
                <w:szCs w:val="19"/>
              </w:rPr>
              <w:t xml:space="preserve">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zpracování znaleckých posudků</w:t>
            </w:r>
            <w:r>
              <w:rPr>
                <w:rFonts w:ascii="Arial" w:hAnsi="Arial" w:cs="Arial"/>
                <w:sz w:val="18"/>
                <w:szCs w:val="19"/>
              </w:rPr>
              <w:t>,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DB25CE" w:rsidRPr="00DB245B" w:rsidRDefault="00DB25CE" w:rsidP="00DB25CE">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r>
      <w:tr w:rsidR="00DB25CE"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B25CE" w:rsidRPr="00EF70AC" w:rsidRDefault="00DB25CE" w:rsidP="00DB25CE">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DB25CE" w:rsidRPr="00DA4104" w:rsidRDefault="00DB25CE" w:rsidP="00DB25CE">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DB25CE" w:rsidRPr="00DB245B" w:rsidRDefault="00DB25CE" w:rsidP="00DB25CE">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r>
      <w:tr w:rsidR="00DB25CE"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B25CE" w:rsidRPr="00EF70AC" w:rsidRDefault="00DB25CE" w:rsidP="00DB25CE">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DB25CE" w:rsidRPr="00DA4104" w:rsidRDefault="00DB25CE" w:rsidP="00DB25CE">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DB25CE" w:rsidRPr="00DB245B" w:rsidRDefault="00DB25CE" w:rsidP="00DB25CE">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r>
      <w:tr w:rsidR="00DB25CE"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B25CE" w:rsidRPr="00EF70AC" w:rsidRDefault="00DB25CE" w:rsidP="00DB25CE">
            <w:pPr>
              <w:jc w:val="center"/>
              <w:rPr>
                <w:rFonts w:ascii="Arial" w:hAnsi="Arial" w:cs="Arial"/>
                <w:sz w:val="19"/>
                <w:szCs w:val="19"/>
                <w:lang w:eastAsia="en-US"/>
              </w:rPr>
            </w:pPr>
            <w:r w:rsidRPr="00EF70AC">
              <w:rPr>
                <w:rFonts w:ascii="Arial" w:hAnsi="Arial" w:cs="Arial"/>
                <w:sz w:val="19"/>
                <w:szCs w:val="19"/>
                <w:lang w:eastAsia="en-US"/>
              </w:rPr>
              <w:t>15</w:t>
            </w:r>
          </w:p>
          <w:p w:rsidR="00DB25CE" w:rsidRPr="00EF70AC" w:rsidRDefault="00DB25CE" w:rsidP="00DB25CE">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DB25CE" w:rsidRPr="00DA4104" w:rsidRDefault="00DB25CE" w:rsidP="00DB25CE">
            <w:pPr>
              <w:rPr>
                <w:rFonts w:ascii="Arial" w:hAnsi="Arial" w:cs="Arial"/>
                <w:sz w:val="18"/>
                <w:szCs w:val="19"/>
                <w:lang w:eastAsia="en-US"/>
              </w:rPr>
            </w:pPr>
            <w:r w:rsidRPr="00DA4104">
              <w:rPr>
                <w:rFonts w:ascii="Arial" w:hAnsi="Arial" w:cs="Arial"/>
                <w:sz w:val="18"/>
                <w:szCs w:val="19"/>
              </w:rPr>
              <w:t>Kompletní dokladová část (v rozsahu p</w:t>
            </w:r>
            <w:r>
              <w:rPr>
                <w:rFonts w:ascii="Arial" w:hAnsi="Arial" w:cs="Arial"/>
                <w:sz w:val="18"/>
                <w:szCs w:val="19"/>
              </w:rPr>
              <w:t xml:space="preserve">řílohy H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zajištění </w:t>
            </w:r>
            <w:r w:rsidRPr="007615BF">
              <w:rPr>
                <w:rFonts w:ascii="Arial" w:hAnsi="Arial" w:cs="Arial"/>
                <w:sz w:val="18"/>
                <w:szCs w:val="19"/>
              </w:rPr>
              <w:t>vydání společného povolení</w:t>
            </w:r>
            <w:r w:rsidRPr="00DA4104">
              <w:rPr>
                <w:rFonts w:ascii="Arial" w:hAnsi="Arial" w:cs="Arial"/>
                <w:sz w:val="18"/>
                <w:szCs w:val="19"/>
              </w:rPr>
              <w:t xml:space="preserve"> </w:t>
            </w:r>
            <w:r>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DB25CE" w:rsidRPr="00DB245B" w:rsidRDefault="00DB25CE" w:rsidP="00DB25CE">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r>
      <w:tr w:rsidR="00DB25CE"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B25CE" w:rsidRPr="00EF70AC" w:rsidRDefault="00DB25CE" w:rsidP="00DB25CE">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DB25CE" w:rsidRPr="00DA4104" w:rsidRDefault="00DB25CE" w:rsidP="00DB25CE">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DB25CE" w:rsidRPr="00DB245B" w:rsidRDefault="00DB25CE" w:rsidP="00DB25CE">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rPr>
            </w:pPr>
          </w:p>
        </w:tc>
        <w:tc>
          <w:tcPr>
            <w:tcW w:w="1411"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r>
      <w:tr w:rsidR="00DB25CE"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B25CE" w:rsidRDefault="00DB25CE" w:rsidP="00DB25CE">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DB25CE" w:rsidRPr="00DA4104" w:rsidRDefault="00DB25CE" w:rsidP="00DB25CE">
            <w:pPr>
              <w:rPr>
                <w:rFonts w:ascii="Arial" w:hAnsi="Arial" w:cs="Arial"/>
                <w:sz w:val="18"/>
                <w:szCs w:val="19"/>
                <w:lang w:eastAsia="en-US"/>
              </w:rPr>
            </w:pPr>
            <w:r w:rsidRPr="00DA4104">
              <w:rPr>
                <w:rFonts w:ascii="Arial" w:hAnsi="Arial" w:cs="Arial"/>
                <w:sz w:val="18"/>
                <w:szCs w:val="19"/>
              </w:rPr>
              <w:t>Rozsah činnosti při výkonu autorského dozoru</w:t>
            </w:r>
            <w:r>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DB25CE" w:rsidRPr="00DB245B" w:rsidRDefault="00DB25CE" w:rsidP="00DB25CE">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rPr>
            </w:pPr>
          </w:p>
        </w:tc>
        <w:tc>
          <w:tcPr>
            <w:tcW w:w="1411"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B25CE" w:rsidRPr="00E50532" w:rsidRDefault="00DB25CE" w:rsidP="00DB25CE">
            <w:pPr>
              <w:jc w:val="center"/>
              <w:rPr>
                <w:rFonts w:ascii="Arial" w:hAnsi="Arial" w:cs="Arial"/>
                <w:sz w:val="19"/>
                <w:szCs w:val="19"/>
                <w:highlight w:val="yellow"/>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lastRenderedPageBreak/>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787B5E" w:rsidRDefault="00787B5E" w:rsidP="00E95CD9">
      <w:pPr>
        <w:pStyle w:val="Nadpis7"/>
        <w:numPr>
          <w:ilvl w:val="0"/>
          <w:numId w:val="25"/>
        </w:numPr>
        <w:tabs>
          <w:tab w:val="clear" w:pos="4536"/>
        </w:tabs>
        <w:spacing w:after="120"/>
        <w:jc w:val="both"/>
        <w:rPr>
          <w:sz w:val="19"/>
          <w:szCs w:val="19"/>
        </w:rPr>
      </w:pPr>
      <w:r w:rsidRPr="00787B5E">
        <w:rPr>
          <w:i w:val="0"/>
          <w:sz w:val="19"/>
          <w:szCs w:val="19"/>
        </w:rPr>
        <w:t xml:space="preserve">Předání díla dle odst. 4.2 smlouvy - </w:t>
      </w:r>
      <w:r w:rsidRPr="00787B5E">
        <w:rPr>
          <w:b/>
          <w:i w:val="0"/>
          <w:sz w:val="19"/>
          <w:szCs w:val="19"/>
        </w:rPr>
        <w:t>1. dílčí etapa plnění</w:t>
      </w:r>
      <w:r w:rsidRPr="00787B5E">
        <w:rPr>
          <w:i w:val="0"/>
          <w:sz w:val="19"/>
          <w:szCs w:val="19"/>
        </w:rPr>
        <w:t xml:space="preserve"> </w:t>
      </w:r>
      <w:r w:rsidRPr="00787B5E">
        <w:rPr>
          <w:b/>
          <w:i w:val="0"/>
          <w:sz w:val="19"/>
          <w:szCs w:val="19"/>
        </w:rPr>
        <w:t>- do 6 měsíců od nabytí účinnosti SOD</w:t>
      </w:r>
      <w:r w:rsidRPr="00787B5E">
        <w:rPr>
          <w:sz w:val="19"/>
          <w:szCs w:val="19"/>
        </w:rPr>
        <w:t xml:space="preserve">, </w:t>
      </w:r>
      <w:r w:rsidRPr="00787B5E">
        <w:rPr>
          <w:b/>
          <w:i w:val="0"/>
          <w:sz w:val="19"/>
          <w:szCs w:val="19"/>
        </w:rPr>
        <w:t>max.</w:t>
      </w:r>
      <w:r w:rsidRPr="00787B5E">
        <w:rPr>
          <w:i w:val="0"/>
          <w:sz w:val="19"/>
          <w:szCs w:val="19"/>
        </w:rPr>
        <w:t xml:space="preserve"> </w:t>
      </w:r>
      <w:r w:rsidRPr="00787B5E">
        <w:rPr>
          <w:b/>
          <w:i w:val="0"/>
          <w:sz w:val="19"/>
          <w:szCs w:val="19"/>
        </w:rPr>
        <w:t>50% celkové ceny díla bez AD.</w:t>
      </w:r>
      <w:r w:rsidRPr="00787B5E">
        <w:rPr>
          <w:i w:val="0"/>
          <w:sz w:val="19"/>
          <w:szCs w:val="19"/>
        </w:rPr>
        <w:t xml:space="preserve"> Daňový doklad - fakturu v celkové výši </w:t>
      </w:r>
      <w:r w:rsidRPr="00787B5E">
        <w:rPr>
          <w:i w:val="0"/>
          <w:sz w:val="19"/>
          <w:szCs w:val="19"/>
          <w:highlight w:val="yellow"/>
        </w:rPr>
        <w:t xml:space="preserve">……. </w:t>
      </w:r>
      <w:r w:rsidRPr="00823912">
        <w:rPr>
          <w:b/>
          <w:i w:val="0"/>
          <w:sz w:val="19"/>
          <w:szCs w:val="19"/>
        </w:rPr>
        <w:t>,-</w:t>
      </w:r>
      <w:r w:rsidRPr="00787B5E">
        <w:rPr>
          <w:b/>
          <w:i w:val="0"/>
          <w:sz w:val="19"/>
          <w:szCs w:val="19"/>
        </w:rPr>
        <w:t xml:space="preserve"> Kč</w:t>
      </w:r>
      <w:r w:rsidRPr="00787B5E">
        <w:rPr>
          <w:i w:val="0"/>
          <w:sz w:val="19"/>
          <w:szCs w:val="19"/>
        </w:rPr>
        <w:t xml:space="preserve"> (bez DPH) předloží zhotovitel</w:t>
      </w:r>
      <w:r w:rsidRPr="00787B5E">
        <w:rPr>
          <w:b/>
          <w:i w:val="0"/>
          <w:sz w:val="19"/>
          <w:szCs w:val="19"/>
        </w:rPr>
        <w:t xml:space="preserve"> do 15 dnů po předání a převzetí této části díla.</w:t>
      </w:r>
      <w:r w:rsidR="00E95CD9" w:rsidRPr="00787B5E">
        <w:rPr>
          <w:b/>
          <w:i w:val="0"/>
          <w:sz w:val="19"/>
          <w:szCs w:val="19"/>
        </w:rPr>
        <w:t xml:space="preserve"> </w:t>
      </w:r>
    </w:p>
    <w:p w:rsidR="00E95CD9" w:rsidRPr="00787B5E" w:rsidRDefault="00787B5E" w:rsidP="00E95CD9">
      <w:pPr>
        <w:pStyle w:val="Nadpis7"/>
        <w:numPr>
          <w:ilvl w:val="0"/>
          <w:numId w:val="25"/>
        </w:numPr>
        <w:tabs>
          <w:tab w:val="clear" w:pos="4536"/>
        </w:tabs>
        <w:spacing w:after="120"/>
        <w:jc w:val="both"/>
        <w:rPr>
          <w:sz w:val="19"/>
          <w:szCs w:val="19"/>
        </w:rPr>
      </w:pPr>
      <w:r w:rsidRPr="00787B5E">
        <w:rPr>
          <w:i w:val="0"/>
          <w:sz w:val="19"/>
          <w:szCs w:val="19"/>
        </w:rPr>
        <w:t xml:space="preserve">Předání díla dle odst. 4.2 smlouvy - </w:t>
      </w:r>
      <w:r w:rsidRPr="00787B5E">
        <w:rPr>
          <w:b/>
          <w:i w:val="0"/>
          <w:sz w:val="19"/>
          <w:szCs w:val="19"/>
        </w:rPr>
        <w:t>2. dílčí etapa plnění</w:t>
      </w:r>
      <w:r w:rsidRPr="00787B5E">
        <w:rPr>
          <w:i w:val="0"/>
          <w:sz w:val="19"/>
          <w:szCs w:val="19"/>
        </w:rPr>
        <w:t xml:space="preserve"> </w:t>
      </w:r>
      <w:r w:rsidRPr="00787B5E">
        <w:rPr>
          <w:b/>
          <w:i w:val="0"/>
          <w:sz w:val="19"/>
          <w:szCs w:val="19"/>
        </w:rPr>
        <w:t>- do 8 měsíců od nabytí účinnosti SOD,</w:t>
      </w:r>
      <w:r w:rsidRPr="00787B5E">
        <w:rPr>
          <w:b/>
          <w:sz w:val="19"/>
          <w:szCs w:val="19"/>
        </w:rPr>
        <w:t xml:space="preserve"> </w:t>
      </w:r>
      <w:r w:rsidRPr="00787B5E">
        <w:rPr>
          <w:b/>
          <w:i w:val="0"/>
          <w:sz w:val="19"/>
          <w:szCs w:val="19"/>
        </w:rPr>
        <w:t>max. 20 % celkové ceny díla bez AD</w:t>
      </w:r>
      <w:r w:rsidRPr="00787B5E">
        <w:rPr>
          <w:i w:val="0"/>
          <w:sz w:val="19"/>
          <w:szCs w:val="19"/>
        </w:rPr>
        <w:t>. Daňový doklad</w:t>
      </w:r>
      <w:r w:rsidRPr="00787B5E">
        <w:rPr>
          <w:sz w:val="19"/>
          <w:szCs w:val="19"/>
        </w:rPr>
        <w:t xml:space="preserve"> - </w:t>
      </w:r>
      <w:r w:rsidRPr="00787B5E">
        <w:rPr>
          <w:i w:val="0"/>
          <w:sz w:val="19"/>
          <w:szCs w:val="19"/>
        </w:rPr>
        <w:t xml:space="preserve">fakturu v celkové výši </w:t>
      </w:r>
      <w:r w:rsidRPr="00787B5E">
        <w:rPr>
          <w:i w:val="0"/>
          <w:sz w:val="19"/>
          <w:szCs w:val="19"/>
          <w:highlight w:val="yellow"/>
        </w:rPr>
        <w:t xml:space="preserve">……. </w:t>
      </w:r>
      <w:r w:rsidRPr="00823912">
        <w:rPr>
          <w:b/>
          <w:i w:val="0"/>
          <w:sz w:val="19"/>
          <w:szCs w:val="19"/>
        </w:rPr>
        <w:t>,-</w:t>
      </w:r>
      <w:r w:rsidRPr="00787B5E">
        <w:rPr>
          <w:b/>
          <w:i w:val="0"/>
          <w:sz w:val="19"/>
          <w:szCs w:val="19"/>
        </w:rPr>
        <w:t xml:space="preserve"> Kč </w:t>
      </w:r>
      <w:r w:rsidRPr="00787B5E">
        <w:rPr>
          <w:i w:val="0"/>
          <w:sz w:val="19"/>
          <w:szCs w:val="19"/>
        </w:rPr>
        <w:t xml:space="preserve">(bez DPH) předloží zhotovitel do </w:t>
      </w:r>
      <w:r w:rsidRPr="00787B5E">
        <w:rPr>
          <w:b/>
          <w:i w:val="0"/>
          <w:sz w:val="19"/>
          <w:szCs w:val="19"/>
        </w:rPr>
        <w:t>15 dnů po předání a převzetí této části díla.</w:t>
      </w:r>
    </w:p>
    <w:p w:rsidR="00E95CD9" w:rsidRPr="00787B5E" w:rsidRDefault="00787B5E" w:rsidP="00E95CD9">
      <w:pPr>
        <w:pStyle w:val="Nadpis7"/>
        <w:numPr>
          <w:ilvl w:val="0"/>
          <w:numId w:val="25"/>
        </w:numPr>
        <w:tabs>
          <w:tab w:val="clear" w:pos="4536"/>
        </w:tabs>
        <w:spacing w:after="120"/>
        <w:jc w:val="both"/>
        <w:rPr>
          <w:sz w:val="19"/>
          <w:szCs w:val="19"/>
        </w:rPr>
      </w:pPr>
      <w:r w:rsidRPr="00787B5E">
        <w:rPr>
          <w:i w:val="0"/>
          <w:sz w:val="19"/>
          <w:szCs w:val="19"/>
        </w:rPr>
        <w:t>Předání díla dle odst. 4.2 smlouvy</w:t>
      </w:r>
      <w:r w:rsidRPr="00787B5E">
        <w:rPr>
          <w:sz w:val="19"/>
          <w:szCs w:val="19"/>
        </w:rPr>
        <w:t xml:space="preserve"> – </w:t>
      </w:r>
      <w:r w:rsidRPr="00787B5E">
        <w:rPr>
          <w:b/>
          <w:i w:val="0"/>
          <w:sz w:val="19"/>
          <w:szCs w:val="19"/>
        </w:rPr>
        <w:t>3. dílčí etapa plnění</w:t>
      </w:r>
      <w:r w:rsidRPr="00787B5E">
        <w:rPr>
          <w:i w:val="0"/>
          <w:sz w:val="19"/>
          <w:szCs w:val="19"/>
        </w:rPr>
        <w:t xml:space="preserve"> </w:t>
      </w:r>
      <w:r w:rsidRPr="00787B5E">
        <w:rPr>
          <w:b/>
          <w:i w:val="0"/>
          <w:sz w:val="19"/>
          <w:szCs w:val="19"/>
        </w:rPr>
        <w:t>- do 10 měsíců od nabytí účinnosti SOD</w:t>
      </w:r>
      <w:r w:rsidRPr="00787B5E">
        <w:rPr>
          <w:i w:val="0"/>
          <w:sz w:val="19"/>
          <w:szCs w:val="19"/>
        </w:rPr>
        <w:t xml:space="preserve">, </w:t>
      </w:r>
      <w:r w:rsidRPr="00787B5E">
        <w:rPr>
          <w:b/>
          <w:i w:val="0"/>
          <w:sz w:val="19"/>
          <w:szCs w:val="19"/>
        </w:rPr>
        <w:t>max. 30 % celkové ceny díla bez AD</w:t>
      </w:r>
      <w:r w:rsidRPr="00787B5E">
        <w:rPr>
          <w:i w:val="0"/>
          <w:sz w:val="19"/>
          <w:szCs w:val="19"/>
        </w:rPr>
        <w:t xml:space="preserve">. Daňový doklad - fakturu v celkové výši </w:t>
      </w:r>
      <w:r w:rsidRPr="00787B5E">
        <w:rPr>
          <w:i w:val="0"/>
          <w:sz w:val="19"/>
          <w:szCs w:val="19"/>
          <w:highlight w:val="yellow"/>
        </w:rPr>
        <w:t xml:space="preserve">……. </w:t>
      </w:r>
      <w:r w:rsidRPr="00823912">
        <w:rPr>
          <w:b/>
          <w:i w:val="0"/>
          <w:sz w:val="19"/>
          <w:szCs w:val="19"/>
        </w:rPr>
        <w:t>,-</w:t>
      </w:r>
      <w:r w:rsidRPr="00787B5E">
        <w:rPr>
          <w:b/>
          <w:i w:val="0"/>
          <w:sz w:val="19"/>
          <w:szCs w:val="19"/>
        </w:rPr>
        <w:t xml:space="preserve"> Kč </w:t>
      </w:r>
      <w:r w:rsidRPr="00787B5E">
        <w:rPr>
          <w:i w:val="0"/>
          <w:sz w:val="19"/>
          <w:szCs w:val="19"/>
        </w:rPr>
        <w:t xml:space="preserve">(bez DPH) předloží zhotovitel </w:t>
      </w:r>
      <w:r w:rsidRPr="00787B5E">
        <w:rPr>
          <w:b/>
          <w:i w:val="0"/>
          <w:sz w:val="19"/>
          <w:szCs w:val="19"/>
        </w:rPr>
        <w:t>do 15 dnů po předání a převzetí celého díla.</w:t>
      </w:r>
      <w:r w:rsidR="00E95CD9" w:rsidRPr="00787B5E">
        <w:rPr>
          <w:i w:val="0"/>
          <w:sz w:val="19"/>
          <w:szCs w:val="19"/>
        </w:rPr>
        <w:t xml:space="preserve"> </w:t>
      </w:r>
    </w:p>
    <w:p w:rsidR="00E95CD9" w:rsidRPr="00787B5E" w:rsidRDefault="00787B5E" w:rsidP="00E95CD9">
      <w:pPr>
        <w:pStyle w:val="Nadpis7"/>
        <w:numPr>
          <w:ilvl w:val="0"/>
          <w:numId w:val="25"/>
        </w:numPr>
        <w:tabs>
          <w:tab w:val="clear" w:pos="4536"/>
        </w:tabs>
        <w:jc w:val="both"/>
        <w:rPr>
          <w:b/>
          <w:i w:val="0"/>
          <w:sz w:val="19"/>
          <w:szCs w:val="19"/>
        </w:rPr>
      </w:pPr>
      <w:r w:rsidRPr="00787B5E">
        <w:rPr>
          <w:i w:val="0"/>
          <w:sz w:val="19"/>
          <w:szCs w:val="19"/>
        </w:rPr>
        <w:t>Plnění dle odst. 4. 2. smlouvy</w:t>
      </w:r>
      <w:r w:rsidRPr="00787B5E">
        <w:rPr>
          <w:b/>
          <w:i w:val="0"/>
          <w:sz w:val="19"/>
          <w:szCs w:val="19"/>
        </w:rPr>
        <w:t xml:space="preserve"> – 4. dílčí etapa plnění - ukončení díla</w:t>
      </w:r>
      <w:r w:rsidRPr="00787B5E">
        <w:rPr>
          <w:b/>
          <w:sz w:val="19"/>
          <w:szCs w:val="19"/>
        </w:rPr>
        <w:t xml:space="preserve"> - </w:t>
      </w:r>
      <w:r w:rsidRPr="00787B5E">
        <w:rPr>
          <w:b/>
          <w:i w:val="0"/>
          <w:sz w:val="19"/>
          <w:szCs w:val="19"/>
        </w:rPr>
        <w:t>do</w:t>
      </w:r>
      <w:r w:rsidRPr="00787B5E">
        <w:rPr>
          <w:i w:val="0"/>
          <w:sz w:val="19"/>
          <w:szCs w:val="19"/>
        </w:rPr>
        <w:t xml:space="preserve"> </w:t>
      </w:r>
      <w:r w:rsidRPr="00787B5E">
        <w:rPr>
          <w:sz w:val="19"/>
          <w:szCs w:val="19"/>
        </w:rPr>
        <w:t xml:space="preserve"> </w:t>
      </w:r>
      <w:r w:rsidRPr="00787B5E">
        <w:rPr>
          <w:b/>
          <w:i w:val="0"/>
          <w:sz w:val="19"/>
          <w:szCs w:val="19"/>
        </w:rPr>
        <w:t>11/2022</w:t>
      </w:r>
      <w:r w:rsidRPr="00787B5E">
        <w:rPr>
          <w:i w:val="0"/>
          <w:sz w:val="19"/>
          <w:szCs w:val="19"/>
        </w:rPr>
        <w:t xml:space="preserve"> (= předpoklad), fakturace ceny za Autorský dozor dle položky č. 17 odst. 5.2. této smlouvy. Daňový doklad - fakturu v celkové výši </w:t>
      </w:r>
      <w:r w:rsidRPr="00787B5E">
        <w:rPr>
          <w:i w:val="0"/>
          <w:sz w:val="19"/>
          <w:szCs w:val="19"/>
          <w:highlight w:val="yellow"/>
        </w:rPr>
        <w:t>…….</w:t>
      </w:r>
      <w:r w:rsidRPr="00787B5E">
        <w:rPr>
          <w:i w:val="0"/>
          <w:sz w:val="19"/>
          <w:szCs w:val="19"/>
        </w:rPr>
        <w:t xml:space="preserve"> </w:t>
      </w:r>
      <w:r w:rsidRPr="00D639DB">
        <w:rPr>
          <w:b/>
          <w:i w:val="0"/>
          <w:sz w:val="19"/>
          <w:szCs w:val="19"/>
        </w:rPr>
        <w:t>,- Kč</w:t>
      </w:r>
      <w:r w:rsidRPr="00787B5E">
        <w:rPr>
          <w:i w:val="0"/>
          <w:sz w:val="19"/>
          <w:szCs w:val="19"/>
        </w:rPr>
        <w:t xml:space="preserve"> (bez DPH) předloží zhotovitel </w:t>
      </w:r>
      <w:r w:rsidRPr="00787B5E">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bookmarkStart w:id="0" w:name="_GoBack"/>
      <w:bookmarkEnd w:id="0"/>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D23629">
        <w:rPr>
          <w:rFonts w:ascii="Arial" w:hAnsi="Arial" w:cs="Arial"/>
          <w:sz w:val="19"/>
          <w:szCs w:val="19"/>
        </w:rPr>
        <w:t xml:space="preserve">c a </w:t>
      </w:r>
      <w:r w:rsidRPr="00DB245B">
        <w:rPr>
          <w:rFonts w:ascii="Arial" w:hAnsi="Arial" w:cs="Arial"/>
          <w:sz w:val="19"/>
          <w:szCs w:val="19"/>
        </w:rPr>
        <w:t xml:space="preserve">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33252">
        <w:rPr>
          <w:rFonts w:ascii="Arial" w:hAnsi="Arial" w:cs="Arial"/>
          <w:bCs/>
          <w:sz w:val="19"/>
          <w:szCs w:val="19"/>
        </w:rPr>
        <w:t xml:space="preserve">jednostranný zápočet pohledávky </w:t>
      </w:r>
      <w:r w:rsidR="00B33252"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33252">
        <w:rPr>
          <w:rFonts w:ascii="Arial" w:hAnsi="Arial" w:cs="Arial"/>
          <w:sz w:val="19"/>
          <w:szCs w:val="19"/>
        </w:rPr>
        <w:t xml:space="preserve"> </w:t>
      </w:r>
      <w:r w:rsidR="00B33252" w:rsidRPr="008A6193">
        <w:rPr>
          <w:rFonts w:ascii="Arial" w:hAnsi="Arial" w:cs="Arial"/>
          <w:sz w:val="19"/>
          <w:szCs w:val="19"/>
        </w:rPr>
        <w:t>Zhotovitel se zavazuje na výzvu Objednatele poskytnout součinnost při výkonu finanční kontroly podle zákona č. 32</w:t>
      </w:r>
      <w:r w:rsidR="00B33252">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lastRenderedPageBreak/>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D714EB">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w:t>
      </w:r>
      <w:r w:rsidR="008D1986">
        <w:rPr>
          <w:rFonts w:ascii="Arial" w:hAnsi="Arial" w:cs="Arial"/>
          <w:sz w:val="19"/>
          <w:szCs w:val="19"/>
        </w:rPr>
        <w:t>O</w:t>
      </w:r>
      <w:r w:rsidRPr="00DB245B">
        <w:rPr>
          <w:rFonts w:ascii="Arial" w:hAnsi="Arial" w:cs="Arial"/>
          <w:sz w:val="19"/>
          <w:szCs w:val="19"/>
        </w:rPr>
        <w:t>: 70994234</w:t>
      </w:r>
      <w:r w:rsidR="00456C5A">
        <w:rPr>
          <w:rFonts w:ascii="Arial" w:hAnsi="Arial" w:cs="Arial"/>
          <w:sz w:val="19"/>
          <w:szCs w:val="19"/>
        </w:rPr>
        <w:tab/>
        <w:t>DIČ:CZ70994234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lastRenderedPageBreak/>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lastRenderedPageBreak/>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901608" w:rsidRDefault="005B3BC8" w:rsidP="005B3BC8">
      <w:pPr>
        <w:tabs>
          <w:tab w:val="right" w:leader="dot" w:pos="7371"/>
        </w:tabs>
        <w:suppressAutoHyphens/>
        <w:ind w:left="567" w:hanging="539"/>
        <w:rPr>
          <w:rFonts w:ascii="Arial" w:hAnsi="Arial" w:cs="Arial"/>
          <w:sz w:val="19"/>
          <w:szCs w:val="19"/>
          <w:highlight w:val="yellow"/>
        </w:rPr>
      </w:pPr>
      <w:r w:rsidRPr="00DB245B">
        <w:rPr>
          <w:rFonts w:ascii="Arial" w:hAnsi="Arial" w:cs="Arial"/>
          <w:sz w:val="19"/>
          <w:szCs w:val="19"/>
        </w:rPr>
        <w:tab/>
      </w:r>
      <w:r w:rsidR="00E57415" w:rsidRPr="00901608">
        <w:rPr>
          <w:rFonts w:ascii="Arial" w:hAnsi="Arial" w:cs="Arial"/>
          <w:sz w:val="19"/>
          <w:szCs w:val="19"/>
          <w:highlight w:val="yellow"/>
        </w:rPr>
        <w:t xml:space="preserve">Obchodní firma         </w:t>
      </w:r>
      <w:r w:rsidR="000647A1" w:rsidRPr="00901608">
        <w:rPr>
          <w:rFonts w:ascii="Arial" w:hAnsi="Arial" w:cs="Arial"/>
          <w:sz w:val="19"/>
          <w:szCs w:val="19"/>
          <w:highlight w:val="yellow"/>
        </w:rPr>
        <w:t>|</w:t>
      </w:r>
      <w:r w:rsidR="00E57415" w:rsidRPr="00901608">
        <w:rPr>
          <w:rFonts w:ascii="Arial" w:hAnsi="Arial" w:cs="Arial"/>
          <w:sz w:val="19"/>
          <w:szCs w:val="19"/>
          <w:highlight w:val="yellow"/>
        </w:rPr>
        <w:t xml:space="preserve">            </w:t>
      </w:r>
      <w:r w:rsidR="00814A86" w:rsidRPr="00901608">
        <w:rPr>
          <w:rFonts w:ascii="Arial" w:hAnsi="Arial" w:cs="Arial"/>
          <w:sz w:val="19"/>
          <w:szCs w:val="19"/>
          <w:highlight w:val="yellow"/>
        </w:rPr>
        <w:t>Sídlo</w:t>
      </w:r>
      <w:r w:rsidR="00E57415" w:rsidRPr="00901608">
        <w:rPr>
          <w:rFonts w:ascii="Arial" w:hAnsi="Arial" w:cs="Arial"/>
          <w:sz w:val="19"/>
          <w:szCs w:val="19"/>
          <w:highlight w:val="yellow"/>
        </w:rPr>
        <w:t xml:space="preserve">                </w:t>
      </w:r>
      <w:r w:rsidR="000647A1" w:rsidRPr="00901608">
        <w:rPr>
          <w:rFonts w:ascii="Arial" w:hAnsi="Arial" w:cs="Arial"/>
          <w:sz w:val="19"/>
          <w:szCs w:val="19"/>
          <w:highlight w:val="yellow"/>
        </w:rPr>
        <w:t>|</w:t>
      </w:r>
      <w:r w:rsidR="00E57415" w:rsidRPr="00901608">
        <w:rPr>
          <w:rFonts w:ascii="Arial" w:hAnsi="Arial" w:cs="Arial"/>
          <w:sz w:val="19"/>
          <w:szCs w:val="19"/>
          <w:highlight w:val="yellow"/>
        </w:rPr>
        <w:t xml:space="preserve">           </w:t>
      </w:r>
      <w:r w:rsidR="002C440C" w:rsidRPr="00901608">
        <w:rPr>
          <w:rFonts w:ascii="Arial" w:hAnsi="Arial" w:cs="Arial"/>
          <w:sz w:val="19"/>
          <w:szCs w:val="19"/>
          <w:highlight w:val="yellow"/>
        </w:rPr>
        <w:t xml:space="preserve">     </w:t>
      </w:r>
      <w:r w:rsidR="00814A86" w:rsidRPr="00901608">
        <w:rPr>
          <w:rFonts w:ascii="Arial" w:hAnsi="Arial" w:cs="Arial"/>
          <w:sz w:val="19"/>
          <w:szCs w:val="19"/>
          <w:highlight w:val="yellow"/>
        </w:rPr>
        <w:t>IČ</w:t>
      </w:r>
      <w:r w:rsidR="000647A1" w:rsidRPr="00901608">
        <w:rPr>
          <w:rFonts w:ascii="Arial" w:hAnsi="Arial" w:cs="Arial"/>
          <w:sz w:val="19"/>
          <w:szCs w:val="19"/>
          <w:highlight w:val="yellow"/>
        </w:rPr>
        <w:t>O</w:t>
      </w:r>
      <w:r w:rsidR="002C440C" w:rsidRPr="00901608">
        <w:rPr>
          <w:rFonts w:ascii="Arial" w:hAnsi="Arial" w:cs="Arial"/>
          <w:sz w:val="19"/>
          <w:szCs w:val="19"/>
          <w:highlight w:val="yellow"/>
        </w:rPr>
        <w:t xml:space="preserve">      </w:t>
      </w:r>
      <w:r w:rsidR="00E57415" w:rsidRPr="00901608">
        <w:rPr>
          <w:rFonts w:ascii="Arial" w:hAnsi="Arial" w:cs="Arial"/>
          <w:sz w:val="19"/>
          <w:szCs w:val="19"/>
          <w:highlight w:val="yellow"/>
        </w:rPr>
        <w:t xml:space="preserve">  </w:t>
      </w:r>
      <w:r w:rsidR="00814A86" w:rsidRPr="00901608">
        <w:rPr>
          <w:rFonts w:ascii="Arial" w:hAnsi="Arial" w:cs="Arial"/>
          <w:sz w:val="19"/>
          <w:szCs w:val="19"/>
          <w:highlight w:val="yellow"/>
        </w:rPr>
        <w:tab/>
        <w:t xml:space="preserve">   </w:t>
      </w:r>
      <w:r w:rsidR="000647A1" w:rsidRPr="00901608">
        <w:rPr>
          <w:rFonts w:ascii="Arial" w:hAnsi="Arial" w:cs="Arial"/>
          <w:sz w:val="19"/>
          <w:szCs w:val="19"/>
          <w:highlight w:val="yellow"/>
        </w:rPr>
        <w:t xml:space="preserve">|      </w:t>
      </w:r>
      <w:r w:rsidR="008F6EA9" w:rsidRPr="00901608">
        <w:rPr>
          <w:rFonts w:ascii="Arial" w:hAnsi="Arial" w:cs="Arial"/>
          <w:sz w:val="19"/>
          <w:szCs w:val="19"/>
          <w:highlight w:val="yellow"/>
        </w:rPr>
        <w:t xml:space="preserve">% podíl na </w:t>
      </w:r>
      <w:r w:rsidR="00E57415" w:rsidRPr="00901608">
        <w:rPr>
          <w:rFonts w:ascii="Arial" w:hAnsi="Arial" w:cs="Arial"/>
          <w:sz w:val="19"/>
          <w:szCs w:val="19"/>
          <w:highlight w:val="yellow"/>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901608">
        <w:rPr>
          <w:rFonts w:ascii="Arial" w:hAnsi="Arial" w:cs="Arial"/>
          <w:sz w:val="19"/>
          <w:szCs w:val="19"/>
          <w:highlight w:val="yellow"/>
        </w:rPr>
        <w:tab/>
      </w:r>
      <w:r w:rsidR="00E57415" w:rsidRPr="00901608">
        <w:rPr>
          <w:rFonts w:ascii="Arial" w:hAnsi="Arial" w:cs="Arial"/>
          <w:sz w:val="19"/>
          <w:szCs w:val="19"/>
          <w:highlight w:val="yellow"/>
        </w:rPr>
        <w:t>-----------------------------------------------------------------------------------------------------------------</w:t>
      </w:r>
      <w:r w:rsidRPr="00901608">
        <w:rPr>
          <w:rFonts w:ascii="Arial" w:hAnsi="Arial" w:cs="Arial"/>
          <w:sz w:val="19"/>
          <w:szCs w:val="19"/>
          <w:highlight w:val="yellow"/>
        </w:rPr>
        <w:t>-----------------</w:t>
      </w:r>
      <w:r w:rsidR="00E57415" w:rsidRPr="00901608">
        <w:rPr>
          <w:rFonts w:ascii="Arial" w:hAnsi="Arial" w:cs="Arial"/>
          <w:sz w:val="19"/>
          <w:szCs w:val="19"/>
          <w:highlight w:val="yellow"/>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lastRenderedPageBreak/>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456C5A">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lastRenderedPageBreak/>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5"/>
      <w:footerReference w:type="even" r:id="rId16"/>
      <w:footerReference w:type="default" r:id="rId17"/>
      <w:headerReference w:type="first" r:id="rId18"/>
      <w:footerReference w:type="first" r:id="rId19"/>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EE4" w:rsidRDefault="001C4EE4">
      <w:r>
        <w:separator/>
      </w:r>
    </w:p>
  </w:endnote>
  <w:endnote w:type="continuationSeparator" w:id="0">
    <w:p w:rsidR="001C4EE4" w:rsidRDefault="001C4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D639DB">
      <w:rPr>
        <w:rFonts w:ascii="Arial" w:hAnsi="Arial" w:cs="Arial"/>
        <w:noProof/>
        <w:sz w:val="18"/>
        <w:szCs w:val="18"/>
      </w:rPr>
      <w:t>5</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D639DB">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D639DB">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D639DB">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EE4" w:rsidRDefault="001C4EE4">
      <w:r>
        <w:separator/>
      </w:r>
    </w:p>
  </w:footnote>
  <w:footnote w:type="continuationSeparator" w:id="0">
    <w:p w:rsidR="001C4EE4" w:rsidRDefault="001C4E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B01" w:rsidRPr="00392B01" w:rsidRDefault="00631F12" w:rsidP="00392B01">
    <w:pPr>
      <w:jc w:val="right"/>
      <w:rPr>
        <w:rFonts w:ascii="Arial" w:hAnsi="Arial" w:cs="Arial"/>
        <w:bCs/>
        <w:i/>
        <w:color w:val="000000"/>
        <w:sz w:val="18"/>
        <w:szCs w:val="22"/>
      </w:rPr>
    </w:pPr>
    <w:r w:rsidRPr="00631F12">
      <w:rPr>
        <w:rFonts w:ascii="Arial" w:hAnsi="Arial" w:cs="Arial"/>
        <w:bCs/>
        <w:i/>
        <w:color w:val="000000"/>
        <w:sz w:val="18"/>
        <w:szCs w:val="22"/>
      </w:rPr>
      <w:t>Rekonstrukce mostu v km 20,691 na trati Domažlice – Planá u M.L.</w:t>
    </w:r>
    <w:r w:rsidR="00392B01" w:rsidRPr="00392B01">
      <w:rPr>
        <w:rFonts w:ascii="Arial" w:hAnsi="Arial" w:cs="Arial"/>
        <w:bCs/>
        <w:i/>
        <w:color w:val="000000"/>
        <w:sz w:val="18"/>
        <w:szCs w:val="22"/>
      </w:rPr>
      <w:t xml:space="preserve"> </w:t>
    </w:r>
  </w:p>
  <w:p w:rsidR="00053771" w:rsidRPr="00F1357D" w:rsidRDefault="00392B01" w:rsidP="00392B01">
    <w:pPr>
      <w:jc w:val="right"/>
      <w:rPr>
        <w:rFonts w:ascii="Arial" w:hAnsi="Arial" w:cs="Arial"/>
        <w:i/>
        <w:sz w:val="14"/>
        <w:szCs w:val="18"/>
      </w:rPr>
    </w:pPr>
    <w:r w:rsidRPr="00392B01">
      <w:rPr>
        <w:rFonts w:ascii="Arial" w:hAnsi="Arial" w:cs="Arial"/>
        <w:bCs/>
        <w:i/>
        <w:color w:val="000000"/>
        <w:sz w:val="18"/>
        <w:szCs w:val="22"/>
      </w:rPr>
      <w:t>DUSP, EH, SR, kBOZP, AD</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B01" w:rsidRPr="00392B01" w:rsidRDefault="00E74CB1" w:rsidP="00A03259">
    <w:pPr>
      <w:pStyle w:val="Zhlav"/>
      <w:pBdr>
        <w:bottom w:val="single" w:sz="6" w:space="1" w:color="auto"/>
      </w:pBdr>
      <w:jc w:val="right"/>
      <w:rPr>
        <w:rFonts w:ascii="Arial" w:hAnsi="Arial" w:cs="Arial"/>
        <w:i/>
        <w:sz w:val="18"/>
        <w:szCs w:val="18"/>
      </w:rPr>
    </w:pPr>
    <w:r w:rsidRPr="00E74CB1">
      <w:rPr>
        <w:rFonts w:ascii="Arial" w:hAnsi="Arial" w:cs="Arial"/>
        <w:i/>
        <w:sz w:val="18"/>
        <w:szCs w:val="18"/>
      </w:rPr>
      <w:t>Rekonstrukce mostu v km 20,691 na trati Domažlice – Planá u M.L.</w:t>
    </w:r>
  </w:p>
  <w:p w:rsidR="00053771" w:rsidRPr="000B227B" w:rsidRDefault="00053771" w:rsidP="00A03259">
    <w:pPr>
      <w:pStyle w:val="Zhlav"/>
      <w:pBdr>
        <w:bottom w:val="single" w:sz="6" w:space="1" w:color="auto"/>
      </w:pBdr>
      <w:jc w:val="right"/>
      <w:rPr>
        <w:rFonts w:ascii="Arial" w:hAnsi="Arial" w:cs="Arial"/>
        <w:i/>
        <w:sz w:val="18"/>
        <w:szCs w:val="18"/>
      </w:rPr>
    </w:pPr>
    <w:r w:rsidRPr="00392B01">
      <w:rPr>
        <w:rFonts w:ascii="Arial" w:hAnsi="Arial" w:cs="Arial"/>
        <w:i/>
        <w:sz w:val="18"/>
        <w:szCs w:val="18"/>
      </w:rPr>
      <w:t xml:space="preserve">DUSP, EH, </w:t>
    </w:r>
    <w:r w:rsidR="004547EF" w:rsidRPr="00392B01">
      <w:rPr>
        <w:rFonts w:ascii="Arial" w:hAnsi="Arial" w:cs="Arial"/>
        <w:i/>
        <w:sz w:val="18"/>
        <w:szCs w:val="18"/>
      </w:rPr>
      <w:t>SR</w:t>
    </w:r>
    <w:r w:rsidR="00AB0060" w:rsidRPr="00392B01">
      <w:rPr>
        <w:rFonts w:ascii="Arial" w:hAnsi="Arial" w:cs="Arial"/>
        <w:i/>
        <w:sz w:val="18"/>
        <w:szCs w:val="18"/>
      </w:rPr>
      <w:t>,</w:t>
    </w:r>
    <w:r w:rsidR="00AC3560" w:rsidRPr="00392B01">
      <w:rPr>
        <w:rFonts w:ascii="Arial" w:hAnsi="Arial" w:cs="Arial"/>
        <w:i/>
        <w:sz w:val="18"/>
        <w:szCs w:val="18"/>
      </w:rPr>
      <w:t xml:space="preserve"> </w:t>
    </w:r>
    <w:r w:rsidR="004547EF" w:rsidRPr="00392B01">
      <w:rPr>
        <w:rFonts w:ascii="Arial" w:hAnsi="Arial" w:cs="Arial"/>
        <w:i/>
        <w:sz w:val="18"/>
        <w:szCs w:val="18"/>
      </w:rPr>
      <w:t>kBOZP</w:t>
    </w:r>
    <w:r w:rsidR="004547EF">
      <w:rPr>
        <w:rFonts w:ascii="Arial" w:hAnsi="Arial" w:cs="Arial"/>
        <w:i/>
        <w:sz w:val="18"/>
        <w:szCs w:val="18"/>
      </w:rPr>
      <w:t xml:space="preserve">, </w:t>
    </w:r>
    <w:r>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931"/>
    <w:rsid w:val="00052AD0"/>
    <w:rsid w:val="00053771"/>
    <w:rsid w:val="000604D4"/>
    <w:rsid w:val="00061A83"/>
    <w:rsid w:val="000647A1"/>
    <w:rsid w:val="000705F2"/>
    <w:rsid w:val="000737B7"/>
    <w:rsid w:val="00073AF8"/>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05D4C"/>
    <w:rsid w:val="00113332"/>
    <w:rsid w:val="0011409C"/>
    <w:rsid w:val="00122DC9"/>
    <w:rsid w:val="00135ECF"/>
    <w:rsid w:val="00136EB5"/>
    <w:rsid w:val="001373D5"/>
    <w:rsid w:val="0014279C"/>
    <w:rsid w:val="00151202"/>
    <w:rsid w:val="0016700F"/>
    <w:rsid w:val="0017734A"/>
    <w:rsid w:val="00182E47"/>
    <w:rsid w:val="00182FB0"/>
    <w:rsid w:val="001917D0"/>
    <w:rsid w:val="00194198"/>
    <w:rsid w:val="0019503F"/>
    <w:rsid w:val="00196DA7"/>
    <w:rsid w:val="001975E3"/>
    <w:rsid w:val="001A0268"/>
    <w:rsid w:val="001A34B6"/>
    <w:rsid w:val="001A3C72"/>
    <w:rsid w:val="001B079C"/>
    <w:rsid w:val="001C1C0E"/>
    <w:rsid w:val="001C1FA9"/>
    <w:rsid w:val="001C2772"/>
    <w:rsid w:val="001C4EE4"/>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366DE"/>
    <w:rsid w:val="00243955"/>
    <w:rsid w:val="00252194"/>
    <w:rsid w:val="00253D63"/>
    <w:rsid w:val="00253E66"/>
    <w:rsid w:val="00255432"/>
    <w:rsid w:val="0026305A"/>
    <w:rsid w:val="00265578"/>
    <w:rsid w:val="00265C26"/>
    <w:rsid w:val="00266FE0"/>
    <w:rsid w:val="0026700B"/>
    <w:rsid w:val="00274FFF"/>
    <w:rsid w:val="0027573A"/>
    <w:rsid w:val="002770BD"/>
    <w:rsid w:val="002811B7"/>
    <w:rsid w:val="0028198A"/>
    <w:rsid w:val="0028349F"/>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2F3EEE"/>
    <w:rsid w:val="00305E68"/>
    <w:rsid w:val="0031014C"/>
    <w:rsid w:val="00311CEB"/>
    <w:rsid w:val="00313B4C"/>
    <w:rsid w:val="00317630"/>
    <w:rsid w:val="00323941"/>
    <w:rsid w:val="00325E23"/>
    <w:rsid w:val="00330598"/>
    <w:rsid w:val="0034571B"/>
    <w:rsid w:val="0035296A"/>
    <w:rsid w:val="00353404"/>
    <w:rsid w:val="00364C4E"/>
    <w:rsid w:val="00365379"/>
    <w:rsid w:val="0036660C"/>
    <w:rsid w:val="00370821"/>
    <w:rsid w:val="00382683"/>
    <w:rsid w:val="00386A80"/>
    <w:rsid w:val="0039014B"/>
    <w:rsid w:val="0039062C"/>
    <w:rsid w:val="00392528"/>
    <w:rsid w:val="00392B01"/>
    <w:rsid w:val="00392F98"/>
    <w:rsid w:val="0039514F"/>
    <w:rsid w:val="00396FBA"/>
    <w:rsid w:val="003A1B26"/>
    <w:rsid w:val="003A25D2"/>
    <w:rsid w:val="003A2EE2"/>
    <w:rsid w:val="003A344D"/>
    <w:rsid w:val="003A5510"/>
    <w:rsid w:val="003A5DFE"/>
    <w:rsid w:val="003B3C98"/>
    <w:rsid w:val="003D27E9"/>
    <w:rsid w:val="003D29FB"/>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56C5A"/>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24B7"/>
    <w:rsid w:val="0050356C"/>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31F12"/>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87B5E"/>
    <w:rsid w:val="00791213"/>
    <w:rsid w:val="007927C2"/>
    <w:rsid w:val="0079300C"/>
    <w:rsid w:val="00793B96"/>
    <w:rsid w:val="00793D42"/>
    <w:rsid w:val="00794298"/>
    <w:rsid w:val="007A26D9"/>
    <w:rsid w:val="007A53D0"/>
    <w:rsid w:val="007A6EA0"/>
    <w:rsid w:val="007B15A7"/>
    <w:rsid w:val="007B5471"/>
    <w:rsid w:val="007C2A03"/>
    <w:rsid w:val="007C2BA6"/>
    <w:rsid w:val="007D1B36"/>
    <w:rsid w:val="007D336E"/>
    <w:rsid w:val="007E0062"/>
    <w:rsid w:val="007E09E3"/>
    <w:rsid w:val="007E6B92"/>
    <w:rsid w:val="007E6CC4"/>
    <w:rsid w:val="007E79EF"/>
    <w:rsid w:val="007F4654"/>
    <w:rsid w:val="008005E3"/>
    <w:rsid w:val="00801493"/>
    <w:rsid w:val="00805AD4"/>
    <w:rsid w:val="0080727B"/>
    <w:rsid w:val="00814A86"/>
    <w:rsid w:val="008164F2"/>
    <w:rsid w:val="008211BE"/>
    <w:rsid w:val="0082183A"/>
    <w:rsid w:val="00823912"/>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D1986"/>
    <w:rsid w:val="008E0326"/>
    <w:rsid w:val="008E0EC6"/>
    <w:rsid w:val="008E199B"/>
    <w:rsid w:val="008E4E61"/>
    <w:rsid w:val="008F1382"/>
    <w:rsid w:val="008F3EB7"/>
    <w:rsid w:val="008F5EA6"/>
    <w:rsid w:val="008F6EA9"/>
    <w:rsid w:val="00901608"/>
    <w:rsid w:val="009048F9"/>
    <w:rsid w:val="00906450"/>
    <w:rsid w:val="0091315D"/>
    <w:rsid w:val="00913557"/>
    <w:rsid w:val="00915215"/>
    <w:rsid w:val="009208F9"/>
    <w:rsid w:val="0092283A"/>
    <w:rsid w:val="00927983"/>
    <w:rsid w:val="009317ED"/>
    <w:rsid w:val="0094338A"/>
    <w:rsid w:val="00946120"/>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B0060"/>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375C"/>
    <w:rsid w:val="00B2722C"/>
    <w:rsid w:val="00B32731"/>
    <w:rsid w:val="00B32984"/>
    <w:rsid w:val="00B33252"/>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A0D8B"/>
    <w:rsid w:val="00BA2C7D"/>
    <w:rsid w:val="00BA56D1"/>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674F"/>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C68A8"/>
    <w:rsid w:val="00CD07DD"/>
    <w:rsid w:val="00CD6BE9"/>
    <w:rsid w:val="00CE4754"/>
    <w:rsid w:val="00CE6AEE"/>
    <w:rsid w:val="00CE76E1"/>
    <w:rsid w:val="00CF0975"/>
    <w:rsid w:val="00CF2E4E"/>
    <w:rsid w:val="00CF3F79"/>
    <w:rsid w:val="00CF74E2"/>
    <w:rsid w:val="00D0091D"/>
    <w:rsid w:val="00D00B00"/>
    <w:rsid w:val="00D01695"/>
    <w:rsid w:val="00D05603"/>
    <w:rsid w:val="00D1733E"/>
    <w:rsid w:val="00D23629"/>
    <w:rsid w:val="00D259DA"/>
    <w:rsid w:val="00D302D2"/>
    <w:rsid w:val="00D3773C"/>
    <w:rsid w:val="00D433A8"/>
    <w:rsid w:val="00D435CD"/>
    <w:rsid w:val="00D4635B"/>
    <w:rsid w:val="00D46651"/>
    <w:rsid w:val="00D538E1"/>
    <w:rsid w:val="00D547D4"/>
    <w:rsid w:val="00D54A33"/>
    <w:rsid w:val="00D55AE1"/>
    <w:rsid w:val="00D56989"/>
    <w:rsid w:val="00D63481"/>
    <w:rsid w:val="00D639DB"/>
    <w:rsid w:val="00D669DA"/>
    <w:rsid w:val="00D714EB"/>
    <w:rsid w:val="00D72CF1"/>
    <w:rsid w:val="00D75229"/>
    <w:rsid w:val="00D75767"/>
    <w:rsid w:val="00D90F85"/>
    <w:rsid w:val="00D936FC"/>
    <w:rsid w:val="00D94C06"/>
    <w:rsid w:val="00D95F3E"/>
    <w:rsid w:val="00D979F9"/>
    <w:rsid w:val="00DA15FE"/>
    <w:rsid w:val="00DA1FD9"/>
    <w:rsid w:val="00DA2BF3"/>
    <w:rsid w:val="00DA2F2D"/>
    <w:rsid w:val="00DA3510"/>
    <w:rsid w:val="00DA4104"/>
    <w:rsid w:val="00DA580A"/>
    <w:rsid w:val="00DB245B"/>
    <w:rsid w:val="00DB25CE"/>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0532"/>
    <w:rsid w:val="00E55592"/>
    <w:rsid w:val="00E56E2A"/>
    <w:rsid w:val="00E57415"/>
    <w:rsid w:val="00E607BB"/>
    <w:rsid w:val="00E62B6E"/>
    <w:rsid w:val="00E74CB1"/>
    <w:rsid w:val="00E8638D"/>
    <w:rsid w:val="00E925FD"/>
    <w:rsid w:val="00E95839"/>
    <w:rsid w:val="00E9590E"/>
    <w:rsid w:val="00E95CD9"/>
    <w:rsid w:val="00E9641E"/>
    <w:rsid w:val="00EB361D"/>
    <w:rsid w:val="00EB4EF8"/>
    <w:rsid w:val="00EB60F6"/>
    <w:rsid w:val="00EC02D6"/>
    <w:rsid w:val="00EC0C33"/>
    <w:rsid w:val="00EC2D08"/>
    <w:rsid w:val="00EC305C"/>
    <w:rsid w:val="00EC43AC"/>
    <w:rsid w:val="00EC69E9"/>
    <w:rsid w:val="00EC7528"/>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92D27"/>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A4DE5C"/>
  <w15:docId w15:val="{C864B6AD-5C7E-4F4C-84AF-86F8CDA0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character" w:styleId="Sledovanodkaz">
    <w:name w:val="FollowedHyperlink"/>
    <w:basedOn w:val="Standardnpsmoodstavce"/>
    <w:uiPriority w:val="99"/>
    <w:semiHidden/>
    <w:unhideWhenUsed/>
    <w:rsid w:val="00392B0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ihlarR@spravazeleznic.cz" TargetMode="External"/><Relationship Id="rId13" Type="http://schemas.openxmlformats.org/officeDocument/2006/relationships/hyperlink" Target="https://www.spravazeleznic.cz/"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ypdok.tu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KuglerO@spravazeleznic.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zdenek@spravazeleznic.cz" TargetMode="External"/><Relationship Id="rId14" Type="http://schemas.openxmlformats.org/officeDocument/2006/relationships/hyperlink" Target="https://www.sfdi.cz/pravidla-metodiky-a-ceniky/metodiky/"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17CA7-0620-40E7-8588-462528729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11</Pages>
  <Words>5694</Words>
  <Characters>33599</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Baudis Martin, Bc.</cp:lastModifiedBy>
  <cp:revision>56</cp:revision>
  <cp:lastPrinted>2019-05-15T11:03:00Z</cp:lastPrinted>
  <dcterms:created xsi:type="dcterms:W3CDTF">2019-05-16T14:32:00Z</dcterms:created>
  <dcterms:modified xsi:type="dcterms:W3CDTF">2020-10-19T10:52:00Z</dcterms:modified>
</cp:coreProperties>
</file>