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659" w:rsidRDefault="00C81659" w:rsidP="00C81659">
      <w:pPr>
        <w:spacing w:before="240"/>
        <w:rPr>
          <w:rFonts w:ascii="Arial" w:hAnsi="Arial" w:cs="Arial"/>
          <w:b/>
          <w:u w:val="single"/>
        </w:rPr>
      </w:pPr>
      <w:r>
        <w:rPr>
          <w:rFonts w:ascii="Arial" w:hAnsi="Arial" w:cs="Arial"/>
          <w:b/>
          <w:u w:val="single"/>
        </w:rPr>
        <w:t>Technická specifikace zadání projekt</w:t>
      </w:r>
      <w:r w:rsidR="000B6BC3">
        <w:rPr>
          <w:rFonts w:ascii="Arial" w:hAnsi="Arial" w:cs="Arial"/>
          <w:b/>
          <w:u w:val="single"/>
        </w:rPr>
        <w:t>u</w:t>
      </w:r>
      <w:r>
        <w:rPr>
          <w:rFonts w:ascii="Arial" w:hAnsi="Arial" w:cs="Arial"/>
          <w:b/>
          <w:u w:val="single"/>
        </w:rPr>
        <w:t>:</w:t>
      </w:r>
    </w:p>
    <w:p w:rsidR="00B03599" w:rsidRDefault="00C81659" w:rsidP="00C81659">
      <w:pPr>
        <w:jc w:val="both"/>
        <w:rPr>
          <w:rFonts w:ascii="Arial" w:hAnsi="Arial" w:cs="Arial"/>
          <w:b/>
          <w:sz w:val="28"/>
          <w:szCs w:val="28"/>
        </w:rPr>
      </w:pPr>
      <w:r w:rsidRPr="0045646D">
        <w:rPr>
          <w:rFonts w:ascii="Arial" w:hAnsi="Arial" w:cs="Arial"/>
          <w:b/>
          <w:sz w:val="28"/>
          <w:szCs w:val="28"/>
        </w:rPr>
        <w:t xml:space="preserve"> </w:t>
      </w:r>
      <w:r w:rsidR="00B94EDD" w:rsidRPr="0045646D">
        <w:rPr>
          <w:rFonts w:ascii="Arial" w:hAnsi="Arial" w:cs="Arial"/>
          <w:b/>
          <w:sz w:val="28"/>
          <w:szCs w:val="28"/>
        </w:rPr>
        <w:t>„</w:t>
      </w:r>
      <w:r w:rsidR="00332A5B">
        <w:rPr>
          <w:rFonts w:ascii="Arial" w:eastAsia="Times New Roman" w:hAnsi="Arial" w:cs="Arial"/>
          <w:b/>
          <w:color w:val="000000"/>
          <w:sz w:val="28"/>
          <w:szCs w:val="28"/>
          <w:lang w:eastAsia="cs-CZ"/>
        </w:rPr>
        <w:t xml:space="preserve">Oprava mostu </w:t>
      </w:r>
      <w:r w:rsidR="00594640">
        <w:rPr>
          <w:rFonts w:ascii="Arial" w:eastAsia="Times New Roman" w:hAnsi="Arial" w:cs="Arial"/>
          <w:b/>
          <w:color w:val="000000"/>
          <w:sz w:val="28"/>
          <w:szCs w:val="28"/>
          <w:lang w:eastAsia="cs-CZ"/>
        </w:rPr>
        <w:t>v úseku Starkoč – Červený Kostelec</w:t>
      </w:r>
      <w:r w:rsidR="00B03599" w:rsidRPr="0045646D">
        <w:rPr>
          <w:rFonts w:ascii="Arial" w:hAnsi="Arial" w:cs="Arial"/>
          <w:b/>
          <w:sz w:val="28"/>
          <w:szCs w:val="28"/>
        </w:rPr>
        <w:t>“</w:t>
      </w:r>
    </w:p>
    <w:p w:rsidR="00231E31" w:rsidRDefault="00231E31" w:rsidP="00033CC1">
      <w:pPr>
        <w:pStyle w:val="Default"/>
        <w:jc w:val="both"/>
      </w:pPr>
    </w:p>
    <w:p w:rsidR="00231E31" w:rsidRPr="00231E31" w:rsidRDefault="00231E31" w:rsidP="00033CC1">
      <w:pPr>
        <w:pStyle w:val="Default"/>
        <w:jc w:val="both"/>
        <w:rPr>
          <w:sz w:val="22"/>
          <w:szCs w:val="22"/>
          <w:u w:val="single"/>
        </w:rPr>
      </w:pPr>
      <w:r>
        <w:t xml:space="preserve"> </w:t>
      </w:r>
      <w:r w:rsidRPr="00231E31">
        <w:rPr>
          <w:sz w:val="22"/>
          <w:szCs w:val="22"/>
          <w:u w:val="single"/>
        </w:rPr>
        <w:t xml:space="preserve">Předmět zakázky a požadavky na zhotovení: </w:t>
      </w:r>
    </w:p>
    <w:p w:rsidR="00231E31" w:rsidRDefault="00231E31" w:rsidP="00033CC1">
      <w:pPr>
        <w:pStyle w:val="Default"/>
        <w:jc w:val="both"/>
        <w:rPr>
          <w:sz w:val="22"/>
          <w:szCs w:val="22"/>
        </w:rPr>
      </w:pPr>
    </w:p>
    <w:p w:rsidR="00231E31" w:rsidRDefault="00231E31" w:rsidP="00033CC1">
      <w:pPr>
        <w:pStyle w:val="Default"/>
        <w:jc w:val="both"/>
        <w:rPr>
          <w:sz w:val="22"/>
          <w:szCs w:val="22"/>
        </w:rPr>
      </w:pPr>
      <w:r>
        <w:rPr>
          <w:sz w:val="22"/>
          <w:szCs w:val="22"/>
        </w:rPr>
        <w:t>- Požaduje se zpracovat projektovou dokumentaci, kte</w:t>
      </w:r>
      <w:r w:rsidR="00854983">
        <w:rPr>
          <w:sz w:val="22"/>
          <w:szCs w:val="22"/>
        </w:rPr>
        <w:t>rá bude řešit opravu stávajícího železničního</w:t>
      </w:r>
      <w:r>
        <w:rPr>
          <w:sz w:val="22"/>
          <w:szCs w:val="22"/>
        </w:rPr>
        <w:t xml:space="preserve"> </w:t>
      </w:r>
      <w:r w:rsidR="00854983">
        <w:rPr>
          <w:sz w:val="22"/>
          <w:szCs w:val="22"/>
        </w:rPr>
        <w:t>mostu</w:t>
      </w:r>
      <w:r w:rsidR="005E4647">
        <w:rPr>
          <w:sz w:val="22"/>
          <w:szCs w:val="22"/>
        </w:rPr>
        <w:t xml:space="preserve"> v km 18,963 </w:t>
      </w:r>
      <w:r>
        <w:rPr>
          <w:sz w:val="22"/>
          <w:szCs w:val="22"/>
        </w:rPr>
        <w:t xml:space="preserve">v úseku </w:t>
      </w:r>
      <w:r w:rsidR="00204E3C">
        <w:rPr>
          <w:sz w:val="22"/>
          <w:szCs w:val="22"/>
        </w:rPr>
        <w:t>Starkoč – Červený Kostelec</w:t>
      </w:r>
      <w:r w:rsidR="00854983">
        <w:rPr>
          <w:sz w:val="22"/>
          <w:szCs w:val="22"/>
        </w:rPr>
        <w:t xml:space="preserve">. </w:t>
      </w:r>
      <w:r w:rsidR="00854983" w:rsidRPr="00854983">
        <w:rPr>
          <w:sz w:val="22"/>
          <w:szCs w:val="22"/>
        </w:rPr>
        <w:t>Předpokládá se odstranění stávajících konstrukcí nad klenbou mostu a zhotovení nové železobetonové přesazené desky.</w:t>
      </w:r>
      <w:r>
        <w:rPr>
          <w:sz w:val="22"/>
          <w:szCs w:val="22"/>
        </w:rPr>
        <w:t xml:space="preserve"> </w:t>
      </w:r>
      <w:r w:rsidR="00854983">
        <w:rPr>
          <w:sz w:val="22"/>
          <w:szCs w:val="22"/>
        </w:rPr>
        <w:t xml:space="preserve"> </w:t>
      </w:r>
    </w:p>
    <w:p w:rsidR="00854983" w:rsidRDefault="00854983" w:rsidP="00033CC1">
      <w:pPr>
        <w:pStyle w:val="Default"/>
        <w:jc w:val="both"/>
        <w:rPr>
          <w:sz w:val="22"/>
          <w:szCs w:val="22"/>
        </w:rPr>
      </w:pPr>
    </w:p>
    <w:p w:rsidR="00231E31" w:rsidRDefault="00231E31" w:rsidP="00033CC1">
      <w:pPr>
        <w:pStyle w:val="Default"/>
        <w:jc w:val="both"/>
        <w:rPr>
          <w:sz w:val="22"/>
          <w:szCs w:val="22"/>
        </w:rPr>
      </w:pPr>
      <w:r>
        <w:rPr>
          <w:sz w:val="22"/>
          <w:szCs w:val="22"/>
        </w:rPr>
        <w:t xml:space="preserve">- </w:t>
      </w:r>
      <w:r w:rsidRPr="00077AD4">
        <w:rPr>
          <w:sz w:val="22"/>
          <w:szCs w:val="22"/>
        </w:rPr>
        <w:t xml:space="preserve">Vyhotovení projektové dokumentace ve stupni </w:t>
      </w:r>
      <w:r w:rsidR="00204E3C" w:rsidRPr="00077AD4">
        <w:rPr>
          <w:sz w:val="22"/>
          <w:szCs w:val="22"/>
        </w:rPr>
        <w:t xml:space="preserve">Projektové dokumentace pro provádění stavby </w:t>
      </w:r>
      <w:r w:rsidRPr="00077AD4">
        <w:rPr>
          <w:sz w:val="22"/>
          <w:szCs w:val="22"/>
        </w:rPr>
        <w:t>(dále jen</w:t>
      </w:r>
      <w:r>
        <w:rPr>
          <w:sz w:val="22"/>
          <w:szCs w:val="22"/>
        </w:rPr>
        <w:t xml:space="preserve"> </w:t>
      </w:r>
      <w:r w:rsidR="00204E3C">
        <w:rPr>
          <w:sz w:val="22"/>
          <w:szCs w:val="22"/>
        </w:rPr>
        <w:t>P</w:t>
      </w:r>
      <w:r w:rsidR="00243552">
        <w:rPr>
          <w:sz w:val="22"/>
          <w:szCs w:val="22"/>
        </w:rPr>
        <w:t>D</w:t>
      </w:r>
      <w:r w:rsidR="00204E3C">
        <w:rPr>
          <w:sz w:val="22"/>
          <w:szCs w:val="22"/>
        </w:rPr>
        <w:t>PS)</w:t>
      </w:r>
      <w:r>
        <w:rPr>
          <w:sz w:val="22"/>
          <w:szCs w:val="22"/>
        </w:rPr>
        <w:t xml:space="preserve"> v úseku </w:t>
      </w:r>
      <w:r w:rsidR="00204E3C">
        <w:rPr>
          <w:sz w:val="22"/>
          <w:szCs w:val="22"/>
        </w:rPr>
        <w:t>Starkoč – Červený Kostelec.</w:t>
      </w:r>
    </w:p>
    <w:p w:rsidR="00204E3C" w:rsidRDefault="00204E3C" w:rsidP="00033CC1">
      <w:pPr>
        <w:pStyle w:val="Default"/>
        <w:jc w:val="both"/>
        <w:rPr>
          <w:sz w:val="22"/>
          <w:szCs w:val="22"/>
        </w:rPr>
      </w:pPr>
    </w:p>
    <w:p w:rsidR="00854983" w:rsidRDefault="00854983" w:rsidP="00033CC1">
      <w:pPr>
        <w:pStyle w:val="Default"/>
        <w:jc w:val="both"/>
        <w:rPr>
          <w:sz w:val="22"/>
          <w:szCs w:val="22"/>
        </w:rPr>
      </w:pPr>
      <w:r w:rsidRPr="00D90F68">
        <w:rPr>
          <w:sz w:val="22"/>
          <w:szCs w:val="22"/>
        </w:rPr>
        <w:t>-Návrhové zatížení bude uvažováno v souladu s platným zněním ČSN EN 1991-2. Použit bude zatěžovací model LM 71 s příslušným klasifikačním součinitelem v souladu s Národní přílohou NA 2.53. Prostorové uspořádání na mostě bude navrženo na VMP 2,5.</w:t>
      </w:r>
    </w:p>
    <w:p w:rsidR="00E42575" w:rsidRDefault="00E42575" w:rsidP="00033CC1">
      <w:pPr>
        <w:pStyle w:val="Default"/>
        <w:jc w:val="both"/>
        <w:rPr>
          <w:sz w:val="22"/>
          <w:szCs w:val="22"/>
        </w:rPr>
      </w:pPr>
    </w:p>
    <w:p w:rsidR="00E42575" w:rsidRDefault="00231E31" w:rsidP="00033CC1">
      <w:pPr>
        <w:pStyle w:val="Default"/>
        <w:jc w:val="both"/>
        <w:rPr>
          <w:sz w:val="22"/>
          <w:szCs w:val="22"/>
        </w:rPr>
      </w:pPr>
      <w:r>
        <w:rPr>
          <w:sz w:val="22"/>
          <w:szCs w:val="22"/>
        </w:rPr>
        <w:t>- Navržené řešení je nutné před zahájením projekčních prací projednat s</w:t>
      </w:r>
      <w:r w:rsidR="00854983">
        <w:rPr>
          <w:sz w:val="22"/>
          <w:szCs w:val="22"/>
        </w:rPr>
        <w:t> </w:t>
      </w:r>
      <w:r>
        <w:rPr>
          <w:sz w:val="22"/>
          <w:szCs w:val="22"/>
        </w:rPr>
        <w:t>objednavatelem</w:t>
      </w:r>
      <w:r w:rsidR="00854983">
        <w:rPr>
          <w:sz w:val="22"/>
          <w:szCs w:val="22"/>
        </w:rPr>
        <w:t>.</w:t>
      </w:r>
    </w:p>
    <w:p w:rsidR="00231E31" w:rsidRDefault="00231E31" w:rsidP="00033CC1">
      <w:pPr>
        <w:pStyle w:val="Default"/>
        <w:jc w:val="both"/>
        <w:rPr>
          <w:sz w:val="22"/>
          <w:szCs w:val="22"/>
        </w:rPr>
      </w:pPr>
      <w:r>
        <w:rPr>
          <w:sz w:val="22"/>
          <w:szCs w:val="22"/>
        </w:rPr>
        <w:t xml:space="preserve"> </w:t>
      </w:r>
    </w:p>
    <w:p w:rsidR="00231E31" w:rsidRDefault="00231E31" w:rsidP="00033CC1">
      <w:pPr>
        <w:pStyle w:val="Default"/>
        <w:jc w:val="both"/>
        <w:rPr>
          <w:sz w:val="22"/>
          <w:szCs w:val="22"/>
        </w:rPr>
      </w:pPr>
      <w:r>
        <w:rPr>
          <w:sz w:val="22"/>
          <w:szCs w:val="22"/>
        </w:rPr>
        <w:t xml:space="preserve">- Projektová dokumentace bude obsahovat tyto části: </w:t>
      </w:r>
    </w:p>
    <w:p w:rsidR="00231E31" w:rsidRDefault="00231E31" w:rsidP="00033CC1">
      <w:pPr>
        <w:pStyle w:val="Default"/>
        <w:jc w:val="both"/>
        <w:rPr>
          <w:sz w:val="22"/>
          <w:szCs w:val="22"/>
        </w:rPr>
      </w:pPr>
    </w:p>
    <w:p w:rsidR="00231E31" w:rsidRPr="00231E31" w:rsidRDefault="00CA5AFF" w:rsidP="00033CC1">
      <w:pPr>
        <w:spacing w:after="0" w:line="240" w:lineRule="auto"/>
        <w:jc w:val="both"/>
        <w:rPr>
          <w:rFonts w:ascii="Arial" w:hAnsi="Arial" w:cs="Arial"/>
        </w:rPr>
      </w:pPr>
      <w:r>
        <w:rPr>
          <w:rFonts w:ascii="Arial" w:hAnsi="Arial" w:cs="Arial"/>
        </w:rPr>
        <w:t>PDPS</w:t>
      </w:r>
      <w:r w:rsidR="00231E31" w:rsidRPr="00231E31">
        <w:rPr>
          <w:rFonts w:ascii="Arial" w:hAnsi="Arial" w:cs="Arial"/>
        </w:rPr>
        <w:t xml:space="preserve"> – </w:t>
      </w:r>
      <w:r w:rsidR="00077AD4">
        <w:rPr>
          <w:rFonts w:ascii="Arial" w:hAnsi="Arial" w:cs="Arial"/>
        </w:rPr>
        <w:t>4</w:t>
      </w:r>
      <w:r w:rsidR="00231E31" w:rsidRPr="00231E31">
        <w:rPr>
          <w:rFonts w:ascii="Arial" w:hAnsi="Arial" w:cs="Arial"/>
        </w:rPr>
        <w:t xml:space="preserve">x </w:t>
      </w:r>
      <w:proofErr w:type="spellStart"/>
      <w:r w:rsidR="00231E31" w:rsidRPr="00231E31">
        <w:rPr>
          <w:rFonts w:ascii="Arial" w:hAnsi="Arial" w:cs="Arial"/>
        </w:rPr>
        <w:t>paré</w:t>
      </w:r>
      <w:proofErr w:type="spellEnd"/>
      <w:r w:rsidR="00231E31" w:rsidRPr="00231E31">
        <w:rPr>
          <w:rFonts w:ascii="Arial" w:hAnsi="Arial" w:cs="Arial"/>
        </w:rPr>
        <w:t xml:space="preserve"> </w:t>
      </w:r>
      <w:bookmarkStart w:id="0" w:name="_GoBack"/>
      <w:bookmarkEnd w:id="0"/>
    </w:p>
    <w:p w:rsidR="00231E31" w:rsidRPr="00231E31" w:rsidRDefault="00CA5AFF" w:rsidP="00033CC1">
      <w:pPr>
        <w:spacing w:after="0" w:line="240" w:lineRule="auto"/>
        <w:jc w:val="both"/>
        <w:rPr>
          <w:rFonts w:ascii="Arial" w:hAnsi="Arial" w:cs="Arial"/>
        </w:rPr>
      </w:pPr>
      <w:r>
        <w:rPr>
          <w:rFonts w:ascii="Arial" w:hAnsi="Arial" w:cs="Arial"/>
        </w:rPr>
        <w:t>PDPS</w:t>
      </w:r>
      <w:r w:rsidR="00243552">
        <w:rPr>
          <w:rFonts w:ascii="Arial" w:hAnsi="Arial" w:cs="Arial"/>
        </w:rPr>
        <w:t xml:space="preserve"> </w:t>
      </w:r>
      <w:r w:rsidR="00231E31" w:rsidRPr="00231E31">
        <w:rPr>
          <w:rFonts w:ascii="Arial" w:hAnsi="Arial" w:cs="Arial"/>
        </w:rPr>
        <w:t>v digitální podobě – 1x (na CD-R, formáty *.</w:t>
      </w:r>
      <w:proofErr w:type="spellStart"/>
      <w:r w:rsidR="00231E31" w:rsidRPr="00231E31">
        <w:rPr>
          <w:rFonts w:ascii="Arial" w:hAnsi="Arial" w:cs="Arial"/>
        </w:rPr>
        <w:t>xls</w:t>
      </w:r>
      <w:proofErr w:type="spellEnd"/>
      <w:r w:rsidR="00231E31" w:rsidRPr="00231E31">
        <w:rPr>
          <w:rFonts w:ascii="Arial" w:hAnsi="Arial" w:cs="Arial"/>
        </w:rPr>
        <w:t>,*.doc,*.</w:t>
      </w:r>
      <w:proofErr w:type="spellStart"/>
      <w:r w:rsidR="00231E31" w:rsidRPr="00231E31">
        <w:rPr>
          <w:rFonts w:ascii="Arial" w:hAnsi="Arial" w:cs="Arial"/>
        </w:rPr>
        <w:t>dwg</w:t>
      </w:r>
      <w:proofErr w:type="spellEnd"/>
      <w:r w:rsidR="00231E31" w:rsidRPr="00231E31">
        <w:rPr>
          <w:rFonts w:ascii="Arial" w:hAnsi="Arial" w:cs="Arial"/>
        </w:rPr>
        <w:t>,*.</w:t>
      </w:r>
      <w:proofErr w:type="spellStart"/>
      <w:r w:rsidR="00231E31" w:rsidRPr="00231E31">
        <w:rPr>
          <w:rFonts w:ascii="Arial" w:hAnsi="Arial" w:cs="Arial"/>
        </w:rPr>
        <w:t>pdf</w:t>
      </w:r>
      <w:proofErr w:type="spellEnd"/>
      <w:r w:rsidR="00231E31" w:rsidRPr="00231E31">
        <w:rPr>
          <w:rFonts w:ascii="Arial" w:hAnsi="Arial" w:cs="Arial"/>
        </w:rPr>
        <w:t xml:space="preserve">) </w:t>
      </w:r>
    </w:p>
    <w:p w:rsidR="00231E31" w:rsidRPr="00231E31" w:rsidRDefault="00231E31" w:rsidP="00033CC1">
      <w:pPr>
        <w:spacing w:after="0" w:line="240" w:lineRule="auto"/>
        <w:jc w:val="both"/>
        <w:rPr>
          <w:rFonts w:ascii="Arial" w:hAnsi="Arial" w:cs="Arial"/>
        </w:rPr>
      </w:pPr>
      <w:r w:rsidRPr="00231E31">
        <w:rPr>
          <w:rFonts w:ascii="Arial" w:hAnsi="Arial" w:cs="Arial"/>
        </w:rPr>
        <w:t xml:space="preserve">Výkaz výměr a Položkový rozpočet v cenách dle URS – 2x </w:t>
      </w:r>
    </w:p>
    <w:p w:rsidR="00231E31" w:rsidRDefault="00231E31" w:rsidP="00033CC1">
      <w:pPr>
        <w:spacing w:after="0" w:line="240" w:lineRule="auto"/>
        <w:jc w:val="both"/>
        <w:rPr>
          <w:rFonts w:ascii="Arial" w:hAnsi="Arial" w:cs="Arial"/>
        </w:rPr>
      </w:pPr>
      <w:r w:rsidRPr="00231E31">
        <w:rPr>
          <w:rFonts w:ascii="Arial" w:hAnsi="Arial" w:cs="Arial"/>
        </w:rPr>
        <w:t>Doklady o projednání stavby pro</w:t>
      </w:r>
      <w:r w:rsidR="00033CC1">
        <w:rPr>
          <w:rFonts w:ascii="Arial" w:hAnsi="Arial" w:cs="Arial"/>
        </w:rPr>
        <w:t xml:space="preserve"> </w:t>
      </w:r>
      <w:r w:rsidRPr="00231E31">
        <w:rPr>
          <w:rFonts w:ascii="Arial" w:hAnsi="Arial" w:cs="Arial"/>
        </w:rPr>
        <w:t xml:space="preserve">ohlášení stavebních prací </w:t>
      </w:r>
    </w:p>
    <w:p w:rsidR="00231E31" w:rsidRPr="00231E31" w:rsidRDefault="00231E31" w:rsidP="00033CC1">
      <w:pPr>
        <w:spacing w:after="0" w:line="240" w:lineRule="auto"/>
        <w:jc w:val="both"/>
        <w:rPr>
          <w:rFonts w:ascii="Arial" w:hAnsi="Arial" w:cs="Arial"/>
        </w:rPr>
      </w:pPr>
    </w:p>
    <w:p w:rsidR="00231E31" w:rsidRPr="00231E31" w:rsidRDefault="00231E31" w:rsidP="00033CC1">
      <w:pPr>
        <w:spacing w:after="0" w:line="240" w:lineRule="auto"/>
        <w:jc w:val="both"/>
        <w:rPr>
          <w:rFonts w:ascii="Arial" w:hAnsi="Arial" w:cs="Arial"/>
        </w:rPr>
      </w:pPr>
      <w:r w:rsidRPr="00231E31">
        <w:rPr>
          <w:rFonts w:ascii="Arial" w:hAnsi="Arial" w:cs="Arial"/>
        </w:rPr>
        <w:t xml:space="preserve">- První dvě </w:t>
      </w:r>
      <w:proofErr w:type="spellStart"/>
      <w:r w:rsidRPr="00231E31">
        <w:rPr>
          <w:rFonts w:ascii="Arial" w:hAnsi="Arial" w:cs="Arial"/>
        </w:rPr>
        <w:t>paré</w:t>
      </w:r>
      <w:proofErr w:type="spellEnd"/>
      <w:r w:rsidRPr="00231E31">
        <w:rPr>
          <w:rFonts w:ascii="Arial" w:hAnsi="Arial" w:cs="Arial"/>
        </w:rPr>
        <w:t xml:space="preserve"> PD budou označena autorizačním razítkem zpracovatele. </w:t>
      </w:r>
    </w:p>
    <w:p w:rsidR="00231E31" w:rsidRPr="00231E31" w:rsidRDefault="00231E31" w:rsidP="00033CC1">
      <w:pPr>
        <w:spacing w:after="0" w:line="240" w:lineRule="auto"/>
        <w:jc w:val="both"/>
        <w:rPr>
          <w:rFonts w:ascii="Arial" w:hAnsi="Arial" w:cs="Arial"/>
        </w:rPr>
      </w:pPr>
    </w:p>
    <w:p w:rsidR="00231E31" w:rsidRPr="00231E31" w:rsidRDefault="00231E31" w:rsidP="00033CC1">
      <w:pPr>
        <w:spacing w:after="0" w:line="240" w:lineRule="auto"/>
        <w:jc w:val="both"/>
        <w:rPr>
          <w:rFonts w:ascii="Arial" w:hAnsi="Arial" w:cs="Arial"/>
        </w:rPr>
      </w:pPr>
      <w:r w:rsidRPr="00231E31">
        <w:rPr>
          <w:rFonts w:ascii="Arial" w:hAnsi="Arial" w:cs="Arial"/>
        </w:rPr>
        <w:t xml:space="preserve">- Nabídková cena musí obsahovat veškeré náklady na zajištění vstupních údajů nutných k vypracování PD, např. mapové podklady, stavebně technický průzkum s ověřením pevností zdiva, inženýrsko-geologický průzkum apod. Projektová dokumentace bude provedena dle standardů požadovaných objednatelem, jako jsou Typové podklady (dále jen „TP“), Technické kvalitativní podmínky (dále jen „TKP“) staveb státních drah (SŽDC), Technické normy železnic (dále jen „TNŽ“), Obecné technické podmínky (dále jen „OTP“) pro dokumentaci železničních mostních objektů. </w:t>
      </w:r>
    </w:p>
    <w:p w:rsidR="00121215" w:rsidRDefault="00121215" w:rsidP="00033CC1">
      <w:pPr>
        <w:pStyle w:val="Default"/>
        <w:jc w:val="both"/>
        <w:rPr>
          <w:sz w:val="22"/>
          <w:szCs w:val="22"/>
        </w:rPr>
      </w:pPr>
    </w:p>
    <w:p w:rsidR="00E42575" w:rsidRDefault="00E42575" w:rsidP="00033CC1">
      <w:pPr>
        <w:pStyle w:val="Default"/>
        <w:jc w:val="both"/>
        <w:rPr>
          <w:sz w:val="22"/>
          <w:szCs w:val="22"/>
        </w:rPr>
      </w:pPr>
    </w:p>
    <w:p w:rsidR="00121215" w:rsidRDefault="00121215" w:rsidP="00033CC1">
      <w:pPr>
        <w:pStyle w:val="Default"/>
        <w:jc w:val="both"/>
        <w:rPr>
          <w:sz w:val="22"/>
          <w:szCs w:val="22"/>
        </w:rPr>
      </w:pPr>
    </w:p>
    <w:p w:rsidR="00121215" w:rsidRDefault="00121215" w:rsidP="00033CC1">
      <w:pPr>
        <w:pStyle w:val="Default"/>
        <w:jc w:val="both"/>
        <w:rPr>
          <w:sz w:val="22"/>
          <w:szCs w:val="22"/>
        </w:rPr>
      </w:pPr>
    </w:p>
    <w:p w:rsidR="00231E31" w:rsidRDefault="00231E31" w:rsidP="00033CC1">
      <w:pPr>
        <w:pStyle w:val="Default"/>
        <w:jc w:val="both"/>
        <w:rPr>
          <w:sz w:val="22"/>
          <w:szCs w:val="22"/>
        </w:rPr>
      </w:pPr>
      <w:r>
        <w:rPr>
          <w:sz w:val="22"/>
          <w:szCs w:val="22"/>
        </w:rPr>
        <w:t>Rozsah a obsah projektové dokumentace musí splňovat vyhlášku č. 146/2008 Sb.</w:t>
      </w:r>
    </w:p>
    <w:p w:rsidR="00231E31" w:rsidRPr="00231E31" w:rsidRDefault="00231E31" w:rsidP="00033CC1">
      <w:pPr>
        <w:pStyle w:val="Default"/>
        <w:jc w:val="both"/>
        <w:rPr>
          <w:sz w:val="22"/>
          <w:szCs w:val="22"/>
        </w:rPr>
      </w:pPr>
    </w:p>
    <w:p w:rsidR="00231E31" w:rsidRPr="00231E31" w:rsidRDefault="00231E31" w:rsidP="00231E31">
      <w:pPr>
        <w:pStyle w:val="Default"/>
        <w:rPr>
          <w:sz w:val="22"/>
          <w:szCs w:val="22"/>
        </w:rPr>
      </w:pPr>
    </w:p>
    <w:p w:rsidR="00231E31" w:rsidRPr="008C68F6" w:rsidRDefault="008C68F6" w:rsidP="008C68F6">
      <w:pPr>
        <w:spacing w:after="0" w:line="240" w:lineRule="auto"/>
        <w:jc w:val="both"/>
        <w:rPr>
          <w:rFonts w:ascii="Arial" w:hAnsi="Arial" w:cs="Arial"/>
        </w:rPr>
      </w:pPr>
      <w:r w:rsidRPr="008C68F6">
        <w:rPr>
          <w:rFonts w:ascii="Arial" w:hAnsi="Arial" w:cs="Arial"/>
        </w:rPr>
        <w:t>-Součástí technické specifikace je podrobná prohlídka</w:t>
      </w:r>
    </w:p>
    <w:p w:rsidR="00CA5AFF" w:rsidRDefault="00CA5AFF" w:rsidP="008F1318">
      <w:pPr>
        <w:spacing w:before="240"/>
        <w:jc w:val="both"/>
        <w:rPr>
          <w:rFonts w:ascii="Arial" w:hAnsi="Arial" w:cs="Arial"/>
          <w:b/>
          <w:sz w:val="24"/>
        </w:rPr>
      </w:pPr>
    </w:p>
    <w:p w:rsidR="00231E31" w:rsidRDefault="00231E31" w:rsidP="008F1318">
      <w:pPr>
        <w:spacing w:before="240"/>
        <w:jc w:val="both"/>
        <w:rPr>
          <w:rFonts w:ascii="Arial" w:hAnsi="Arial" w:cs="Arial"/>
          <w:b/>
          <w:sz w:val="24"/>
        </w:rPr>
      </w:pPr>
    </w:p>
    <w:p w:rsidR="00231E31" w:rsidRDefault="00231E31" w:rsidP="008F1318">
      <w:pPr>
        <w:spacing w:before="240"/>
        <w:jc w:val="both"/>
        <w:rPr>
          <w:rFonts w:ascii="Arial" w:hAnsi="Arial" w:cs="Arial"/>
          <w:b/>
          <w:sz w:val="24"/>
        </w:rPr>
      </w:pPr>
    </w:p>
    <w:p w:rsidR="003C2D25" w:rsidRDefault="003C2D25" w:rsidP="00C359DA">
      <w:pPr>
        <w:jc w:val="both"/>
        <w:rPr>
          <w:rFonts w:ascii="Arial" w:hAnsi="Arial" w:cs="Arial"/>
          <w:b/>
          <w:sz w:val="24"/>
        </w:rPr>
      </w:pPr>
    </w:p>
    <w:sectPr w:rsidR="003C2D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254F7"/>
    <w:multiLevelType w:val="hybridMultilevel"/>
    <w:tmpl w:val="60540B94"/>
    <w:lvl w:ilvl="0" w:tplc="4F668C2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3696F50"/>
    <w:multiLevelType w:val="hybridMultilevel"/>
    <w:tmpl w:val="D54C7622"/>
    <w:lvl w:ilvl="0" w:tplc="2300381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4F0259D"/>
    <w:multiLevelType w:val="hybridMultilevel"/>
    <w:tmpl w:val="86B44FD4"/>
    <w:lvl w:ilvl="0" w:tplc="B23C2A5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7EB37EA8"/>
    <w:multiLevelType w:val="hybridMultilevel"/>
    <w:tmpl w:val="9B2EA46A"/>
    <w:lvl w:ilvl="0" w:tplc="2BE8ACE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599"/>
    <w:rsid w:val="00012289"/>
    <w:rsid w:val="000157BE"/>
    <w:rsid w:val="00032C50"/>
    <w:rsid w:val="00033CC1"/>
    <w:rsid w:val="00034F5C"/>
    <w:rsid w:val="000662D4"/>
    <w:rsid w:val="00077AD4"/>
    <w:rsid w:val="00097BB2"/>
    <w:rsid w:val="000A302B"/>
    <w:rsid w:val="000B0A5D"/>
    <w:rsid w:val="000B6BC3"/>
    <w:rsid w:val="000B75A1"/>
    <w:rsid w:val="000D756D"/>
    <w:rsid w:val="00120549"/>
    <w:rsid w:val="00121215"/>
    <w:rsid w:val="00134ADC"/>
    <w:rsid w:val="00134C78"/>
    <w:rsid w:val="0015142A"/>
    <w:rsid w:val="0015464F"/>
    <w:rsid w:val="0018249E"/>
    <w:rsid w:val="001C6289"/>
    <w:rsid w:val="001D04F7"/>
    <w:rsid w:val="001E47F5"/>
    <w:rsid w:val="00204E3C"/>
    <w:rsid w:val="00231E31"/>
    <w:rsid w:val="00235FC3"/>
    <w:rsid w:val="002401DE"/>
    <w:rsid w:val="00243552"/>
    <w:rsid w:val="0026530E"/>
    <w:rsid w:val="00274133"/>
    <w:rsid w:val="002963D5"/>
    <w:rsid w:val="00311D42"/>
    <w:rsid w:val="00326821"/>
    <w:rsid w:val="00332A5B"/>
    <w:rsid w:val="00367535"/>
    <w:rsid w:val="00381DBE"/>
    <w:rsid w:val="003C2D25"/>
    <w:rsid w:val="003D1EDD"/>
    <w:rsid w:val="003F572E"/>
    <w:rsid w:val="00403F4A"/>
    <w:rsid w:val="0045646D"/>
    <w:rsid w:val="005008D6"/>
    <w:rsid w:val="00505733"/>
    <w:rsid w:val="005153B8"/>
    <w:rsid w:val="00522D43"/>
    <w:rsid w:val="0054766D"/>
    <w:rsid w:val="00557819"/>
    <w:rsid w:val="00592528"/>
    <w:rsid w:val="00594640"/>
    <w:rsid w:val="005E4647"/>
    <w:rsid w:val="00601EC4"/>
    <w:rsid w:val="00610652"/>
    <w:rsid w:val="00612C92"/>
    <w:rsid w:val="00624CE9"/>
    <w:rsid w:val="006F0BB1"/>
    <w:rsid w:val="00702000"/>
    <w:rsid w:val="00781D30"/>
    <w:rsid w:val="0083445D"/>
    <w:rsid w:val="0085052F"/>
    <w:rsid w:val="00854983"/>
    <w:rsid w:val="00855D66"/>
    <w:rsid w:val="00856F4D"/>
    <w:rsid w:val="00864A9E"/>
    <w:rsid w:val="008A02F1"/>
    <w:rsid w:val="008B78E3"/>
    <w:rsid w:val="008C68F6"/>
    <w:rsid w:val="008E5E53"/>
    <w:rsid w:val="008E6B1B"/>
    <w:rsid w:val="008F1318"/>
    <w:rsid w:val="00907552"/>
    <w:rsid w:val="00914EB3"/>
    <w:rsid w:val="00934117"/>
    <w:rsid w:val="00973AC5"/>
    <w:rsid w:val="00975C87"/>
    <w:rsid w:val="009C6384"/>
    <w:rsid w:val="00A30AD1"/>
    <w:rsid w:val="00A63C65"/>
    <w:rsid w:val="00AA7846"/>
    <w:rsid w:val="00AB3516"/>
    <w:rsid w:val="00AF14B0"/>
    <w:rsid w:val="00B0154E"/>
    <w:rsid w:val="00B03599"/>
    <w:rsid w:val="00B10803"/>
    <w:rsid w:val="00B279F2"/>
    <w:rsid w:val="00B67387"/>
    <w:rsid w:val="00B83C4D"/>
    <w:rsid w:val="00B94EDD"/>
    <w:rsid w:val="00BB4A9F"/>
    <w:rsid w:val="00BD4C4D"/>
    <w:rsid w:val="00C0414E"/>
    <w:rsid w:val="00C31388"/>
    <w:rsid w:val="00C359DA"/>
    <w:rsid w:val="00C43EAB"/>
    <w:rsid w:val="00C51D2F"/>
    <w:rsid w:val="00C81659"/>
    <w:rsid w:val="00C864D0"/>
    <w:rsid w:val="00C92BE2"/>
    <w:rsid w:val="00C94F60"/>
    <w:rsid w:val="00CA5AFF"/>
    <w:rsid w:val="00CC3DB5"/>
    <w:rsid w:val="00CC4A3A"/>
    <w:rsid w:val="00CD6518"/>
    <w:rsid w:val="00CF7570"/>
    <w:rsid w:val="00D050F7"/>
    <w:rsid w:val="00D42923"/>
    <w:rsid w:val="00D81026"/>
    <w:rsid w:val="00D910CD"/>
    <w:rsid w:val="00DC1312"/>
    <w:rsid w:val="00E22B6E"/>
    <w:rsid w:val="00E42575"/>
    <w:rsid w:val="00E519E7"/>
    <w:rsid w:val="00E5362E"/>
    <w:rsid w:val="00E57810"/>
    <w:rsid w:val="00E836D9"/>
    <w:rsid w:val="00EA3527"/>
    <w:rsid w:val="00ED348A"/>
    <w:rsid w:val="00ED3CD5"/>
    <w:rsid w:val="00ED5CA8"/>
    <w:rsid w:val="00ED62E6"/>
    <w:rsid w:val="00F24255"/>
    <w:rsid w:val="00F2446A"/>
    <w:rsid w:val="00FB2960"/>
    <w:rsid w:val="00FE21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536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362E"/>
    <w:rPr>
      <w:rFonts w:ascii="Tahoma" w:hAnsi="Tahoma" w:cs="Tahoma"/>
      <w:sz w:val="16"/>
      <w:szCs w:val="16"/>
    </w:rPr>
  </w:style>
  <w:style w:type="paragraph" w:customStyle="1" w:styleId="Default">
    <w:name w:val="Default"/>
    <w:rsid w:val="00231E31"/>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8C68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536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362E"/>
    <w:rPr>
      <w:rFonts w:ascii="Tahoma" w:hAnsi="Tahoma" w:cs="Tahoma"/>
      <w:sz w:val="16"/>
      <w:szCs w:val="16"/>
    </w:rPr>
  </w:style>
  <w:style w:type="paragraph" w:customStyle="1" w:styleId="Default">
    <w:name w:val="Default"/>
    <w:rsid w:val="00231E31"/>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8C6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24104">
      <w:bodyDiv w:val="1"/>
      <w:marLeft w:val="0"/>
      <w:marRight w:val="0"/>
      <w:marTop w:val="0"/>
      <w:marBottom w:val="0"/>
      <w:divBdr>
        <w:top w:val="none" w:sz="0" w:space="0" w:color="auto"/>
        <w:left w:val="none" w:sz="0" w:space="0" w:color="auto"/>
        <w:bottom w:val="none" w:sz="0" w:space="0" w:color="auto"/>
        <w:right w:val="none" w:sz="0" w:space="0" w:color="auto"/>
      </w:divBdr>
    </w:div>
    <w:div w:id="797183728">
      <w:bodyDiv w:val="1"/>
      <w:marLeft w:val="0"/>
      <w:marRight w:val="0"/>
      <w:marTop w:val="0"/>
      <w:marBottom w:val="0"/>
      <w:divBdr>
        <w:top w:val="none" w:sz="0" w:space="0" w:color="auto"/>
        <w:left w:val="none" w:sz="0" w:space="0" w:color="auto"/>
        <w:bottom w:val="none" w:sz="0" w:space="0" w:color="auto"/>
        <w:right w:val="none" w:sz="0" w:space="0" w:color="auto"/>
      </w:divBdr>
    </w:div>
    <w:div w:id="909728856">
      <w:bodyDiv w:val="1"/>
      <w:marLeft w:val="0"/>
      <w:marRight w:val="0"/>
      <w:marTop w:val="0"/>
      <w:marBottom w:val="0"/>
      <w:divBdr>
        <w:top w:val="none" w:sz="0" w:space="0" w:color="auto"/>
        <w:left w:val="none" w:sz="0" w:space="0" w:color="auto"/>
        <w:bottom w:val="none" w:sz="0" w:space="0" w:color="auto"/>
        <w:right w:val="none" w:sz="0" w:space="0" w:color="auto"/>
      </w:divBdr>
    </w:div>
    <w:div w:id="1093015930">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276</Words>
  <Characters>1634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Kosinová Pavla, Ing.</dc:creator>
  <cp:lastModifiedBy>Pekárková Tereza</cp:lastModifiedBy>
  <cp:revision>18</cp:revision>
  <cp:lastPrinted>2020-09-10T08:01:00Z</cp:lastPrinted>
  <dcterms:created xsi:type="dcterms:W3CDTF">2020-05-21T05:39:00Z</dcterms:created>
  <dcterms:modified xsi:type="dcterms:W3CDTF">2020-09-14T10:26:00Z</dcterms:modified>
</cp:coreProperties>
</file>