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F04FD">
        <w:rPr>
          <w:rFonts w:ascii="Verdana" w:hAnsi="Verdana"/>
          <w:sz w:val="18"/>
          <w:szCs w:val="18"/>
        </w:rPr>
        <w:t>„</w:t>
      </w:r>
      <w:r w:rsidR="008F04FD" w:rsidRPr="00D125CA">
        <w:rPr>
          <w:rFonts w:ascii="Verdana" w:hAnsi="Verdana"/>
          <w:sz w:val="18"/>
          <w:szCs w:val="18"/>
        </w:rPr>
        <w:t>Kdyně ON – Oprava VB – projektová dokumentace</w:t>
      </w:r>
      <w:r w:rsidR="008F04FD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F04F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F04FD" w:rsidRPr="008F04F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1FDC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04FD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77CA12-F90C-4E9C-B309-FCDCB6640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2020-01-31T12:39:00Z</dcterms:created>
  <dcterms:modified xsi:type="dcterms:W3CDTF">2020-08-04T09:33:00Z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