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36332D48" w:rsidR="00F422D3" w:rsidRDefault="00F422D3" w:rsidP="00B42F40">
      <w:pPr>
        <w:pStyle w:val="Titul2"/>
      </w:pPr>
      <w:r>
        <w:t>Název zakázky: „</w:t>
      </w:r>
      <w:r w:rsidR="0032683F" w:rsidRPr="0032683F">
        <w:t>Prachatice ON - oprava VB – projektová dokumentace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77777777" w:rsidR="00F422D3" w:rsidRDefault="00F422D3" w:rsidP="00B42F40">
      <w:pPr>
        <w:pStyle w:val="Textbezodsazen"/>
        <w:spacing w:after="0"/>
      </w:pPr>
      <w:r>
        <w:t>IČO: 70994234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32683F">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ABD145" w:rsidR="00024CEA" w:rsidRPr="007821F1" w:rsidRDefault="00024CEA" w:rsidP="00024CEA">
      <w:pPr>
        <w:rPr>
          <w:rFonts w:ascii="Verdana" w:hAnsi="Verdana" w:cs="Arial"/>
        </w:rPr>
      </w:pPr>
      <w:r w:rsidRPr="007821F1">
        <w:rPr>
          <w:rFonts w:ascii="Verdana" w:hAnsi="Verdana" w:cs="Arial"/>
        </w:rPr>
        <w:t>E-mail: ePodatelnaORPLZ@</w:t>
      </w:r>
      <w:r w:rsidR="006441DD">
        <w:rPr>
          <w:rFonts w:ascii="Verdana" w:hAnsi="Verdana" w:cs="Arial"/>
        </w:rPr>
        <w:t>spravazeleznic</w:t>
      </w:r>
      <w:r w:rsidRPr="007821F1">
        <w:rPr>
          <w:rFonts w:ascii="Verdana" w:hAnsi="Verdana" w:cs="Arial"/>
        </w:rPr>
        <w:t>.cz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E654-S-…./2020</w:t>
      </w:r>
    </w:p>
    <w:p w14:paraId="33B7918D" w14:textId="6E7983AE" w:rsidR="00024CEA" w:rsidRDefault="00024CEA" w:rsidP="00024CEA">
      <w:pPr>
        <w:pStyle w:val="Textbezodsazen"/>
        <w:spacing w:after="0"/>
      </w:pPr>
      <w:r>
        <w:t xml:space="preserve">číslo veřejné </w:t>
      </w:r>
      <w:r w:rsidRPr="0032683F">
        <w:t>zakázky: 6542</w:t>
      </w:r>
      <w:r w:rsidR="0032683F" w:rsidRPr="0032683F">
        <w:t>0181</w:t>
      </w:r>
    </w:p>
    <w:p w14:paraId="24579F39" w14:textId="46F452F7" w:rsidR="00024CEA" w:rsidRDefault="00024CEA" w:rsidP="00024CEA">
      <w:pPr>
        <w:pStyle w:val="Textbezodsazen"/>
        <w:spacing w:after="0"/>
      </w:pPr>
      <w:r>
        <w:t xml:space="preserve">číslo jednací: </w:t>
      </w:r>
      <w:r>
        <w:rPr>
          <w:highlight w:val="green"/>
        </w:rPr>
        <w:t>……../2020</w:t>
      </w:r>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r w:rsidR="00671778" w:rsidRPr="007821F1">
        <w:rPr>
          <w:rFonts w:ascii="Verdana" w:hAnsi="Verdana" w:cs="Arial"/>
        </w:rPr>
        <w:t>ust.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lastRenderedPageBreak/>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48E3226" w14:textId="53DB713B" w:rsidR="00931D03" w:rsidRPr="00EE756F" w:rsidRDefault="00931D03" w:rsidP="0032683F">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BB53CA">
        <w:rPr>
          <w:highlight w:val="green"/>
        </w:rPr>
        <w:fldChar w:fldCharType="begin"/>
      </w:r>
      <w:r w:rsidRPr="00BB53CA">
        <w:rPr>
          <w:highlight w:val="green"/>
        </w:rPr>
        <w:instrText xml:space="preserve"> MACROBUTTON  VložitŠirokouMezeru "[VLOŽÍ OBJEDNATEL]" </w:instrText>
      </w:r>
      <w:r w:rsidRPr="00BB53CA">
        <w:rPr>
          <w:highlight w:val="green"/>
        </w:rPr>
        <w:fldChar w:fldCharType="end"/>
      </w:r>
      <w:r w:rsidRPr="00EE756F">
        <w:t xml:space="preserve">pod evidenčním číslem </w:t>
      </w:r>
      <w:r w:rsidR="000F02A0">
        <w:t xml:space="preserve">65420181 </w:t>
      </w:r>
      <w:r w:rsidRPr="00EE756F">
        <w:t xml:space="preserve">svůj úmysl zadat ve výběrovém řízení veřejnou zakázku s názvem </w:t>
      </w:r>
      <w:r w:rsidRPr="00EE756F">
        <w:rPr>
          <w:b/>
        </w:rPr>
        <w:t>„</w:t>
      </w:r>
      <w:r w:rsidR="0032683F" w:rsidRPr="0032683F">
        <w:rPr>
          <w:b/>
        </w:rPr>
        <w:t>Prachatice ON - oprava VB – projektová dokumentace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C06DF8" w:rsidRDefault="00671778" w:rsidP="00C06DF8">
      <w:pPr>
        <w:pStyle w:val="Text1-1"/>
      </w:pPr>
      <w:r w:rsidRPr="008335E4">
        <w:t xml:space="preserve">Zhotovitel se zavazuje provést níže uvedené služby a objednatel se zavazuje </w:t>
      </w:r>
      <w:r w:rsidRPr="00C06DF8">
        <w:t xml:space="preserve">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538FF4C4" w:rsidR="00671778" w:rsidRPr="00CC5050" w:rsidRDefault="00671778" w:rsidP="00CC5050">
      <w:pPr>
        <w:pStyle w:val="Text1-1"/>
      </w:pPr>
      <w:r w:rsidRPr="00CC5050">
        <w:t xml:space="preserve">Předmět smlouvy bude realizován v souladu s následujícími dokumenty: </w:t>
      </w:r>
    </w:p>
    <w:p w14:paraId="165D5255" w14:textId="77777777" w:rsidR="00671778" w:rsidRPr="008335E4" w:rsidRDefault="00671778" w:rsidP="00CC5050">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zadávací dokumentace,</w:t>
      </w:r>
    </w:p>
    <w:p w14:paraId="152C45E6" w14:textId="556A8E61" w:rsidR="00671778" w:rsidRPr="008335E4" w:rsidRDefault="00671778" w:rsidP="00CC5050">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lastRenderedPageBreak/>
        <w:t xml:space="preserve">nabídka zhotovitele ze dne </w:t>
      </w:r>
      <w:r w:rsidRPr="008335E4">
        <w:rPr>
          <w:rFonts w:cs="Arial"/>
          <w:color w:val="FF0000"/>
        </w:rPr>
        <w:t>……………</w:t>
      </w:r>
      <w:r w:rsidRPr="008335E4">
        <w:rPr>
          <w:rFonts w:cs="Arial"/>
        </w:rPr>
        <w:t xml:space="preserve">, která byla vybrána rozhodnutím objednatele č.j. </w:t>
      </w:r>
      <w:r w:rsidR="00D8332A" w:rsidRPr="008335E4">
        <w:rPr>
          <w:rFonts w:cs="Arial"/>
          <w:highlight w:val="green"/>
        </w:rPr>
        <w:t>…/2020-SŽ-OŘ PLZ-ÚPI</w:t>
      </w:r>
      <w:r w:rsidRPr="008335E4">
        <w:rPr>
          <w:rFonts w:cs="Arial"/>
          <w:highlight w:val="green"/>
        </w:rPr>
        <w:t>,</w:t>
      </w:r>
    </w:p>
    <w:p w14:paraId="5E8232D0" w14:textId="77777777" w:rsidR="00671778" w:rsidRPr="008335E4" w:rsidRDefault="00671778" w:rsidP="00CC5050">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Default="00671778" w:rsidP="00CC5050">
      <w:pPr>
        <w:numPr>
          <w:ilvl w:val="0"/>
          <w:numId w:val="13"/>
        </w:numPr>
        <w:tabs>
          <w:tab w:val="left" w:pos="720"/>
        </w:tabs>
        <w:overflowPunct w:val="0"/>
        <w:autoSpaceDE w:val="0"/>
        <w:autoSpaceDN w:val="0"/>
        <w:adjustRightInd w:val="0"/>
        <w:spacing w:after="0" w:line="240" w:lineRule="auto"/>
        <w:ind w:left="1069"/>
        <w:jc w:val="both"/>
        <w:textAlignment w:val="baseline"/>
        <w:rPr>
          <w:rFonts w:cs="Arial"/>
          <w:highlight w:val="green"/>
        </w:rPr>
      </w:pPr>
      <w:r w:rsidRPr="00EE756F">
        <w:rPr>
          <w:rFonts w:cs="Arial"/>
          <w:highlight w:val="green"/>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388A0323" w:rsidR="00BA5CC3" w:rsidRPr="00CC5050" w:rsidRDefault="00BA5CC3" w:rsidP="00CC5050">
      <w:pPr>
        <w:pStyle w:val="Text1-1"/>
      </w:pPr>
      <w:r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r w:rsidR="00CC5050">
        <w:t xml:space="preserve"> </w:t>
      </w:r>
      <w:hyperlink r:id="rId12" w:history="1">
        <w:r w:rsidR="00CC5050" w:rsidRPr="00191925">
          <w:rPr>
            <w:rStyle w:val="Hypertextovodkaz"/>
            <w:noProof w:val="0"/>
          </w:rPr>
          <w:t>https://www.spravazeleznic.cz/</w:t>
        </w:r>
      </w:hyperlink>
      <w:r w:rsidR="00FE2684">
        <w:t xml:space="preserve"> </w:t>
      </w:r>
      <w:r w:rsidR="00FE2684" w:rsidRPr="0001286C">
        <w:t>(v sekci „O nás“ –&gt; „Vnitřní předpisy</w:t>
      </w:r>
      <w:r w:rsidR="00FE2684">
        <w:t xml:space="preserve"> </w:t>
      </w:r>
      <w:r w:rsidR="006177F4">
        <w:t>Správy železnic</w:t>
      </w:r>
      <w:r w:rsidR="00FE2684">
        <w:t>“ odkaz „Dokumenty a předpisy“)</w:t>
      </w:r>
      <w:r w:rsidRPr="00C7674A">
        <w:t xml:space="preserve"> a zavazuje se realizovat Službu v souladu s těmito vnitřními předpisy Objednatele.</w:t>
      </w:r>
    </w:p>
    <w:p w14:paraId="14F6AE77" w14:textId="19D0E884" w:rsidR="00BA5CC3" w:rsidRPr="00C7674A" w:rsidRDefault="00BA5CC3" w:rsidP="00CC5050">
      <w:pPr>
        <w:pStyle w:val="Text1-1"/>
      </w:pPr>
      <w:r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FA424B">
        <w:rPr>
          <w:b/>
          <w:highlight w:val="yellow"/>
        </w:rPr>
        <w:fldChar w:fldCharType="begin"/>
      </w:r>
      <w:r w:rsidRPr="00FA424B">
        <w:rPr>
          <w:b/>
          <w:highlight w:val="yellow"/>
        </w:rPr>
        <w:instrText xml:space="preserve"> MACROBUTTON  VložitŠirokouMezeru "[VLOŽÍ ZHOTOVITEL]" </w:instrText>
      </w:r>
      <w:r w:rsidRPr="00FA424B">
        <w:rPr>
          <w:b/>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00FF751D" w14:textId="680C6333" w:rsidR="00BA5CC3" w:rsidRDefault="0032683F" w:rsidP="0032683F">
      <w:pPr>
        <w:pStyle w:val="Textbezslovn"/>
      </w:pPr>
      <w:r w:rsidRPr="0032683F">
        <w:t xml:space="preserve"> </w:t>
      </w:r>
      <w:r w:rsidR="00BA5CC3" w:rsidRPr="0032683F">
        <w:t xml:space="preserve">(Rozpis Ceny Služby dle jednotlivých položek je uveden v Příloze č. </w:t>
      </w:r>
      <w:r w:rsidR="0081296F" w:rsidRPr="0032683F">
        <w:t>3</w:t>
      </w:r>
      <w:r w:rsidR="00BA5CC3" w:rsidRPr="0032683F">
        <w:t xml:space="preserve"> této Smlouvy).</w:t>
      </w:r>
    </w:p>
    <w:p w14:paraId="4E43351C" w14:textId="77777777" w:rsidR="0032683F" w:rsidRPr="0032683F" w:rsidRDefault="0032683F" w:rsidP="0032683F">
      <w:pPr>
        <w:pStyle w:val="Textbezslovn"/>
        <w:rPr>
          <w:rFonts w:asciiTheme="majorHAnsi" w:hAnsiTheme="majorHAnsi"/>
        </w:rPr>
      </w:pPr>
    </w:p>
    <w:p w14:paraId="151AF56D" w14:textId="0D5F2407" w:rsidR="00BA5CC3" w:rsidRPr="00CC5050" w:rsidRDefault="00BA5CC3" w:rsidP="00CC5050">
      <w:pPr>
        <w:pStyle w:val="Text1-1"/>
      </w:pPr>
      <w:r w:rsidRPr="00CC5050">
        <w:t xml:space="preserve">Zakázka nepodléhá režimu přenesené daňové povinnosti. Jedná se o zařazení do klasifikace CZ-CPA: </w:t>
      </w:r>
      <w:r w:rsidR="0032683F" w:rsidRPr="00CC5050">
        <w:t>45453000-7</w:t>
      </w:r>
    </w:p>
    <w:p w14:paraId="2A398A82" w14:textId="7E9AD644" w:rsidR="00BA5CC3" w:rsidRPr="00CC5050" w:rsidRDefault="00BA5CC3" w:rsidP="00CC5050">
      <w:pPr>
        <w:pStyle w:val="Text1-1"/>
        <w:rPr>
          <w:highlight w:val="yellow"/>
        </w:rPr>
      </w:pPr>
      <w:r w:rsidRPr="00CC5050">
        <w:rPr>
          <w:highlight w:val="yellow"/>
        </w:rPr>
        <w:t>V případě, že se jedná o společnost více dodavatelů:</w:t>
      </w:r>
    </w:p>
    <w:p w14:paraId="2260A0E6" w14:textId="580139E6" w:rsidR="00BA5CC3" w:rsidRPr="00CC5050" w:rsidRDefault="00BA5CC3" w:rsidP="00CC5050">
      <w:pPr>
        <w:pStyle w:val="Text1-1"/>
        <w:numPr>
          <w:ilvl w:val="0"/>
          <w:numId w:val="0"/>
        </w:numPr>
        <w:ind w:left="737"/>
      </w:pPr>
      <w:r w:rsidRPr="00CC5050">
        <w:rPr>
          <w:highlight w:val="yellow"/>
        </w:rPr>
        <w:t>Fakturaci za společnost …… bude provádět …….</w:t>
      </w:r>
    </w:p>
    <w:p w14:paraId="70301AD0" w14:textId="77777777" w:rsidR="00BA5CC3" w:rsidRPr="00C7674A" w:rsidRDefault="00BA5CC3" w:rsidP="00BA5CC3">
      <w:pPr>
        <w:pStyle w:val="Text1-1"/>
      </w:pPr>
      <w:r w:rsidRPr="00C7674A">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Službu ani zrušení Smlouvy.</w:t>
      </w:r>
    </w:p>
    <w:p w14:paraId="1A5879B8" w14:textId="372E728C" w:rsidR="000F3F9B" w:rsidRPr="00742309" w:rsidRDefault="004C1B45" w:rsidP="002A6FF3">
      <w:pPr>
        <w:pStyle w:val="Text1-1"/>
        <w:rPr>
          <w:highlight w:val="cyan"/>
        </w:rPr>
      </w:pPr>
      <w:r w:rsidRPr="00742309">
        <w:rPr>
          <w:highlight w:val="cyan"/>
        </w:rPr>
        <w:t>Zhotovitel se v souladu se svou nabídkou zavazuje dokončit a předat Objednateli Službu nebo její jednotlivé části v termínech uvedených v harmonogramu obsaženém v </w:t>
      </w:r>
      <w:hyperlink w:anchor="ListAnnex04" w:history="1">
        <w:r w:rsidRPr="00742309">
          <w:rPr>
            <w:highlight w:val="cyan"/>
          </w:rPr>
          <w:t xml:space="preserve">Příloze č. </w:t>
        </w:r>
      </w:hyperlink>
      <w:r w:rsidR="00742309" w:rsidRPr="00742309">
        <w:rPr>
          <w:highlight w:val="cyan"/>
        </w:rPr>
        <w:t>2c)</w:t>
      </w:r>
      <w:r w:rsidRPr="00742309">
        <w:rPr>
          <w:highlight w:val="cyan"/>
        </w:rPr>
        <w:t xml:space="preserve"> této Smlouvy (dále jen „Harmonogram postupu prací“), který je rozdělen dle jednotlivých </w:t>
      </w:r>
      <w:r w:rsidR="00742309" w:rsidRPr="00742309">
        <w:rPr>
          <w:highlight w:val="cyan"/>
        </w:rPr>
        <w:t xml:space="preserve">etap plnění. </w:t>
      </w:r>
    </w:p>
    <w:p w14:paraId="026FEBF5" w14:textId="09C75AFA" w:rsidR="00BA5CC3" w:rsidRPr="00C7674A" w:rsidRDefault="00BA5CC3" w:rsidP="00CC5050">
      <w:pPr>
        <w:pStyle w:val="Text1-1"/>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CC5050">
      <w:pPr>
        <w:pStyle w:val="Text1-1"/>
      </w:pPr>
      <w:r w:rsidRPr="00C7674A">
        <w:t xml:space="preserve">Ust. § 2605 odst. 1 a ust.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046D6E37" w14:textId="20BCD6E3" w:rsidR="00671778" w:rsidRPr="008335E4" w:rsidRDefault="00671778" w:rsidP="007B5459">
      <w:pPr>
        <w:pStyle w:val="Nadpis1-1"/>
        <w:rPr>
          <w:rFonts w:asciiTheme="minorHAnsi" w:hAnsiTheme="minorHAnsi"/>
        </w:rPr>
      </w:pPr>
      <w:bookmarkStart w:id="0" w:name="_Toc84921339"/>
      <w:bookmarkStart w:id="1" w:name="_Toc99163105"/>
      <w:r w:rsidRPr="008335E4">
        <w:rPr>
          <w:rFonts w:asciiTheme="minorHAnsi" w:hAnsiTheme="minorHAnsi"/>
        </w:rPr>
        <w:t>ZÁRUKA ZA JAKOST A ODPOVĚDNOST ZA VADY</w:t>
      </w:r>
      <w:bookmarkEnd w:id="0"/>
      <w:bookmarkEnd w:id="1"/>
    </w:p>
    <w:p w14:paraId="64257F3A" w14:textId="04191FEF" w:rsidR="00671778" w:rsidRPr="00C06DF8" w:rsidRDefault="00671778" w:rsidP="00C06DF8">
      <w:pPr>
        <w:pStyle w:val="Text1-1"/>
        <w:rPr>
          <w:highlight w:val="yellow"/>
        </w:rPr>
      </w:pPr>
      <w:r w:rsidRPr="00C06DF8">
        <w:rPr>
          <w:highlight w:val="yellow"/>
        </w:rPr>
        <w:t>Zhotovitel v souladu se svou nabídkou prodlužuje délku záruky stanovenou ve Všeobecných obchodních podmínkách na část služeb o xx měsíců.</w:t>
      </w:r>
    </w:p>
    <w:p w14:paraId="7A9CE71E" w14:textId="10C3E5DB" w:rsidR="003111BA" w:rsidRPr="00C06DF8" w:rsidRDefault="007B5459" w:rsidP="00C06DF8">
      <w:pPr>
        <w:pStyle w:val="Text1-1"/>
      </w:pPr>
      <w:r w:rsidRPr="00C06DF8">
        <w:t>Záruka se řídí příslušnými ustanoveními Všeobecných obchodních podmínek.</w:t>
      </w:r>
      <w:r w:rsidRPr="00C06DF8">
        <w:tab/>
      </w:r>
    </w:p>
    <w:p w14:paraId="6A67432F" w14:textId="77777777" w:rsidR="00F24489" w:rsidRPr="00EE756F" w:rsidRDefault="00214C3E" w:rsidP="00214C3E">
      <w:pPr>
        <w:pStyle w:val="Nadpis1-1"/>
      </w:pPr>
      <w:r w:rsidRPr="00EE756F">
        <w:lastRenderedPageBreak/>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Smluvní strany podpisem této smlouvy vylučují, že se při právním styku mezi smluvními stranami přihlíží k obchodním zvyklostem, které tak nemají přednost před ustanoveními zákona dle ust.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lze namítnout kdykoliv. Tzn., že mezi smluvními stranami neplatí ust. § 582 odst. 1 první věta a odst. 2 občanského zákoníku.</w:t>
      </w:r>
    </w:p>
    <w:p w14:paraId="0A56BDF0" w14:textId="77777777" w:rsidR="00214C3E" w:rsidRPr="00557549" w:rsidRDefault="00214C3E" w:rsidP="00214C3E">
      <w:pPr>
        <w:pStyle w:val="Text1-1"/>
      </w:pPr>
      <w:r w:rsidRPr="00557549">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2" w:name="_Ref214189956"/>
      <w:r w:rsidRPr="00557549">
        <w:t>Veškerá práva a povinnosti vyplývající z této Smlouvy přecházejí, pokud to povaha těchto práv a povinností nevylučuje, na právní nástupce smluvních stran.</w:t>
      </w:r>
      <w:bookmarkEnd w:id="2"/>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lastRenderedPageBreak/>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47E660BA" w14:textId="77777777" w:rsidR="006D1074" w:rsidRPr="006D1074" w:rsidRDefault="006D1074" w:rsidP="006D1074">
      <w:pPr>
        <w:pStyle w:val="Text1-1"/>
        <w:rPr>
          <w:highlight w:val="cyan"/>
        </w:rPr>
      </w:pPr>
      <w:r w:rsidRPr="006D1074">
        <w:rPr>
          <w:highlight w:val="cyan"/>
        </w:rPr>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6D1074">
        <w:rPr>
          <w:b/>
          <w:highlight w:val="cyan"/>
        </w:rPr>
        <w:t>dvou</w:t>
      </w:r>
      <w:r w:rsidRPr="006D1074">
        <w:rPr>
          <w:highlight w:val="cyan"/>
        </w:rPr>
        <w:t xml:space="preserve"> vyhotoveních, přičemž jedno vyhotovení obdrží Objednatel a jedno vyhotovení Zhotovitel.</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762"/>
        <w:gridCol w:w="5874"/>
      </w:tblGrid>
      <w:tr w:rsidR="008A5A95" w:rsidRPr="008A5A95" w14:paraId="78F59442" w14:textId="77777777" w:rsidTr="004A70C6">
        <w:trPr>
          <w:jc w:val="center"/>
        </w:trPr>
        <w:tc>
          <w:tcPr>
            <w:tcW w:w="1599" w:type="pct"/>
          </w:tcPr>
          <w:p w14:paraId="29C0FEEF" w14:textId="77777777" w:rsidR="00024CEA" w:rsidRPr="008A5A95" w:rsidRDefault="008644F3"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8A5A95" w:rsidRDefault="008644F3"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231D63BD" w:rsidR="00024CEA" w:rsidRPr="00BB53CA" w:rsidRDefault="006D4362" w:rsidP="00CC5050">
            <w:pPr>
              <w:pStyle w:val="Textbezslovn"/>
              <w:numPr>
                <w:ilvl w:val="0"/>
                <w:numId w:val="14"/>
              </w:numPr>
            </w:pPr>
            <w:r w:rsidRPr="00BB53CA">
              <w:t>Všeobecné t</w:t>
            </w:r>
            <w:r w:rsidR="00024CEA" w:rsidRPr="00BB53CA">
              <w:t xml:space="preserve">echnické podmínky </w:t>
            </w:r>
          </w:p>
          <w:p w14:paraId="3C109960" w14:textId="3650936E" w:rsidR="0032683F" w:rsidRPr="00BB53CA" w:rsidRDefault="00024CEA" w:rsidP="00CC5050">
            <w:pPr>
              <w:pStyle w:val="Textbezslovn"/>
              <w:numPr>
                <w:ilvl w:val="0"/>
                <w:numId w:val="14"/>
              </w:numPr>
            </w:pPr>
            <w:r w:rsidRPr="00BB53CA">
              <w:lastRenderedPageBreak/>
              <w:t xml:space="preserve">Technické kvalitativní podmínky staveb státních drah (TKP Staveb) </w:t>
            </w:r>
          </w:p>
          <w:p w14:paraId="3EEC155D" w14:textId="239307D7" w:rsidR="007C7E79" w:rsidRPr="008A5A95" w:rsidRDefault="007C7E79" w:rsidP="0032683F">
            <w:pPr>
              <w:pStyle w:val="Odstavec1-1a"/>
              <w:numPr>
                <w:ilvl w:val="0"/>
                <w:numId w:val="0"/>
              </w:numPr>
              <w:ind w:left="737" w:hanging="556"/>
            </w:pPr>
            <w:r>
              <w:t xml:space="preserve">c) </w:t>
            </w:r>
            <w:r w:rsidR="0032683F">
              <w:t>ZTP</w:t>
            </w:r>
            <w:r>
              <w:t xml:space="preserve"> </w:t>
            </w:r>
            <w:r w:rsidRPr="0032683F">
              <w:rPr>
                <w:highlight w:val="green"/>
              </w:rPr>
              <w:t>– vloží objednatel</w:t>
            </w:r>
          </w:p>
        </w:tc>
      </w:tr>
      <w:tr w:rsidR="008A5A95" w:rsidRPr="008A5A95" w14:paraId="0B7AA3A7" w14:textId="77777777" w:rsidTr="004A70C6">
        <w:trPr>
          <w:jc w:val="center"/>
        </w:trPr>
        <w:tc>
          <w:tcPr>
            <w:tcW w:w="1599" w:type="pct"/>
          </w:tcPr>
          <w:p w14:paraId="420BDAF3" w14:textId="674E65C2" w:rsidR="00024CEA" w:rsidRPr="008A5A95" w:rsidRDefault="008644F3"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6E699E49" w:rsidR="00024CEA" w:rsidRPr="008A5A95" w:rsidRDefault="0032683F" w:rsidP="008A5A95">
            <w:pPr>
              <w:pStyle w:val="Textbezslovn"/>
              <w:ind w:hanging="556"/>
            </w:pPr>
            <w:r>
              <w:t>Oceněný soupis prací</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01F05736" w:rsidR="004464BA" w:rsidRPr="0032683F" w:rsidRDefault="004C1B45" w:rsidP="008A5A95">
            <w:pPr>
              <w:pStyle w:val="Textbezslovn"/>
              <w:ind w:hanging="556"/>
            </w:pPr>
            <w:r>
              <w:t>neobsazeno</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2889ADE0" w:rsidR="00024CEA" w:rsidRPr="008A5A95" w:rsidRDefault="0032683F" w:rsidP="00024CEA">
            <w:pPr>
              <w:pStyle w:val="Textbezslovn"/>
              <w:ind w:hanging="556"/>
            </w:pPr>
            <w:r>
              <w:t>neobsazeno</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32683F">
              <w:rPr>
                <w:highlight w:val="yellow"/>
              </w:rPr>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D940C58" w:rsidR="00024CEA" w:rsidRPr="0021512B" w:rsidRDefault="002E5A3D" w:rsidP="00024CEA">
            <w:pPr>
              <w:spacing w:after="0" w:line="240" w:lineRule="auto"/>
              <w:ind w:left="-113"/>
              <w:rPr>
                <w:rFonts w:eastAsia="Times New Roman" w:cs="Calibri"/>
                <w:bCs/>
                <w:lang w:eastAsia="cs-CZ"/>
              </w:rPr>
            </w:pPr>
            <w:r>
              <w:rPr>
                <w:rFonts w:eastAsia="Times New Roman" w:cs="Calibri"/>
                <w:bCs/>
                <w:lang w:eastAsia="cs-CZ"/>
              </w:rPr>
              <w:t>ř</w:t>
            </w:r>
            <w:r w:rsidR="00024CEA" w:rsidRPr="0021512B">
              <w:rPr>
                <w:rFonts w:eastAsia="Times New Roman" w:cs="Calibri"/>
                <w:bCs/>
                <w:lang w:eastAsia="cs-CZ"/>
              </w:rPr>
              <w:t>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17FD53E8" w:rsidR="00CB4F6D" w:rsidRDefault="00CB4F6D">
      <w:pPr>
        <w:rPr>
          <w:color w:val="FF0000"/>
        </w:rPr>
      </w:pPr>
    </w:p>
    <w:p w14:paraId="6C88B6CE" w14:textId="1651C2F6" w:rsidR="008644F3" w:rsidRDefault="008644F3">
      <w:pPr>
        <w:rPr>
          <w:color w:val="FF0000"/>
        </w:rPr>
      </w:pPr>
    </w:p>
    <w:p w14:paraId="59B124EB" w14:textId="5D2B5335" w:rsidR="008644F3" w:rsidRDefault="008644F3">
      <w:pPr>
        <w:rPr>
          <w:color w:val="FF0000"/>
        </w:rPr>
      </w:pPr>
    </w:p>
    <w:p w14:paraId="6223F038" w14:textId="7C586726" w:rsidR="008644F3" w:rsidRDefault="008644F3">
      <w:pPr>
        <w:rPr>
          <w:color w:val="FF0000"/>
        </w:rPr>
      </w:pPr>
    </w:p>
    <w:p w14:paraId="667A18F5" w14:textId="5B3CF356" w:rsidR="008644F3" w:rsidRDefault="008644F3">
      <w:pPr>
        <w:rPr>
          <w:color w:val="FF0000"/>
        </w:rPr>
      </w:pPr>
    </w:p>
    <w:p w14:paraId="4C501251" w14:textId="35AF2E51" w:rsidR="008644F3" w:rsidRDefault="008644F3">
      <w:pPr>
        <w:rPr>
          <w:color w:val="FF0000"/>
        </w:rPr>
      </w:pPr>
    </w:p>
    <w:p w14:paraId="1C9097EB" w14:textId="587ECB5B" w:rsidR="008644F3" w:rsidRDefault="008644F3">
      <w:pPr>
        <w:rPr>
          <w:color w:val="FF0000"/>
        </w:rPr>
      </w:pPr>
    </w:p>
    <w:p w14:paraId="134C5693" w14:textId="4F6D53AE" w:rsidR="008644F3" w:rsidRDefault="008644F3">
      <w:pPr>
        <w:rPr>
          <w:color w:val="FF0000"/>
        </w:rPr>
      </w:pPr>
    </w:p>
    <w:p w14:paraId="303009F0" w14:textId="77777777" w:rsidR="008644F3" w:rsidRPr="00671778" w:rsidRDefault="008644F3">
      <w:pPr>
        <w:rPr>
          <w:color w:val="FF0000"/>
        </w:rPr>
      </w:pPr>
    </w:p>
    <w:p w14:paraId="7DCEFAB7" w14:textId="77777777" w:rsidR="0032683F" w:rsidRDefault="0032683F" w:rsidP="00F762A8">
      <w:pPr>
        <w:pStyle w:val="Nadpisbezsl1-1"/>
      </w:pPr>
    </w:p>
    <w:p w14:paraId="62DA04C0" w14:textId="1205A671" w:rsidR="00CB4F6D" w:rsidRDefault="00CB4F6D" w:rsidP="00F762A8">
      <w:pPr>
        <w:pStyle w:val="Nadpisbezsl1-1"/>
      </w:pPr>
      <w:r>
        <w:lastRenderedPageBreak/>
        <w:t>Příloha č. 1</w:t>
      </w:r>
    </w:p>
    <w:p w14:paraId="60F51D07" w14:textId="54BB7A42" w:rsidR="00E463D2" w:rsidRDefault="008A5A95" w:rsidP="00E463D2">
      <w:pPr>
        <w:pStyle w:val="Nadpisbezsl1-2"/>
      </w:pPr>
      <w:r>
        <w:t xml:space="preserve">Všeobecné </w:t>
      </w:r>
      <w:r w:rsidR="00E463D2" w:rsidRPr="00E463D2">
        <w:t>Obchodní podmínky</w:t>
      </w:r>
    </w:p>
    <w:p w14:paraId="2BD4CA16" w14:textId="14C0BC3D" w:rsidR="00DB1258" w:rsidRPr="007B3B13" w:rsidRDefault="00DB1258" w:rsidP="00DB1258">
      <w:pPr>
        <w:pStyle w:val="Textbezodsazen"/>
        <w:rPr>
          <w:bCs/>
        </w:rPr>
      </w:pPr>
      <w:r>
        <w:rPr>
          <w:bCs/>
        </w:rPr>
        <w:t xml:space="preserve">Všeobecné </w:t>
      </w:r>
      <w:r w:rsidRPr="007B3B13">
        <w:rPr>
          <w:bCs/>
        </w:rPr>
        <w:t xml:space="preserve">Obchodní podmínky nejsou pevně připojeny ke Smlouvě, zhotovitel obdržel Obchodní podmínky společně se zadávací dokumentací prostřednictvím profilu zadavatele </w:t>
      </w:r>
      <w:hyperlink r:id="rId13" w:history="1">
        <w:r w:rsidRPr="007B3B13">
          <w:rPr>
            <w:rStyle w:val="Hypertextovodkaz"/>
            <w:bCs/>
            <w:noProof w:val="0"/>
          </w:rPr>
          <w:t>https://zakazky.szdc.cz/</w:t>
        </w:r>
      </w:hyperlink>
      <w:r w:rsidRPr="007B3B13">
        <w:rPr>
          <w:bCs/>
        </w:rPr>
        <w:t xml:space="preserve">. </w:t>
      </w:r>
    </w:p>
    <w:p w14:paraId="3667893C" w14:textId="5E598EAE" w:rsidR="00E463D2" w:rsidRPr="00115BDF" w:rsidRDefault="00DB1258" w:rsidP="00DB1258">
      <w:pPr>
        <w:pStyle w:val="Nadpisbezsl1-2"/>
        <w:rPr>
          <w:b w:val="0"/>
          <w:bCs/>
          <w:sz w:val="18"/>
        </w:rPr>
      </w:pPr>
      <w:r w:rsidRPr="00115BDF">
        <w:rPr>
          <w:b w:val="0"/>
          <w:sz w:val="18"/>
        </w:rPr>
        <w:t xml:space="preserve">Smluvní strany podpisem této Smlouvy stvrzují, že jsou pro ně </w:t>
      </w:r>
      <w:r w:rsidRPr="00115BDF">
        <w:rPr>
          <w:b w:val="0"/>
          <w:bCs/>
          <w:sz w:val="18"/>
        </w:rPr>
        <w:t xml:space="preserve">Všeobecné </w:t>
      </w:r>
      <w:r w:rsidRPr="00115BDF">
        <w:rPr>
          <w:b w:val="0"/>
          <w:sz w:val="18"/>
        </w:rPr>
        <w:t xml:space="preserve">Obchodní podmínky závazné, že jsou s obsahem </w:t>
      </w:r>
      <w:r w:rsidRPr="00115BDF">
        <w:rPr>
          <w:b w:val="0"/>
          <w:bCs/>
          <w:sz w:val="18"/>
        </w:rPr>
        <w:t xml:space="preserve">Všeobecných </w:t>
      </w:r>
      <w:r w:rsidRPr="00115BDF">
        <w:rPr>
          <w:b w:val="0"/>
          <w:sz w:val="18"/>
        </w:rPr>
        <w:t xml:space="preserve">Obchodních podmínek plně seznámeny a že v souladu s ust. § 1751 občanského zákoníku tvoří </w:t>
      </w:r>
      <w:r w:rsidRPr="00115BDF">
        <w:rPr>
          <w:b w:val="0"/>
          <w:bCs/>
          <w:sz w:val="18"/>
        </w:rPr>
        <w:t xml:space="preserve">Všeobecné </w:t>
      </w:r>
      <w:r w:rsidRPr="00115BDF">
        <w:rPr>
          <w:b w:val="0"/>
          <w:sz w:val="18"/>
        </w:rPr>
        <w:t>Obchodní podmínky část obsahu Smlouvy.</w:t>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4"/>
          <w:footerReference w:type="default" r:id="rId15"/>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5E69E8" w:rsidRDefault="00E463D2" w:rsidP="00E463D2">
      <w:pPr>
        <w:pStyle w:val="Nadpisbezsl1-2"/>
        <w:rPr>
          <w:highlight w:val="green"/>
        </w:rPr>
      </w:pPr>
      <w:r w:rsidRPr="005E69E8">
        <w:rPr>
          <w:highlight w:val="green"/>
        </w:rPr>
        <w:t xml:space="preserve">Technické podmínky: </w:t>
      </w:r>
    </w:p>
    <w:p w14:paraId="20AE778C" w14:textId="77777777" w:rsidR="00E463D2" w:rsidRPr="005E69E8" w:rsidRDefault="00E463D2" w:rsidP="00CC5050">
      <w:pPr>
        <w:pStyle w:val="Odstavec1-1a"/>
        <w:numPr>
          <w:ilvl w:val="0"/>
          <w:numId w:val="12"/>
        </w:numPr>
        <w:tabs>
          <w:tab w:val="clear" w:pos="1077"/>
          <w:tab w:val="num" w:pos="426"/>
        </w:tabs>
        <w:ind w:left="426" w:hanging="426"/>
        <w:rPr>
          <w:highlight w:val="green"/>
        </w:rPr>
      </w:pPr>
      <w:r w:rsidRPr="005E69E8">
        <w:rPr>
          <w:highlight w:val="green"/>
        </w:rPr>
        <w:t xml:space="preserve">Technické kvalitativní podmínky staveb státních drah (TKP) </w:t>
      </w:r>
    </w:p>
    <w:p w14:paraId="602CF326" w14:textId="7B551E75" w:rsidR="00A90618" w:rsidRPr="005E69E8" w:rsidRDefault="00A90618" w:rsidP="00D87044">
      <w:pPr>
        <w:pStyle w:val="Textbezslovn"/>
        <w:ind w:left="426"/>
        <w:rPr>
          <w:highlight w:val="green"/>
        </w:rPr>
      </w:pPr>
      <w:r w:rsidRPr="005E69E8">
        <w:rPr>
          <w:highlight w:val="green"/>
        </w:rPr>
        <w:t xml:space="preserve">Technické kvalitativní podmínky staveb státních drah (TKP) nejsou pevně připojeny ke Smlouvě, ale jsou přístupné na </w:t>
      </w:r>
      <w:hyperlink r:id="rId16" w:history="1">
        <w:r w:rsidR="00D87044" w:rsidRPr="005E69E8">
          <w:rPr>
            <w:rStyle w:val="Hypertextovodkaz"/>
            <w:noProof w:val="0"/>
            <w:highlight w:val="green"/>
          </w:rPr>
          <w:t>http://typdok.tudc.cz</w:t>
        </w:r>
      </w:hyperlink>
      <w:r w:rsidRPr="005E69E8">
        <w:rPr>
          <w:highlight w:val="green"/>
        </w:rPr>
        <w:t>; byly taktéž poskytnuty jako součást zadávací dokumentace uveřejněné na profilu zadavatele.</w:t>
      </w:r>
    </w:p>
    <w:p w14:paraId="3778E8F9" w14:textId="77777777" w:rsidR="00E463D2" w:rsidRPr="005E69E8" w:rsidRDefault="00A90618" w:rsidP="00D87044">
      <w:pPr>
        <w:pStyle w:val="Textbezslovn"/>
        <w:ind w:left="426"/>
        <w:rPr>
          <w:highlight w:val="green"/>
        </w:rPr>
      </w:pPr>
      <w:r w:rsidRPr="005E69E8">
        <w:rPr>
          <w:highlight w:val="green"/>
        </w:rP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48E6F13" w14:textId="638ACE72" w:rsidR="00956A82" w:rsidRPr="005E69E8" w:rsidRDefault="00D87044" w:rsidP="00CC5050">
      <w:pPr>
        <w:pStyle w:val="Odstavec1-1a"/>
        <w:numPr>
          <w:ilvl w:val="0"/>
          <w:numId w:val="12"/>
        </w:numPr>
        <w:tabs>
          <w:tab w:val="clear" w:pos="1077"/>
          <w:tab w:val="num" w:pos="426"/>
        </w:tabs>
        <w:ind w:left="426" w:hanging="426"/>
        <w:rPr>
          <w:highlight w:val="green"/>
        </w:rPr>
      </w:pPr>
      <w:r w:rsidRPr="005E69E8">
        <w:rPr>
          <w:highlight w:val="green"/>
        </w:rPr>
        <w:t>Všeobecné technické podmínky</w:t>
      </w:r>
    </w:p>
    <w:p w14:paraId="02EA459C" w14:textId="77777777" w:rsidR="00D87044" w:rsidRPr="005E69E8" w:rsidRDefault="00D87044" w:rsidP="00D87044">
      <w:pPr>
        <w:pStyle w:val="Textbezodsazen"/>
        <w:ind w:left="426"/>
        <w:jc w:val="left"/>
        <w:rPr>
          <w:bCs/>
          <w:highlight w:val="green"/>
        </w:rPr>
      </w:pPr>
      <w:r w:rsidRPr="005E69E8">
        <w:rPr>
          <w:highlight w:val="green"/>
        </w:rPr>
        <w:t>Všeobecné technické podmínky</w:t>
      </w:r>
      <w:r w:rsidRPr="005E69E8">
        <w:rPr>
          <w:bCs/>
          <w:highlight w:val="green"/>
        </w:rPr>
        <w:t xml:space="preserve"> nejsou pevně připojeny ke Smlouvě, zhotovitel obdržel </w:t>
      </w:r>
      <w:r w:rsidRPr="005E69E8">
        <w:rPr>
          <w:highlight w:val="green"/>
        </w:rPr>
        <w:t>Všeobecné technické podmínky</w:t>
      </w:r>
      <w:r w:rsidRPr="005E69E8">
        <w:rPr>
          <w:bCs/>
          <w:highlight w:val="green"/>
        </w:rPr>
        <w:t xml:space="preserve"> společně se zadávací dokumentací prostřednictvím profilu zadavatele </w:t>
      </w:r>
      <w:hyperlink r:id="rId17" w:history="1">
        <w:r w:rsidRPr="005E69E8">
          <w:rPr>
            <w:rStyle w:val="Hypertextovodkaz"/>
            <w:bCs/>
            <w:noProof w:val="0"/>
            <w:highlight w:val="green"/>
          </w:rPr>
          <w:t>https://zakazky.szdc.cz/</w:t>
        </w:r>
      </w:hyperlink>
      <w:r w:rsidRPr="005E69E8">
        <w:rPr>
          <w:bCs/>
          <w:highlight w:val="green"/>
        </w:rPr>
        <w:t>.</w:t>
      </w:r>
    </w:p>
    <w:p w14:paraId="707D25D2" w14:textId="77777777" w:rsidR="00D87044" w:rsidRPr="005E69E8" w:rsidRDefault="00D87044" w:rsidP="00D87044">
      <w:pPr>
        <w:pStyle w:val="Textbezodsazen"/>
        <w:ind w:left="426"/>
        <w:rPr>
          <w:highlight w:val="green"/>
        </w:rPr>
      </w:pPr>
      <w:r w:rsidRPr="005E69E8">
        <w:rPr>
          <w:highlight w:val="green"/>
        </w:rPr>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74804D7" w14:textId="75B1D137" w:rsidR="00E463D2" w:rsidRPr="005E69E8" w:rsidRDefault="0032683F" w:rsidP="00CC5050">
      <w:pPr>
        <w:pStyle w:val="Odstavec1-1a"/>
        <w:numPr>
          <w:ilvl w:val="0"/>
          <w:numId w:val="12"/>
        </w:numPr>
        <w:tabs>
          <w:tab w:val="clear" w:pos="1077"/>
          <w:tab w:val="num" w:pos="426"/>
        </w:tabs>
        <w:ind w:left="426" w:hanging="426"/>
        <w:rPr>
          <w:highlight w:val="green"/>
        </w:rPr>
      </w:pPr>
      <w:r>
        <w:rPr>
          <w:highlight w:val="green"/>
        </w:rPr>
        <w:t>Zvláštní technické podmínky</w:t>
      </w:r>
    </w:p>
    <w:p w14:paraId="319590A1" w14:textId="77777777" w:rsidR="00D87044" w:rsidRPr="005E69E8" w:rsidRDefault="00D87044" w:rsidP="00D87044">
      <w:pPr>
        <w:pStyle w:val="Odstavec1-1a"/>
        <w:numPr>
          <w:ilvl w:val="0"/>
          <w:numId w:val="0"/>
        </w:numPr>
        <w:ind w:left="426"/>
        <w:rPr>
          <w:highlight w:val="green"/>
        </w:rPr>
      </w:pPr>
    </w:p>
    <w:p w14:paraId="1B004E6A" w14:textId="375DF24A" w:rsidR="00D87044" w:rsidRPr="005E69E8" w:rsidRDefault="0032683F" w:rsidP="00D87044">
      <w:pPr>
        <w:pStyle w:val="Odstavec1-1a"/>
        <w:numPr>
          <w:ilvl w:val="0"/>
          <w:numId w:val="0"/>
        </w:numPr>
        <w:ind w:left="426"/>
        <w:contextualSpacing w:val="0"/>
        <w:jc w:val="left"/>
        <w:rPr>
          <w:bCs/>
          <w:highlight w:val="green"/>
        </w:rPr>
      </w:pPr>
      <w:r>
        <w:rPr>
          <w:highlight w:val="green"/>
        </w:rPr>
        <w:t>ZTP nejsou</w:t>
      </w:r>
      <w:r w:rsidR="00D87044" w:rsidRPr="005E69E8">
        <w:rPr>
          <w:bCs/>
          <w:highlight w:val="green"/>
        </w:rPr>
        <w:t xml:space="preserve"> pevně připojen</w:t>
      </w:r>
      <w:r>
        <w:rPr>
          <w:bCs/>
          <w:highlight w:val="green"/>
        </w:rPr>
        <w:t>y</w:t>
      </w:r>
      <w:r w:rsidR="00D87044" w:rsidRPr="005E69E8">
        <w:rPr>
          <w:bCs/>
          <w:highlight w:val="green"/>
        </w:rPr>
        <w:t xml:space="preserve"> ke Smlouvě, zhotovitel </w:t>
      </w:r>
      <w:r>
        <w:rPr>
          <w:highlight w:val="green"/>
        </w:rPr>
        <w:t>ZTP</w:t>
      </w:r>
      <w:r w:rsidR="00D87044" w:rsidRPr="005E69E8">
        <w:rPr>
          <w:bCs/>
          <w:highlight w:val="green"/>
        </w:rPr>
        <w:t xml:space="preserve"> obdržel společně se zadávací dokumentací prostřednictvím profilu zadavatele </w:t>
      </w:r>
      <w:hyperlink r:id="rId18" w:history="1">
        <w:r w:rsidR="00D87044" w:rsidRPr="005E69E8">
          <w:rPr>
            <w:rStyle w:val="Hypertextovodkaz"/>
            <w:bCs/>
            <w:noProof w:val="0"/>
            <w:highlight w:val="green"/>
          </w:rPr>
          <w:t>https://zakazky.szdc.cz/</w:t>
        </w:r>
      </w:hyperlink>
      <w:r w:rsidR="00D87044" w:rsidRPr="005E69E8">
        <w:rPr>
          <w:bCs/>
          <w:highlight w:val="green"/>
        </w:rPr>
        <w:t>.</w:t>
      </w:r>
    </w:p>
    <w:p w14:paraId="51DA441C" w14:textId="4A4DFBD1" w:rsidR="00D87044" w:rsidRDefault="00D87044" w:rsidP="00D87044">
      <w:pPr>
        <w:pStyle w:val="Odstavec1-1a"/>
        <w:numPr>
          <w:ilvl w:val="0"/>
          <w:numId w:val="0"/>
        </w:numPr>
        <w:ind w:left="426"/>
      </w:pPr>
      <w:r w:rsidRPr="005E69E8">
        <w:rPr>
          <w:highlight w:val="green"/>
        </w:rPr>
        <w:t>Smluvní strany podpisem této Smlouvy stvrzují, že j</w:t>
      </w:r>
      <w:r w:rsidR="0032683F">
        <w:rPr>
          <w:highlight w:val="green"/>
        </w:rPr>
        <w:t>sou</w:t>
      </w:r>
      <w:r w:rsidRPr="005E69E8">
        <w:rPr>
          <w:highlight w:val="green"/>
        </w:rPr>
        <w:t xml:space="preserve"> pro ně </w:t>
      </w:r>
      <w:r w:rsidR="0032683F">
        <w:rPr>
          <w:highlight w:val="green"/>
        </w:rPr>
        <w:t>ZTP závazné</w:t>
      </w:r>
      <w:r w:rsidRPr="005E69E8">
        <w:rPr>
          <w:highlight w:val="green"/>
        </w:rPr>
        <w:t>, že jsou s je</w:t>
      </w:r>
      <w:r w:rsidR="0032683F">
        <w:rPr>
          <w:highlight w:val="green"/>
        </w:rPr>
        <w:t>jich</w:t>
      </w:r>
      <w:r w:rsidRPr="005E69E8">
        <w:rPr>
          <w:highlight w:val="green"/>
        </w:rPr>
        <w:t xml:space="preserve"> obsahem plně seznámeny a že v souladu s ust. § 1751 občanského zákoníku tvoří </w:t>
      </w:r>
      <w:r w:rsidR="0032683F">
        <w:rPr>
          <w:highlight w:val="green"/>
        </w:rPr>
        <w:t>ZTP</w:t>
      </w:r>
      <w:r w:rsidRPr="005E69E8">
        <w:rPr>
          <w:bCs/>
          <w:highlight w:val="green"/>
        </w:rPr>
        <w:t xml:space="preserve"> </w:t>
      </w:r>
      <w:r w:rsidRPr="005E69E8">
        <w:rPr>
          <w:highlight w:val="green"/>
        </w:rPr>
        <w:t>část obsahu Smlouvy.</w:t>
      </w:r>
    </w:p>
    <w:p w14:paraId="583BD78B" w14:textId="77777777" w:rsidR="00D87044" w:rsidRDefault="00D87044" w:rsidP="00D87044">
      <w:pPr>
        <w:pStyle w:val="Odstavec1-1a"/>
        <w:numPr>
          <w:ilvl w:val="0"/>
          <w:numId w:val="0"/>
        </w:numPr>
        <w:ind w:left="1077" w:hanging="340"/>
      </w:pPr>
    </w:p>
    <w:p w14:paraId="0AC8D9F9" w14:textId="77777777" w:rsidR="00D87044" w:rsidRDefault="00D87044" w:rsidP="00D87044">
      <w:pPr>
        <w:pStyle w:val="Odstavec1-1a"/>
        <w:numPr>
          <w:ilvl w:val="0"/>
          <w:numId w:val="0"/>
        </w:numPr>
        <w:ind w:left="1077" w:hanging="340"/>
      </w:pPr>
    </w:p>
    <w:p w14:paraId="565EDD34" w14:textId="77777777" w:rsidR="00D87044" w:rsidRPr="00D87044" w:rsidRDefault="00D87044" w:rsidP="00D87044">
      <w:pPr>
        <w:pStyle w:val="Odstavec1-1a"/>
        <w:numPr>
          <w:ilvl w:val="0"/>
          <w:numId w:val="0"/>
        </w:numPr>
        <w:ind w:left="1077" w:hanging="340"/>
      </w:pP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36294C1B" w:rsidR="00E463D2" w:rsidRPr="00F97DBD" w:rsidRDefault="0032683F" w:rsidP="00E463D2">
      <w:pPr>
        <w:pStyle w:val="Nadpisbezsl1-2"/>
      </w:pPr>
      <w:r>
        <w:t>Oceněný soupis prací</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7913DD01" w14:textId="3FD275CD" w:rsidR="00CB6E4C" w:rsidRPr="008644F3" w:rsidRDefault="008644F3" w:rsidP="008644F3">
      <w:pPr>
        <w:pStyle w:val="Odrka1-1"/>
        <w:rPr>
          <w:b/>
        </w:rPr>
      </w:pPr>
      <w:bookmarkStart w:id="3" w:name="_GoBack"/>
      <w:r w:rsidRPr="008644F3">
        <w:rPr>
          <w:b/>
        </w:rPr>
        <w:t>neobsazeno</w:t>
      </w:r>
    </w:p>
    <w:bookmarkEnd w:id="3"/>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lastRenderedPageBreak/>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lastRenderedPageBreak/>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lastRenderedPageBreak/>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5AD329CC" w14:textId="18D29C93" w:rsidR="00ED29F1" w:rsidRDefault="0032683F" w:rsidP="0032683F">
      <w:pPr>
        <w:pStyle w:val="Nadpisbezsl1-2"/>
        <w:sectPr w:rsidR="00ED29F1" w:rsidSect="004E70C8">
          <w:footerReference w:type="default" r:id="rId23"/>
          <w:pgSz w:w="11906" w:h="16838" w:code="9"/>
          <w:pgMar w:top="1417" w:right="1417" w:bottom="1417" w:left="1417" w:header="595" w:footer="624" w:gutter="652"/>
          <w:pgNumType w:start="1"/>
          <w:cols w:space="708"/>
          <w:docGrid w:linePitch="360"/>
        </w:sectPr>
      </w:pPr>
      <w:r>
        <w:t>neobsazeno</w:t>
      </w: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4F56C" w14:textId="77777777" w:rsidR="00BA5CC3" w:rsidRDefault="00BA5CC3" w:rsidP="00962258">
      <w:pPr>
        <w:spacing w:after="0" w:line="240" w:lineRule="auto"/>
      </w:pPr>
      <w:r>
        <w:separator/>
      </w:r>
    </w:p>
  </w:endnote>
  <w:endnote w:type="continuationSeparator" w:id="0">
    <w:p w14:paraId="62B6AF29" w14:textId="77777777" w:rsidR="00BA5CC3" w:rsidRDefault="00BA5C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66C32448"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4F3">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44F3">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627B1BA9"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4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5E609232"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44F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55CF5FB7"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44F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644F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051E99EA"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8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1DACD34F"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8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67FF8166"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8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86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2CCF" w14:textId="77777777" w:rsidR="00BA5CC3" w:rsidRDefault="00BA5CC3" w:rsidP="00962258">
      <w:pPr>
        <w:spacing w:after="0" w:line="240" w:lineRule="auto"/>
      </w:pPr>
      <w:r>
        <w:separator/>
      </w:r>
    </w:p>
  </w:footnote>
  <w:footnote w:type="continuationSeparator" w:id="0">
    <w:p w14:paraId="5177909A" w14:textId="77777777" w:rsidR="00BA5CC3" w:rsidRDefault="00BA5C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A45224"/>
    <w:multiLevelType w:val="hybridMultilevel"/>
    <w:tmpl w:val="0726B6F0"/>
    <w:lvl w:ilvl="0" w:tplc="BE4C20DA">
      <w:start w:val="1"/>
      <w:numFmt w:val="lowerLetter"/>
      <w:lvlText w:val="%1)"/>
      <w:lvlJc w:val="left"/>
      <w:pPr>
        <w:ind w:left="1097" w:hanging="360"/>
      </w:pPr>
      <w:rPr>
        <w:b/>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330202"/>
    <w:multiLevelType w:val="hybridMultilevel"/>
    <w:tmpl w:val="A3883EA0"/>
    <w:lvl w:ilvl="0" w:tplc="C52EEE9E">
      <w:start w:val="1"/>
      <w:numFmt w:val="lowerLetter"/>
      <w:lvlText w:val="%1)"/>
      <w:lvlJc w:val="left"/>
      <w:pPr>
        <w:ind w:left="541" w:hanging="360"/>
      </w:pPr>
      <w:rPr>
        <w:rFonts w:hint="default"/>
      </w:rPr>
    </w:lvl>
    <w:lvl w:ilvl="1" w:tplc="04050019" w:tentative="1">
      <w:start w:val="1"/>
      <w:numFmt w:val="lowerLetter"/>
      <w:lvlText w:val="%2."/>
      <w:lvlJc w:val="left"/>
      <w:pPr>
        <w:ind w:left="1261" w:hanging="360"/>
      </w:pPr>
    </w:lvl>
    <w:lvl w:ilvl="2" w:tplc="0405001B" w:tentative="1">
      <w:start w:val="1"/>
      <w:numFmt w:val="lowerRoman"/>
      <w:lvlText w:val="%3."/>
      <w:lvlJc w:val="right"/>
      <w:pPr>
        <w:ind w:left="1981" w:hanging="180"/>
      </w:pPr>
    </w:lvl>
    <w:lvl w:ilvl="3" w:tplc="0405000F" w:tentative="1">
      <w:start w:val="1"/>
      <w:numFmt w:val="decimal"/>
      <w:lvlText w:val="%4."/>
      <w:lvlJc w:val="left"/>
      <w:pPr>
        <w:ind w:left="2701" w:hanging="360"/>
      </w:pPr>
    </w:lvl>
    <w:lvl w:ilvl="4" w:tplc="04050019" w:tentative="1">
      <w:start w:val="1"/>
      <w:numFmt w:val="lowerLetter"/>
      <w:lvlText w:val="%5."/>
      <w:lvlJc w:val="left"/>
      <w:pPr>
        <w:ind w:left="3421" w:hanging="360"/>
      </w:pPr>
    </w:lvl>
    <w:lvl w:ilvl="5" w:tplc="0405001B" w:tentative="1">
      <w:start w:val="1"/>
      <w:numFmt w:val="lowerRoman"/>
      <w:lvlText w:val="%6."/>
      <w:lvlJc w:val="right"/>
      <w:pPr>
        <w:ind w:left="4141" w:hanging="180"/>
      </w:pPr>
    </w:lvl>
    <w:lvl w:ilvl="6" w:tplc="0405000F" w:tentative="1">
      <w:start w:val="1"/>
      <w:numFmt w:val="decimal"/>
      <w:lvlText w:val="%7."/>
      <w:lvlJc w:val="left"/>
      <w:pPr>
        <w:ind w:left="4861" w:hanging="360"/>
      </w:pPr>
    </w:lvl>
    <w:lvl w:ilvl="7" w:tplc="04050019" w:tentative="1">
      <w:start w:val="1"/>
      <w:numFmt w:val="lowerLetter"/>
      <w:lvlText w:val="%8."/>
      <w:lvlJc w:val="left"/>
      <w:pPr>
        <w:ind w:left="5581" w:hanging="360"/>
      </w:pPr>
    </w:lvl>
    <w:lvl w:ilvl="8" w:tplc="0405001B" w:tentative="1">
      <w:start w:val="1"/>
      <w:numFmt w:val="lowerRoman"/>
      <w:lvlText w:val="%9."/>
      <w:lvlJc w:val="right"/>
      <w:pPr>
        <w:ind w:left="6301" w:hanging="180"/>
      </w:p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3"/>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2"/>
  </w:num>
  <w:num w:numId="15">
    <w:abstractNumId w:val="0"/>
  </w:num>
  <w:num w:numId="16">
    <w:abstractNumId w:val="0"/>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76AD4"/>
    <w:rsid w:val="000A44BC"/>
    <w:rsid w:val="000B0A02"/>
    <w:rsid w:val="000B4EB8"/>
    <w:rsid w:val="000C41F2"/>
    <w:rsid w:val="000D22C4"/>
    <w:rsid w:val="000D27D1"/>
    <w:rsid w:val="000E1A7F"/>
    <w:rsid w:val="000F02A0"/>
    <w:rsid w:val="000F070C"/>
    <w:rsid w:val="000F3F9B"/>
    <w:rsid w:val="00112864"/>
    <w:rsid w:val="00114472"/>
    <w:rsid w:val="00114988"/>
    <w:rsid w:val="00115069"/>
    <w:rsid w:val="001150F2"/>
    <w:rsid w:val="00115BDF"/>
    <w:rsid w:val="00143EC0"/>
    <w:rsid w:val="001656A2"/>
    <w:rsid w:val="00165977"/>
    <w:rsid w:val="00170EC5"/>
    <w:rsid w:val="001747C1"/>
    <w:rsid w:val="00177D6B"/>
    <w:rsid w:val="001913F8"/>
    <w:rsid w:val="00191F90"/>
    <w:rsid w:val="001B4E74"/>
    <w:rsid w:val="001C645F"/>
    <w:rsid w:val="001E39D0"/>
    <w:rsid w:val="001E678E"/>
    <w:rsid w:val="00201F7F"/>
    <w:rsid w:val="002038D5"/>
    <w:rsid w:val="002071BB"/>
    <w:rsid w:val="00207DF5"/>
    <w:rsid w:val="00207F90"/>
    <w:rsid w:val="00214C3E"/>
    <w:rsid w:val="0021512B"/>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A3D"/>
    <w:rsid w:val="002E5C7B"/>
    <w:rsid w:val="002F4333"/>
    <w:rsid w:val="003111BA"/>
    <w:rsid w:val="0032683F"/>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622D"/>
    <w:rsid w:val="0041625C"/>
    <w:rsid w:val="00427794"/>
    <w:rsid w:val="00443BD3"/>
    <w:rsid w:val="004442D9"/>
    <w:rsid w:val="004464BA"/>
    <w:rsid w:val="00450F07"/>
    <w:rsid w:val="00453CD3"/>
    <w:rsid w:val="00456E56"/>
    <w:rsid w:val="0046002F"/>
    <w:rsid w:val="00460660"/>
    <w:rsid w:val="00464BA9"/>
    <w:rsid w:val="00483969"/>
    <w:rsid w:val="00485CE8"/>
    <w:rsid w:val="00486107"/>
    <w:rsid w:val="00491827"/>
    <w:rsid w:val="004A70C6"/>
    <w:rsid w:val="004C1B45"/>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5E69E8"/>
    <w:rsid w:val="00601A8C"/>
    <w:rsid w:val="0061068E"/>
    <w:rsid w:val="006115D3"/>
    <w:rsid w:val="006177F4"/>
    <w:rsid w:val="006223CF"/>
    <w:rsid w:val="00640D1B"/>
    <w:rsid w:val="006441DD"/>
    <w:rsid w:val="0065610E"/>
    <w:rsid w:val="00660AD3"/>
    <w:rsid w:val="00671778"/>
    <w:rsid w:val="006776B6"/>
    <w:rsid w:val="00693150"/>
    <w:rsid w:val="006A5570"/>
    <w:rsid w:val="006A689C"/>
    <w:rsid w:val="006B3D79"/>
    <w:rsid w:val="006B6FE4"/>
    <w:rsid w:val="006C0BB6"/>
    <w:rsid w:val="006C2343"/>
    <w:rsid w:val="006C442A"/>
    <w:rsid w:val="006C490F"/>
    <w:rsid w:val="006D1074"/>
    <w:rsid w:val="006D1DE8"/>
    <w:rsid w:val="006D3D66"/>
    <w:rsid w:val="006D4362"/>
    <w:rsid w:val="006E0578"/>
    <w:rsid w:val="006E314D"/>
    <w:rsid w:val="006E36DF"/>
    <w:rsid w:val="00710723"/>
    <w:rsid w:val="007145F3"/>
    <w:rsid w:val="00723ED1"/>
    <w:rsid w:val="00740AF5"/>
    <w:rsid w:val="00742309"/>
    <w:rsid w:val="00743525"/>
    <w:rsid w:val="00743676"/>
    <w:rsid w:val="00744076"/>
    <w:rsid w:val="007541A2"/>
    <w:rsid w:val="00755818"/>
    <w:rsid w:val="007616C2"/>
    <w:rsid w:val="0076286B"/>
    <w:rsid w:val="00766846"/>
    <w:rsid w:val="00771987"/>
    <w:rsid w:val="0077673A"/>
    <w:rsid w:val="007846E1"/>
    <w:rsid w:val="007847D6"/>
    <w:rsid w:val="00784C56"/>
    <w:rsid w:val="007A5172"/>
    <w:rsid w:val="007A67A0"/>
    <w:rsid w:val="007B0432"/>
    <w:rsid w:val="007B5279"/>
    <w:rsid w:val="007B5459"/>
    <w:rsid w:val="007B570C"/>
    <w:rsid w:val="007C7E79"/>
    <w:rsid w:val="007E438F"/>
    <w:rsid w:val="007E4A6E"/>
    <w:rsid w:val="007E57FA"/>
    <w:rsid w:val="007F56A7"/>
    <w:rsid w:val="00800851"/>
    <w:rsid w:val="00807DD0"/>
    <w:rsid w:val="0081296F"/>
    <w:rsid w:val="00813A9F"/>
    <w:rsid w:val="00820EFF"/>
    <w:rsid w:val="00821D01"/>
    <w:rsid w:val="00826B7B"/>
    <w:rsid w:val="008335E4"/>
    <w:rsid w:val="00846789"/>
    <w:rsid w:val="008644F3"/>
    <w:rsid w:val="00866994"/>
    <w:rsid w:val="008755BC"/>
    <w:rsid w:val="008858C2"/>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561F4"/>
    <w:rsid w:val="00A6177B"/>
    <w:rsid w:val="00A63445"/>
    <w:rsid w:val="00A66136"/>
    <w:rsid w:val="00A71189"/>
    <w:rsid w:val="00A7364A"/>
    <w:rsid w:val="00A74DCC"/>
    <w:rsid w:val="00A753ED"/>
    <w:rsid w:val="00A77512"/>
    <w:rsid w:val="00A83D4D"/>
    <w:rsid w:val="00A90618"/>
    <w:rsid w:val="00A94C2F"/>
    <w:rsid w:val="00AA4CBB"/>
    <w:rsid w:val="00AA65FA"/>
    <w:rsid w:val="00AA7351"/>
    <w:rsid w:val="00AA7AB8"/>
    <w:rsid w:val="00AB1D9C"/>
    <w:rsid w:val="00AB2CFC"/>
    <w:rsid w:val="00AB5FF0"/>
    <w:rsid w:val="00AD056F"/>
    <w:rsid w:val="00AD0C7B"/>
    <w:rsid w:val="00AD5F1A"/>
    <w:rsid w:val="00AD6731"/>
    <w:rsid w:val="00AE696E"/>
    <w:rsid w:val="00B008D5"/>
    <w:rsid w:val="00B02F73"/>
    <w:rsid w:val="00B05B31"/>
    <w:rsid w:val="00B0619F"/>
    <w:rsid w:val="00B13A26"/>
    <w:rsid w:val="00B15D0D"/>
    <w:rsid w:val="00B22106"/>
    <w:rsid w:val="00B42F40"/>
    <w:rsid w:val="00B517D6"/>
    <w:rsid w:val="00B5431A"/>
    <w:rsid w:val="00B733C6"/>
    <w:rsid w:val="00B75EE1"/>
    <w:rsid w:val="00B77481"/>
    <w:rsid w:val="00B84ECC"/>
    <w:rsid w:val="00B8518B"/>
    <w:rsid w:val="00B955DF"/>
    <w:rsid w:val="00B97CC3"/>
    <w:rsid w:val="00BA4952"/>
    <w:rsid w:val="00BA5CC3"/>
    <w:rsid w:val="00BB53CA"/>
    <w:rsid w:val="00BC06C4"/>
    <w:rsid w:val="00BD7E91"/>
    <w:rsid w:val="00BD7F0D"/>
    <w:rsid w:val="00C02D0A"/>
    <w:rsid w:val="00C03A6E"/>
    <w:rsid w:val="00C06DF8"/>
    <w:rsid w:val="00C1242D"/>
    <w:rsid w:val="00C226C0"/>
    <w:rsid w:val="00C26A57"/>
    <w:rsid w:val="00C34EAD"/>
    <w:rsid w:val="00C37459"/>
    <w:rsid w:val="00C42FE6"/>
    <w:rsid w:val="00C44F6A"/>
    <w:rsid w:val="00C45470"/>
    <w:rsid w:val="00C55CEB"/>
    <w:rsid w:val="00C6198E"/>
    <w:rsid w:val="00C708EA"/>
    <w:rsid w:val="00C727FB"/>
    <w:rsid w:val="00C7674A"/>
    <w:rsid w:val="00C778A5"/>
    <w:rsid w:val="00C95162"/>
    <w:rsid w:val="00CB4F6D"/>
    <w:rsid w:val="00CB6A37"/>
    <w:rsid w:val="00CB6E4C"/>
    <w:rsid w:val="00CB7684"/>
    <w:rsid w:val="00CC5050"/>
    <w:rsid w:val="00CC7C8F"/>
    <w:rsid w:val="00CD1FC4"/>
    <w:rsid w:val="00CE6A58"/>
    <w:rsid w:val="00D034A0"/>
    <w:rsid w:val="00D1366C"/>
    <w:rsid w:val="00D21061"/>
    <w:rsid w:val="00D32554"/>
    <w:rsid w:val="00D4108E"/>
    <w:rsid w:val="00D41CEF"/>
    <w:rsid w:val="00D4328E"/>
    <w:rsid w:val="00D476D4"/>
    <w:rsid w:val="00D6163D"/>
    <w:rsid w:val="00D831A3"/>
    <w:rsid w:val="00D8332A"/>
    <w:rsid w:val="00D87044"/>
    <w:rsid w:val="00D976E7"/>
    <w:rsid w:val="00D97BE3"/>
    <w:rsid w:val="00DA3711"/>
    <w:rsid w:val="00DA5B8D"/>
    <w:rsid w:val="00DB1258"/>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A424B"/>
    <w:rsid w:val="00FB6342"/>
    <w:rsid w:val="00FC6389"/>
    <w:rsid w:val="00FE181F"/>
    <w:rsid w:val="00FE2684"/>
    <w:rsid w:val="00FE6AEC"/>
    <w:rsid w:val="00FF6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A1F97B1"/>
  <w14:defaultImageDpi w14:val="32767"/>
  <w15:docId w15:val="{082EF06A-2B00-41FA-B395-3226DD45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6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yperlink" Target="https://zakazky.szdc.cz/"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0248305-4106-414B-8C74-60C6169B4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212</TotalTime>
  <Pages>16</Pages>
  <Words>3077</Words>
  <Characters>18159</Characters>
  <Application>Microsoft Office Word</Application>
  <DocSecurity>0</DocSecurity>
  <Lines>151</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65</cp:revision>
  <cp:lastPrinted>2019-09-27T11:09:00Z</cp:lastPrinted>
  <dcterms:created xsi:type="dcterms:W3CDTF">2020-01-31T12:27:00Z</dcterms:created>
  <dcterms:modified xsi:type="dcterms:W3CDTF">2020-08-17T10:58:00Z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