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D1229" w:rsidRPr="001D1229">
        <w:rPr>
          <w:rFonts w:ascii="Verdana" w:hAnsi="Verdana"/>
          <w:sz w:val="18"/>
          <w:szCs w:val="18"/>
        </w:rPr>
        <w:t>„Oprava mostních objektů na trati Litoměřice - Česká Lípa“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B35" w:rsidRDefault="00F20B35">
      <w:r>
        <w:separator/>
      </w:r>
    </w:p>
  </w:endnote>
  <w:endnote w:type="continuationSeparator" w:id="0">
    <w:p w:rsidR="00F20B35" w:rsidRDefault="00F20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D122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D1229" w:rsidRPr="001D122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B35" w:rsidRDefault="00F20B35">
      <w:r>
        <w:separator/>
      </w:r>
    </w:p>
  </w:footnote>
  <w:footnote w:type="continuationSeparator" w:id="0">
    <w:p w:rsidR="00F20B35" w:rsidRDefault="00F20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1229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B3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9421B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CFE8D0-41FD-42EC-A6E3-D55D47F54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2018-11-26T13:19:00Z</dcterms:created>
  <dcterms:modified xsi:type="dcterms:W3CDTF">2020-07-30T10:53:00Z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