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6326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6326A">
        <w:rPr>
          <w:rFonts w:ascii="Verdana" w:hAnsi="Verdana"/>
          <w:b/>
          <w:sz w:val="18"/>
          <w:szCs w:val="18"/>
        </w:rPr>
        <w:t>Oprava napájecích zdrojů</w:t>
      </w:r>
      <w:r w:rsidR="0056326A">
        <w:rPr>
          <w:rFonts w:ascii="Verdana" w:hAnsi="Verdana"/>
          <w:sz w:val="18"/>
          <w:szCs w:val="18"/>
        </w:rPr>
        <w:t xml:space="preserve"> </w:t>
      </w:r>
      <w:r w:rsidR="0056326A">
        <w:rPr>
          <w:rFonts w:ascii="Verdana" w:hAnsi="Verdana"/>
          <w:b/>
          <w:sz w:val="18"/>
          <w:szCs w:val="18"/>
        </w:rPr>
        <w:t>v obvodu SSZT Ústí n. L.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32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326A" w:rsidRPr="005632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326A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9EF5AD"/>
  <w15:docId w15:val="{0E5183E4-A636-4204-BB52-630C120D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6645CA-023D-4A2A-AD1F-04DBA612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2020-07-16T16:47:00Z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