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123F0">
        <w:rPr>
          <w:rFonts w:ascii="Verdana" w:hAnsi="Verdana"/>
          <w:sz w:val="18"/>
          <w:szCs w:val="18"/>
        </w:rPr>
        <w:t xml:space="preserve">Oprava osvětlení </w:t>
      </w:r>
      <w:proofErr w:type="spellStart"/>
      <w:r w:rsidR="003123F0">
        <w:rPr>
          <w:rFonts w:ascii="Verdana" w:hAnsi="Verdana"/>
          <w:sz w:val="18"/>
          <w:szCs w:val="18"/>
        </w:rPr>
        <w:t>žst</w:t>
      </w:r>
      <w:proofErr w:type="spellEnd"/>
      <w:r w:rsidR="003123F0">
        <w:rPr>
          <w:rFonts w:ascii="Verdana" w:hAnsi="Verdana"/>
          <w:sz w:val="18"/>
          <w:szCs w:val="18"/>
        </w:rPr>
        <w:t>. Vimperk a zas. Vimperk“</w:t>
      </w:r>
      <w:r w:rsidR="003123F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123F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123F0" w:rsidRPr="003123F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23F0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B2ADABE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E53DA-3D64-4916-B48A-C964EF03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2020-05-15T10:43:00Z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