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B75A76">
        <w:rPr>
          <w:rFonts w:ascii="Verdana" w:hAnsi="Verdana"/>
          <w:sz w:val="18"/>
          <w:szCs w:val="18"/>
        </w:rPr>
        <w:t xml:space="preserve">„Oprava osvětlení </w:t>
      </w:r>
      <w:proofErr w:type="spellStart"/>
      <w:r w:rsidR="00B75A76">
        <w:rPr>
          <w:rFonts w:ascii="Verdana" w:hAnsi="Verdana"/>
          <w:sz w:val="18"/>
          <w:szCs w:val="18"/>
        </w:rPr>
        <w:t>žst</w:t>
      </w:r>
      <w:proofErr w:type="spellEnd"/>
      <w:r w:rsidR="00B75A76">
        <w:rPr>
          <w:rFonts w:ascii="Verdana" w:hAnsi="Verdana"/>
          <w:sz w:val="18"/>
          <w:szCs w:val="18"/>
        </w:rPr>
        <w:t>. Vimperk a zas. Vimperk“</w:t>
      </w:r>
      <w:r w:rsidR="00B75A76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75A76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75A76" w:rsidRPr="00B75A7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75A76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B2C1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37644E3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7FE2B2-7EEC-4102-8431-2147B0FA9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2020-01-31T12:42:00Z</dcterms:created>
  <dcterms:modified xsi:type="dcterms:W3CDTF">2020-05-15T10:46:00Z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