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266" w:rsidRDefault="00F84266">
      <w:pPr>
        <w:rPr>
          <w:b/>
        </w:rPr>
      </w:pPr>
    </w:p>
    <w:p w:rsidR="00F84266" w:rsidRDefault="00F84266">
      <w:pPr>
        <w:rPr>
          <w:b/>
        </w:rPr>
      </w:pPr>
    </w:p>
    <w:p w:rsidR="00F84266" w:rsidRDefault="00F84266">
      <w:pPr>
        <w:rPr>
          <w:b/>
        </w:rPr>
      </w:pPr>
    </w:p>
    <w:p w:rsidR="00F84266" w:rsidRDefault="00F84266">
      <w:pPr>
        <w:rPr>
          <w:b/>
        </w:rPr>
      </w:pPr>
    </w:p>
    <w:p w:rsidR="00F84266" w:rsidRDefault="00F84266">
      <w:pPr>
        <w:rPr>
          <w:b/>
        </w:rPr>
      </w:pPr>
    </w:p>
    <w:p w:rsidR="00F84266" w:rsidRDefault="00F84266">
      <w:pPr>
        <w:rPr>
          <w:b/>
        </w:rPr>
      </w:pPr>
    </w:p>
    <w:p w:rsidR="00F84266" w:rsidRDefault="00F84266">
      <w:pPr>
        <w:rPr>
          <w:b/>
        </w:rPr>
      </w:pPr>
    </w:p>
    <w:p w:rsidR="00F84266" w:rsidRDefault="00F84266">
      <w:pPr>
        <w:rPr>
          <w:b/>
        </w:rPr>
      </w:pPr>
    </w:p>
    <w:p w:rsidR="001B4739" w:rsidRPr="000F10FE" w:rsidRDefault="001B4739" w:rsidP="001B4739">
      <w:pPr>
        <w:jc w:val="center"/>
        <w:rPr>
          <w:b/>
          <w:sz w:val="44"/>
          <w:szCs w:val="38"/>
        </w:rPr>
      </w:pPr>
      <w:r w:rsidRPr="000F10FE">
        <w:rPr>
          <w:b/>
          <w:sz w:val="44"/>
          <w:szCs w:val="38"/>
        </w:rPr>
        <w:t>Modernizace trati Brno - Přerov</w:t>
      </w:r>
    </w:p>
    <w:p w:rsidR="001B4739" w:rsidRPr="000F10FE" w:rsidRDefault="001B4739" w:rsidP="001B4739">
      <w:pPr>
        <w:jc w:val="center"/>
        <w:rPr>
          <w:b/>
          <w:sz w:val="36"/>
          <w:szCs w:val="38"/>
        </w:rPr>
      </w:pPr>
      <w:r w:rsidRPr="000F10FE">
        <w:rPr>
          <w:b/>
          <w:sz w:val="36"/>
          <w:szCs w:val="38"/>
        </w:rPr>
        <w:t>Souhrnné ekonomické hodnocení</w:t>
      </w:r>
    </w:p>
    <w:p w:rsidR="00F84266" w:rsidRDefault="00F84266">
      <w:pPr>
        <w:rPr>
          <w:b/>
        </w:rPr>
      </w:pPr>
    </w:p>
    <w:p w:rsidR="00F84266" w:rsidRDefault="00F84266">
      <w:pPr>
        <w:rPr>
          <w:b/>
        </w:rPr>
      </w:pPr>
    </w:p>
    <w:p w:rsidR="00F84266" w:rsidRDefault="00F84266">
      <w:pPr>
        <w:rPr>
          <w:b/>
        </w:rPr>
      </w:pPr>
    </w:p>
    <w:p w:rsidR="00F84266" w:rsidRPr="00F84266" w:rsidRDefault="00F84266" w:rsidP="00F84266">
      <w:pPr>
        <w:jc w:val="center"/>
        <w:rPr>
          <w:b/>
          <w:sz w:val="36"/>
          <w:szCs w:val="36"/>
        </w:rPr>
      </w:pPr>
      <w:r w:rsidRPr="00F84266">
        <w:rPr>
          <w:b/>
          <w:sz w:val="36"/>
          <w:szCs w:val="36"/>
        </w:rPr>
        <w:t>Ekonomické hodnocení</w:t>
      </w:r>
    </w:p>
    <w:p w:rsidR="00F84266" w:rsidRDefault="00F84266"/>
    <w:p w:rsidR="00F84266" w:rsidRDefault="00F84266"/>
    <w:p w:rsidR="00F84266" w:rsidRDefault="00F84266"/>
    <w:p w:rsidR="00F84266" w:rsidRDefault="00F84266"/>
    <w:p w:rsidR="00F84266" w:rsidRDefault="00F84266"/>
    <w:p w:rsidR="00F84266" w:rsidRDefault="00F84266"/>
    <w:p w:rsidR="00F84266" w:rsidRDefault="00F84266"/>
    <w:p w:rsidR="00F84266" w:rsidRDefault="00F84266"/>
    <w:p w:rsidR="00F84266" w:rsidRDefault="00F84266"/>
    <w:p w:rsidR="00F84266" w:rsidRDefault="00F84266"/>
    <w:p w:rsidR="00F84266" w:rsidRDefault="00F84266"/>
    <w:p w:rsidR="00AA576C" w:rsidRDefault="00AA576C"/>
    <w:p w:rsidR="00AA576C" w:rsidRDefault="00AA576C"/>
    <w:p w:rsidR="00AA576C" w:rsidRDefault="00AA576C"/>
    <w:p w:rsidR="00AA576C" w:rsidRDefault="00AA576C"/>
    <w:p w:rsidR="00F84266" w:rsidRDefault="00F84266"/>
    <w:p w:rsidR="00F84266" w:rsidRDefault="00F84266"/>
    <w:p w:rsidR="00F84266" w:rsidRDefault="00F84266"/>
    <w:p w:rsidR="002F7075" w:rsidRDefault="002F7075"/>
    <w:p w:rsidR="002F7075" w:rsidRDefault="002F7075"/>
    <w:p w:rsidR="002F7075" w:rsidRDefault="002F7075"/>
    <w:p w:rsidR="00F84266" w:rsidRDefault="00F84266" w:rsidP="00F84266">
      <w:pPr>
        <w:jc w:val="right"/>
      </w:pPr>
      <w:r>
        <w:t>Ing. Tomáš Funk</w:t>
      </w:r>
    </w:p>
    <w:p w:rsidR="00F84266" w:rsidRDefault="00F84266" w:rsidP="00F84266">
      <w:pPr>
        <w:jc w:val="right"/>
      </w:pPr>
      <w:r>
        <w:t>MORAVIA CONSULT Olomouc a.s.</w:t>
      </w:r>
    </w:p>
    <w:p w:rsidR="002F7075" w:rsidRDefault="00ED48B4" w:rsidP="00F84266">
      <w:pPr>
        <w:jc w:val="right"/>
      </w:pPr>
      <w:r>
        <w:t>dub</w:t>
      </w:r>
      <w:r w:rsidR="00D422A7">
        <w:t>en</w:t>
      </w:r>
      <w:r w:rsidR="00675CD8">
        <w:t xml:space="preserve"> 2020</w:t>
      </w:r>
    </w:p>
    <w:p w:rsidR="002F7075" w:rsidRDefault="002F7075" w:rsidP="002F7075">
      <w:pPr>
        <w:autoSpaceDE w:val="0"/>
        <w:autoSpaceDN w:val="0"/>
        <w:adjustRightInd w:val="0"/>
        <w:spacing w:after="0"/>
      </w:pPr>
      <w:r>
        <w:lastRenderedPageBreak/>
        <w:t>Ekonomické hodnocení je zpracováno v intencích Rezortní metodiky pro hodnocení ekonomické efektivnosti projektů dopravních staveb.</w:t>
      </w:r>
    </w:p>
    <w:p w:rsidR="002F7075" w:rsidRDefault="002F7075" w:rsidP="00F84266">
      <w:pPr>
        <w:jc w:val="right"/>
      </w:pPr>
    </w:p>
    <w:sdt>
      <w:sdtPr>
        <w:rPr>
          <w:rFonts w:asciiTheme="minorHAnsi" w:eastAsiaTheme="minorHAnsi" w:hAnsiTheme="minorHAnsi" w:cstheme="minorBidi"/>
          <w:b/>
          <w:color w:val="auto"/>
          <w:sz w:val="22"/>
          <w:szCs w:val="22"/>
          <w:lang w:eastAsia="en-US"/>
        </w:rPr>
        <w:id w:val="159914531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A06570" w:rsidRPr="00A06570" w:rsidRDefault="00A06570">
          <w:pPr>
            <w:pStyle w:val="Nadpisobsahu"/>
            <w:rPr>
              <w:b/>
              <w:color w:val="auto"/>
            </w:rPr>
          </w:pPr>
          <w:r w:rsidRPr="00A06570">
            <w:rPr>
              <w:b/>
              <w:color w:val="auto"/>
            </w:rPr>
            <w:t>Obsah</w:t>
          </w:r>
        </w:p>
        <w:p w:rsidR="00D422A7" w:rsidRDefault="00A06570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5357578" w:history="1">
            <w:r w:rsidR="00D422A7" w:rsidRPr="006E5C88">
              <w:rPr>
                <w:rStyle w:val="Hypertextovodkaz"/>
                <w:noProof/>
              </w:rPr>
              <w:t>1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Úvod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_Toc35357578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4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579" w:history="1">
            <w:r w:rsidR="00D422A7" w:rsidRPr="006E5C88">
              <w:rPr>
                <w:rStyle w:val="Hypertextovodkaz"/>
                <w:noProof/>
              </w:rPr>
              <w:t>2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Kontext, lokalizace a technické řešení projektu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_Toc35357579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4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580" w:history="1">
            <w:r w:rsidR="00D422A7" w:rsidRPr="006E5C88">
              <w:rPr>
                <w:rStyle w:val="Hypertextovodkaz"/>
                <w:noProof/>
              </w:rPr>
              <w:t>2.1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Cíle a varianty řešení studie proveditelnosti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_Toc35357580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4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581" w:history="1">
            <w:r w:rsidR="00D422A7" w:rsidRPr="006E5C88">
              <w:rPr>
                <w:rStyle w:val="Hypertextovodkaz"/>
                <w:noProof/>
              </w:rPr>
              <w:t>2.2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Technické řešení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_Toc35357581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6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582" w:history="1">
            <w:r w:rsidR="00D422A7" w:rsidRPr="006E5C88">
              <w:rPr>
                <w:rStyle w:val="Hypertextovodkaz"/>
                <w:noProof/>
              </w:rPr>
              <w:t>2.2.1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Varianta M2 dle studie proveditelnosti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_Toc35357582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6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583" w:history="1">
            <w:r w:rsidR="00D422A7" w:rsidRPr="006E5C88">
              <w:rPr>
                <w:rStyle w:val="Hypertextovodkaz"/>
                <w:noProof/>
              </w:rPr>
              <w:t>2.2.2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Varianta bez projektu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_Toc35357583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6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584" w:history="1">
            <w:r w:rsidR="00D422A7" w:rsidRPr="006E5C88">
              <w:rPr>
                <w:rStyle w:val="Hypertextovodkaz"/>
                <w:noProof/>
              </w:rPr>
              <w:t>2.3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Analýza dopravy a přepravních vztahů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_Toc35357584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6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585" w:history="1">
            <w:r w:rsidR="00D422A7" w:rsidRPr="006E5C88">
              <w:rPr>
                <w:rStyle w:val="Hypertextovodkaz"/>
                <w:noProof/>
              </w:rPr>
              <w:t>2.3.1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Výchozí nabídka osobní a nákladní dopravy, rok 2013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_Toc35357585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6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586" w:history="1">
            <w:r w:rsidR="00D422A7" w:rsidRPr="006E5C88">
              <w:rPr>
                <w:rStyle w:val="Hypertextovodkaz"/>
                <w:noProof/>
              </w:rPr>
              <w:t>2.3.2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Rozsah osobní a nákladní dopravy – výhledový stav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_Toc35357586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7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587" w:history="1">
            <w:r w:rsidR="00D422A7" w:rsidRPr="006E5C88">
              <w:rPr>
                <w:rStyle w:val="Hypertextovodkaz"/>
                <w:noProof/>
              </w:rPr>
              <w:t>3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Analýza přepravního trhu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_Toc35357587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10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588" w:history="1">
            <w:r w:rsidR="00D422A7" w:rsidRPr="006E5C88">
              <w:rPr>
                <w:rStyle w:val="Hypertextovodkaz"/>
                <w:noProof/>
              </w:rPr>
              <w:t>3.1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Analýza současného stavu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_Toc35357588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10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589" w:history="1">
            <w:r w:rsidR="00D422A7" w:rsidRPr="006E5C88">
              <w:rPr>
                <w:rStyle w:val="Hypertextovodkaz"/>
                <w:noProof/>
              </w:rPr>
              <w:t>3.2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Přepravní prognóza osobní dopravy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_Toc35357589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10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590" w:history="1">
            <w:r w:rsidR="00D422A7" w:rsidRPr="006E5C88">
              <w:rPr>
                <w:rStyle w:val="Hypertextovodkaz"/>
                <w:noProof/>
              </w:rPr>
              <w:t>3.2.1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Výsledky prognózy osobní dopravy – střednědobý horizont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_Toc35357590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10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591" w:history="1">
            <w:r w:rsidR="00D422A7" w:rsidRPr="006E5C88">
              <w:rPr>
                <w:rStyle w:val="Hypertextovodkaz"/>
                <w:noProof/>
              </w:rPr>
              <w:t>3.2.2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Výsledky prognózy osobní dopravy – dlouhodobý horizont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_Toc35357591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11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592" w:history="1">
            <w:r w:rsidR="00D422A7" w:rsidRPr="006E5C88">
              <w:rPr>
                <w:rStyle w:val="Hypertextovodkaz"/>
                <w:noProof/>
              </w:rPr>
              <w:t>3.3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Přepravní prognóza nákladní dopravy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_Toc35357592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11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593" w:history="1">
            <w:r w:rsidR="00D422A7" w:rsidRPr="006E5C88">
              <w:rPr>
                <w:rStyle w:val="Hypertextovodkaz"/>
                <w:noProof/>
              </w:rPr>
              <w:t>4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Metodika ekonomického hodnocení – analýza CBA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_Toc35357593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11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594" w:history="1">
            <w:r w:rsidR="00D422A7" w:rsidRPr="006E5C88">
              <w:rPr>
                <w:rStyle w:val="Hypertextovodkaz"/>
                <w:noProof/>
              </w:rPr>
              <w:t>4.1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Ekonomické hodnocení SP Brno – Přerov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_Toc35357594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12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595" w:history="1">
            <w:r w:rsidR="00D422A7" w:rsidRPr="006E5C88">
              <w:rPr>
                <w:rStyle w:val="Hypertextovodkaz"/>
                <w:noProof/>
              </w:rPr>
              <w:t>4.2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Definice základních pojmů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_Toc35357595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12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596" w:history="1">
            <w:r w:rsidR="00D422A7" w:rsidRPr="006E5C88">
              <w:rPr>
                <w:rStyle w:val="Hypertextovodkaz"/>
                <w:noProof/>
              </w:rPr>
              <w:t>4.2.1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Stanovení referenčního období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_Toc35357596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12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597" w:history="1">
            <w:r w:rsidR="00D422A7" w:rsidRPr="006E5C88">
              <w:rPr>
                <w:rStyle w:val="Hypertextovodkaz"/>
                <w:noProof/>
              </w:rPr>
              <w:t>4.2.2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Cenová úroveň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_Toc35357597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13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598" w:history="1">
            <w:r w:rsidR="00D422A7" w:rsidRPr="006E5C88">
              <w:rPr>
                <w:rStyle w:val="Hypertextovodkaz"/>
                <w:noProof/>
              </w:rPr>
              <w:t>5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Finanční analýza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_Toc35357598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14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599" w:history="1">
            <w:r w:rsidR="00D422A7" w:rsidRPr="006E5C88">
              <w:rPr>
                <w:rStyle w:val="Hypertextovodkaz"/>
                <w:noProof/>
              </w:rPr>
              <w:t>5.1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Investiční náklady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_Toc35357599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14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600" w:history="1">
            <w:r w:rsidR="00D422A7" w:rsidRPr="006E5C88">
              <w:rPr>
                <w:rStyle w:val="Hypertextovodkaz"/>
                <w:noProof/>
              </w:rPr>
              <w:t>5.2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Náklady na údržbu a opravy železniční infrastruktury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_Toc35357600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14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601" w:history="1">
            <w:r w:rsidR="00D422A7" w:rsidRPr="006E5C88">
              <w:rPr>
                <w:rStyle w:val="Hypertextovodkaz"/>
                <w:noProof/>
              </w:rPr>
              <w:t>5.3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Náklady na zaměstnance řízení dopravy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_Toc35357601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15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602" w:history="1">
            <w:r w:rsidR="00D422A7" w:rsidRPr="006E5C88">
              <w:rPr>
                <w:rStyle w:val="Hypertextovodkaz"/>
                <w:noProof/>
              </w:rPr>
              <w:t>5.4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Příjmy z poplatku za použití dopravní cesty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_Toc35357602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15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603" w:history="1">
            <w:r w:rsidR="00D422A7" w:rsidRPr="006E5C88">
              <w:rPr>
                <w:rStyle w:val="Hypertextovodkaz"/>
                <w:noProof/>
              </w:rPr>
              <w:t>5.5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Zůstatková hodnota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_Toc35357603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16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604" w:history="1">
            <w:r w:rsidR="00D422A7" w:rsidRPr="006E5C88">
              <w:rPr>
                <w:rStyle w:val="Hypertextovodkaz"/>
                <w:noProof/>
              </w:rPr>
              <w:t>5.6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Finanční analýza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_Toc35357604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18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605" w:history="1">
            <w:r w:rsidR="00D422A7" w:rsidRPr="006E5C88">
              <w:rPr>
                <w:rStyle w:val="Hypertextovodkaz"/>
                <w:noProof/>
              </w:rPr>
              <w:t>6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Ekonomická analýza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_Toc35357605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19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606" w:history="1">
            <w:r w:rsidR="00D422A7" w:rsidRPr="006E5C88">
              <w:rPr>
                <w:rStyle w:val="Hypertextovodkaz"/>
                <w:noProof/>
              </w:rPr>
              <w:t>6.1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Fiskální úpravy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_Toc35357606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19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607" w:history="1">
            <w:r w:rsidR="00D422A7" w:rsidRPr="006E5C88">
              <w:rPr>
                <w:rStyle w:val="Hypertextovodkaz"/>
                <w:noProof/>
              </w:rPr>
              <w:t>6.2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Náklady na provoz vlaků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_Toc35357607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19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608" w:history="1">
            <w:r w:rsidR="00D422A7" w:rsidRPr="006E5C88">
              <w:rPr>
                <w:rStyle w:val="Hypertextovodkaz"/>
                <w:noProof/>
              </w:rPr>
              <w:t>6.3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Úspory provozních nákladů silniční dopravy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_Toc35357608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21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609" w:history="1">
            <w:r w:rsidR="00D422A7" w:rsidRPr="006E5C88">
              <w:rPr>
                <w:rStyle w:val="Hypertextovodkaz"/>
                <w:noProof/>
              </w:rPr>
              <w:t>6.4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Úspory času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_Toc35357609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22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610" w:history="1">
            <w:r w:rsidR="00D422A7" w:rsidRPr="006E5C88">
              <w:rPr>
                <w:rStyle w:val="Hypertextovodkaz"/>
                <w:noProof/>
              </w:rPr>
              <w:t>6.4.1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Osobní doprava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_Toc35357610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22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611" w:history="1">
            <w:r w:rsidR="00D422A7" w:rsidRPr="006E5C88">
              <w:rPr>
                <w:rStyle w:val="Hypertextovodkaz"/>
                <w:noProof/>
              </w:rPr>
              <w:t>6.4.2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Nákladní doprava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_Toc35357611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22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612" w:history="1">
            <w:r w:rsidR="00D422A7" w:rsidRPr="006E5C88">
              <w:rPr>
                <w:rStyle w:val="Hypertextovodkaz"/>
                <w:noProof/>
              </w:rPr>
              <w:t>6.5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Přínosy z úspor vnějších účinků dopravy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_Toc35357612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23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613" w:history="1">
            <w:r w:rsidR="00D422A7" w:rsidRPr="006E5C88">
              <w:rPr>
                <w:rStyle w:val="Hypertextovodkaz"/>
                <w:noProof/>
              </w:rPr>
              <w:t>6.6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Bezpečnost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_Toc35357613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25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614" w:history="1">
            <w:r w:rsidR="00D422A7" w:rsidRPr="006E5C88">
              <w:rPr>
                <w:rStyle w:val="Hypertextovodkaz"/>
                <w:noProof/>
              </w:rPr>
              <w:t>6.7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Ostatní přínosy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_Toc35357614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28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615" w:history="1">
            <w:r w:rsidR="00D422A7" w:rsidRPr="006E5C88">
              <w:rPr>
                <w:rStyle w:val="Hypertextovodkaz"/>
                <w:noProof/>
              </w:rPr>
              <w:t>6.7.1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Úspora času v automobilové dopravě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_Toc35357615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28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616" w:history="1">
            <w:r w:rsidR="00D422A7" w:rsidRPr="006E5C88">
              <w:rPr>
                <w:rStyle w:val="Hypertextovodkaz"/>
                <w:noProof/>
              </w:rPr>
              <w:t>6.7.2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Úspora nákladů na pohonné hmoty v automobilové</w:t>
            </w:r>
            <w:r w:rsidR="00D422A7" w:rsidRPr="006E5C88">
              <w:rPr>
                <w:rStyle w:val="Hypertextovodkaz"/>
                <w:i/>
                <w:iCs/>
                <w:noProof/>
              </w:rPr>
              <w:t xml:space="preserve"> </w:t>
            </w:r>
            <w:r w:rsidR="00D422A7" w:rsidRPr="006E5C88">
              <w:rPr>
                <w:rStyle w:val="Hypertextovodkaz"/>
                <w:noProof/>
              </w:rPr>
              <w:t>dopravě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_Toc35357616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28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617" w:history="1">
            <w:r w:rsidR="00D422A7" w:rsidRPr="006E5C88">
              <w:rPr>
                <w:rStyle w:val="Hypertextovodkaz"/>
                <w:noProof/>
              </w:rPr>
              <w:t>6.7.3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Přínosy realizace žel. mostu v ev. km 42,631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_Toc35357617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28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618" w:history="1">
            <w:r w:rsidR="00D422A7" w:rsidRPr="006E5C88">
              <w:rPr>
                <w:rStyle w:val="Hypertextovodkaz"/>
                <w:noProof/>
              </w:rPr>
              <w:t>6.8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Sestava ekonomické analýzy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_Toc35357618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30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619" w:history="1">
            <w:r w:rsidR="00D422A7" w:rsidRPr="006E5C88">
              <w:rPr>
                <w:rStyle w:val="Hypertextovodkaz"/>
                <w:noProof/>
              </w:rPr>
              <w:t>7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Shrnutí výsledků finanční a ekonomické analýzy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_Toc35357619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31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620" w:history="1">
            <w:r w:rsidR="00D422A7" w:rsidRPr="006E5C88">
              <w:rPr>
                <w:rStyle w:val="Hypertextovodkaz"/>
                <w:noProof/>
              </w:rPr>
              <w:t>8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Analýza citlivosti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_Toc35357620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32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621" w:history="1">
            <w:r w:rsidR="00D422A7" w:rsidRPr="006E5C88">
              <w:rPr>
                <w:rStyle w:val="Hypertextovodkaz"/>
                <w:noProof/>
              </w:rPr>
              <w:t>8.1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Posouzení dopadů změny investičních nákladů na efektivitu projektu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_Toc35357621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33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622" w:history="1">
            <w:r w:rsidR="00D422A7" w:rsidRPr="006E5C88">
              <w:rPr>
                <w:rStyle w:val="Hypertextovodkaz"/>
                <w:noProof/>
              </w:rPr>
              <w:t>8.2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Posouzení dopadů změny přepravních výkonů na efektivitu projektu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_Toc35357622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33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623" w:history="1">
            <w:r w:rsidR="00D422A7" w:rsidRPr="006E5C88">
              <w:rPr>
                <w:rStyle w:val="Hypertextovodkaz"/>
                <w:noProof/>
              </w:rPr>
              <w:t>9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Shrnutí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_Toc35357623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34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D422A7" w:rsidRDefault="00ED48B4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35357624" w:history="1">
            <w:r w:rsidR="00D422A7" w:rsidRPr="006E5C88">
              <w:rPr>
                <w:rStyle w:val="Hypertextovodkaz"/>
                <w:noProof/>
              </w:rPr>
              <w:t>10</w:t>
            </w:r>
            <w:r w:rsidR="00D422A7">
              <w:rPr>
                <w:rFonts w:eastAsiaTheme="minorEastAsia"/>
                <w:noProof/>
                <w:lang w:eastAsia="cs-CZ"/>
              </w:rPr>
              <w:tab/>
            </w:r>
            <w:r w:rsidR="00D422A7" w:rsidRPr="006E5C88">
              <w:rPr>
                <w:rStyle w:val="Hypertextovodkaz"/>
                <w:noProof/>
              </w:rPr>
              <w:t>Přílohy</w:t>
            </w:r>
            <w:r w:rsidR="00D422A7">
              <w:rPr>
                <w:noProof/>
                <w:webHidden/>
              </w:rPr>
              <w:tab/>
            </w:r>
            <w:r w:rsidR="00D422A7">
              <w:rPr>
                <w:noProof/>
                <w:webHidden/>
              </w:rPr>
              <w:fldChar w:fldCharType="begin"/>
            </w:r>
            <w:r w:rsidR="00D422A7">
              <w:rPr>
                <w:noProof/>
                <w:webHidden/>
              </w:rPr>
              <w:instrText xml:space="preserve"> PAGEREF _Toc35357624 \h </w:instrText>
            </w:r>
            <w:r w:rsidR="00D422A7">
              <w:rPr>
                <w:noProof/>
                <w:webHidden/>
              </w:rPr>
            </w:r>
            <w:r w:rsidR="00D422A7">
              <w:rPr>
                <w:noProof/>
                <w:webHidden/>
              </w:rPr>
              <w:fldChar w:fldCharType="separate"/>
            </w:r>
            <w:r w:rsidR="00D422A7">
              <w:rPr>
                <w:noProof/>
                <w:webHidden/>
              </w:rPr>
              <w:t>34</w:t>
            </w:r>
            <w:r w:rsidR="00D422A7">
              <w:rPr>
                <w:noProof/>
                <w:webHidden/>
              </w:rPr>
              <w:fldChar w:fldCharType="end"/>
            </w:r>
          </w:hyperlink>
        </w:p>
        <w:p w:rsidR="00A06570" w:rsidRDefault="00A06570">
          <w:r>
            <w:rPr>
              <w:b/>
              <w:bCs/>
            </w:rPr>
            <w:fldChar w:fldCharType="end"/>
          </w:r>
        </w:p>
      </w:sdtContent>
    </w:sdt>
    <w:p w:rsidR="006C7F4D" w:rsidRDefault="006C7F4D" w:rsidP="00F84266">
      <w:pPr>
        <w:autoSpaceDE w:val="0"/>
        <w:autoSpaceDN w:val="0"/>
        <w:adjustRightInd w:val="0"/>
        <w:spacing w:after="0"/>
      </w:pPr>
    </w:p>
    <w:p w:rsidR="006C7F4D" w:rsidRDefault="006C7F4D" w:rsidP="00F84266">
      <w:pPr>
        <w:autoSpaceDE w:val="0"/>
        <w:autoSpaceDN w:val="0"/>
        <w:adjustRightInd w:val="0"/>
        <w:spacing w:after="0"/>
      </w:pPr>
      <w:r>
        <w:br w:type="page"/>
      </w:r>
    </w:p>
    <w:p w:rsidR="006C7F4D" w:rsidRDefault="00CE2A4B" w:rsidP="00D1606B">
      <w:pPr>
        <w:pStyle w:val="Nadpis1"/>
      </w:pPr>
      <w:bookmarkStart w:id="0" w:name="_Toc35357578"/>
      <w:r w:rsidRPr="00D1606B">
        <w:lastRenderedPageBreak/>
        <w:t>Úvod</w:t>
      </w:r>
      <w:bookmarkEnd w:id="0"/>
    </w:p>
    <w:p w:rsidR="00F73F57" w:rsidRDefault="00CE2A4B" w:rsidP="00FB14AC">
      <w:r>
        <w:t xml:space="preserve">Modernizace </w:t>
      </w:r>
      <w:r w:rsidR="00DF115B">
        <w:t>trati Brno – Přerov je rozdělena do</w:t>
      </w:r>
      <w:r w:rsidR="001E78DA">
        <w:t xml:space="preserve"> souboru </w:t>
      </w:r>
      <w:r w:rsidR="00DF115B">
        <w:t xml:space="preserve">5 </w:t>
      </w:r>
      <w:r w:rsidR="001E78DA">
        <w:t>staveb, jejich</w:t>
      </w:r>
      <w:r w:rsidR="00314795">
        <w:t>ž</w:t>
      </w:r>
      <w:r w:rsidR="001E78DA">
        <w:t xml:space="preserve"> cílem je modernizace celé trati z </w:t>
      </w:r>
      <w:r w:rsidR="005B36E1">
        <w:t>Brna</w:t>
      </w:r>
      <w:r w:rsidR="001E78DA">
        <w:t xml:space="preserve"> přes </w:t>
      </w:r>
      <w:r w:rsidR="005B36E1">
        <w:t>Vyškov a Nezamyslice</w:t>
      </w:r>
      <w:r w:rsidR="001E78DA">
        <w:t xml:space="preserve"> </w:t>
      </w:r>
      <w:r w:rsidR="005B36E1">
        <w:t>do Přerova</w:t>
      </w:r>
      <w:r w:rsidR="001E78DA">
        <w:t>.</w:t>
      </w:r>
      <w:r w:rsidR="00F73F57">
        <w:t xml:space="preserve"> Pro celý tento soubor staveb byla zpracována v roce 2015 </w:t>
      </w:r>
      <w:r w:rsidR="006B11EA">
        <w:t>s</w:t>
      </w:r>
      <w:r w:rsidR="00F73F57">
        <w:t>tudie proveditelnosti</w:t>
      </w:r>
      <w:r w:rsidR="006B11EA">
        <w:t xml:space="preserve"> „</w:t>
      </w:r>
      <w:r w:rsidR="005B36E1" w:rsidRPr="005B36E1">
        <w:t>Modernizace trati Brno-Přerov</w:t>
      </w:r>
      <w:r w:rsidR="006B11EA">
        <w:t>“</w:t>
      </w:r>
      <w:r w:rsidR="00F73F57">
        <w:t xml:space="preserve"> (SP) s cílem vypracovat návrhy řešení modernizace železniční trati </w:t>
      </w:r>
      <w:r w:rsidR="005B36E1">
        <w:t>Brno - Přerov</w:t>
      </w:r>
      <w:r w:rsidR="00F73F57">
        <w:t xml:space="preserve"> v</w:t>
      </w:r>
      <w:r w:rsidR="005B36E1">
        <w:t xml:space="preserve"> několika </w:t>
      </w:r>
      <w:r w:rsidR="00F73F57">
        <w:t>varia</w:t>
      </w:r>
      <w:r w:rsidR="005B36E1">
        <w:t xml:space="preserve">ntách </w:t>
      </w:r>
      <w:r w:rsidR="00F73F57">
        <w:t xml:space="preserve">a dokumentovat ekonomickou efektivitu jednotlivých variant. </w:t>
      </w:r>
    </w:p>
    <w:p w:rsidR="00507362" w:rsidRDefault="00507362" w:rsidP="00F73F57">
      <w:pPr>
        <w:autoSpaceDE w:val="0"/>
        <w:autoSpaceDN w:val="0"/>
        <w:adjustRightInd w:val="0"/>
        <w:spacing w:after="0"/>
      </w:pPr>
      <w:r>
        <w:t xml:space="preserve">Článek 5 </w:t>
      </w:r>
      <w:r w:rsidRPr="00507362">
        <w:t xml:space="preserve">Směrnice č. V-2/2012 (změna </w:t>
      </w:r>
      <w:r w:rsidR="004D4960" w:rsidRPr="00507362">
        <w:t>č. 4 15.9.2015</w:t>
      </w:r>
      <w:r w:rsidRPr="00507362">
        <w:t>) u</w:t>
      </w:r>
      <w:r w:rsidR="00AD43DA">
        <w:t>pravuje</w:t>
      </w:r>
      <w:r w:rsidRPr="00507362">
        <w:t xml:space="preserve"> podmínky pro zpracování ekonomického hodnocení staveb, jež jsou součástí souboru staveb v bodech 5.2 a 5.3</w:t>
      </w:r>
    </w:p>
    <w:p w:rsidR="00507362" w:rsidRDefault="00507362" w:rsidP="00507362">
      <w:pPr>
        <w:tabs>
          <w:tab w:val="left" w:pos="540"/>
        </w:tabs>
        <w:spacing w:before="240"/>
        <w:ind w:left="510" w:hanging="510"/>
      </w:pPr>
      <w:r>
        <w:t>5.2</w:t>
      </w:r>
      <w:r>
        <w:tab/>
        <w:t>Hodnocení ekonomické efektivnosti projektu se, s výjimkou případů uvedených v článcích 5.4 a 5.5 této směrnice, zpracovává podle platného znění prováděcích pokynů pro hodnocení efektivnosti investic pro daný druh projektu nebo infrastruktury</w:t>
      </w:r>
      <w:r w:rsidRPr="00314795">
        <w:t xml:space="preserve">. </w:t>
      </w:r>
      <w:r>
        <w:t>Zpracování samostatného hodnocení ekonomické efektivnosti projektu dále není požadováno pro ZP akcí, které jsou součástí schválené tahové/traťové SP. Hodnocení ekonomické efektivnosti ze SP je však možné pro ZP použít pouze tehdy, jestliže od schválení příslušné SP nedošlo u dílčích akcí tahu/trati k takovým změnám parametrů projektu (např. technickým, časovým - harmonogram či finančním), které by podstatně ovlivnily hodnocení ekonomické efektivnosti celého tahu/trati.</w:t>
      </w:r>
    </w:p>
    <w:p w:rsidR="00507362" w:rsidRDefault="00507362" w:rsidP="00507362">
      <w:pPr>
        <w:tabs>
          <w:tab w:val="left" w:pos="540"/>
        </w:tabs>
        <w:spacing w:before="240"/>
        <w:ind w:left="510" w:hanging="510"/>
      </w:pPr>
      <w:r>
        <w:t>5.3</w:t>
      </w:r>
      <w:r>
        <w:tab/>
        <w:t>Předmětem hodnocení ekonomické efektivnosti projektu může být soubor staveb/provozní celek/traťový úsek, který zahrnuje i</w:t>
      </w:r>
      <w:r>
        <w:rPr>
          <w:color w:val="0000FF"/>
        </w:rPr>
        <w:t xml:space="preserve"> </w:t>
      </w:r>
      <w:r>
        <w:t>projekt, jenž je předmětem ZP</w:t>
      </w:r>
      <w:r>
        <w:rPr>
          <w:color w:val="0000FF"/>
        </w:rPr>
        <w:t>.</w:t>
      </w:r>
    </w:p>
    <w:p w:rsidR="00D62A7A" w:rsidRDefault="00D62A7A" w:rsidP="003108C3">
      <w:r>
        <w:t>Hodnocení této stavby bude dle výše uvedených bodů zpracováno jako aktualizace ekonomického hodnocení zpracovaného v rámci studie proveditelnosti, kter</w:t>
      </w:r>
      <w:r w:rsidR="00DF115B">
        <w:t>á zahrnuje níže uvedené</w:t>
      </w:r>
      <w:r>
        <w:t xml:space="preserve"> stavby:</w:t>
      </w:r>
    </w:p>
    <w:p w:rsidR="00675CD8" w:rsidRDefault="00675CD8" w:rsidP="00675CD8">
      <w:pPr>
        <w:pStyle w:val="Odstavecseseznamem"/>
        <w:numPr>
          <w:ilvl w:val="0"/>
          <w:numId w:val="13"/>
        </w:numPr>
        <w:spacing w:line="259" w:lineRule="auto"/>
      </w:pPr>
      <w:r>
        <w:t xml:space="preserve">1. </w:t>
      </w:r>
      <w:r w:rsidRPr="00D62A7A">
        <w:t xml:space="preserve">stavba, </w:t>
      </w:r>
      <w:r>
        <w:t>Ponětovice – Blažovice (</w:t>
      </w:r>
      <w:r w:rsidR="00DF115B">
        <w:t xml:space="preserve">plánuje </w:t>
      </w:r>
      <w:r>
        <w:t>se zpracování záměru projektu</w:t>
      </w:r>
      <w:r w:rsidRPr="00D62A7A">
        <w:t>)</w:t>
      </w:r>
    </w:p>
    <w:p w:rsidR="00675CD8" w:rsidRPr="00D62A7A" w:rsidRDefault="00675CD8" w:rsidP="00675CD8">
      <w:pPr>
        <w:pStyle w:val="Odstavecseseznamem"/>
        <w:numPr>
          <w:ilvl w:val="0"/>
          <w:numId w:val="13"/>
        </w:numPr>
        <w:spacing w:line="259" w:lineRule="auto"/>
      </w:pPr>
      <w:r>
        <w:t xml:space="preserve">2. </w:t>
      </w:r>
      <w:r w:rsidRPr="00D62A7A">
        <w:t xml:space="preserve">stavba, </w:t>
      </w:r>
      <w:r>
        <w:t>Blažovice – Vyškov (zpracovaná přípravná dokumentace</w:t>
      </w:r>
      <w:r w:rsidRPr="00D62A7A">
        <w:t>)</w:t>
      </w:r>
    </w:p>
    <w:p w:rsidR="00675CD8" w:rsidRDefault="00675CD8" w:rsidP="00675CD8">
      <w:pPr>
        <w:pStyle w:val="Odstavecseseznamem"/>
        <w:numPr>
          <w:ilvl w:val="0"/>
          <w:numId w:val="13"/>
        </w:numPr>
        <w:spacing w:line="259" w:lineRule="auto"/>
      </w:pPr>
      <w:r>
        <w:t xml:space="preserve">3. </w:t>
      </w:r>
      <w:r w:rsidRPr="00D62A7A">
        <w:t xml:space="preserve">stavba, </w:t>
      </w:r>
      <w:r>
        <w:t>Vyškov (mimo) – Nezamyslice (zpracovaná přípravná dokumentace</w:t>
      </w:r>
      <w:r w:rsidRPr="00D62A7A">
        <w:t>)</w:t>
      </w:r>
    </w:p>
    <w:p w:rsidR="00675CD8" w:rsidRDefault="00675CD8" w:rsidP="00675CD8">
      <w:pPr>
        <w:pStyle w:val="Odstavecseseznamem"/>
        <w:numPr>
          <w:ilvl w:val="0"/>
          <w:numId w:val="13"/>
        </w:numPr>
        <w:spacing w:line="259" w:lineRule="auto"/>
      </w:pPr>
      <w:r>
        <w:t xml:space="preserve">4. </w:t>
      </w:r>
      <w:r w:rsidRPr="00D62A7A">
        <w:t xml:space="preserve">stavba, </w:t>
      </w:r>
      <w:r>
        <w:t>Nezamyslice (mimo) - Kojetín (mimo) (zpracovaná přípravná dokumentace</w:t>
      </w:r>
      <w:r w:rsidRPr="00D62A7A">
        <w:t>)</w:t>
      </w:r>
    </w:p>
    <w:p w:rsidR="00EE06CF" w:rsidRDefault="00DF115B" w:rsidP="00675CD8">
      <w:pPr>
        <w:pStyle w:val="Odstavecseseznamem"/>
        <w:numPr>
          <w:ilvl w:val="0"/>
          <w:numId w:val="13"/>
        </w:numPr>
        <w:spacing w:line="259" w:lineRule="auto"/>
      </w:pPr>
      <w:r>
        <w:t xml:space="preserve">5. stavba, </w:t>
      </w:r>
      <w:r w:rsidR="00EE06CF">
        <w:t>Kojetín - Přerov (mimo) (zpracovaná přípravná dokumentace</w:t>
      </w:r>
      <w:r w:rsidR="00EE06CF" w:rsidRPr="00D62A7A">
        <w:t>)</w:t>
      </w:r>
      <w:r w:rsidR="00EE06CF">
        <w:t xml:space="preserve"> </w:t>
      </w:r>
    </w:p>
    <w:p w:rsidR="00D62A7A" w:rsidRDefault="00D62A7A" w:rsidP="003108C3">
      <w:r>
        <w:t xml:space="preserve">Ekonomické hodnocení bylo v rámci SP zpracováno v intencích „Prováděcích pokynů pro hodnocení efektivnosti investic projektů </w:t>
      </w:r>
      <w:r w:rsidR="00D074D5">
        <w:t>železniční infrastruktury“ (</w:t>
      </w:r>
      <w:r>
        <w:t>MD 2013</w:t>
      </w:r>
      <w:r w:rsidR="00D074D5">
        <w:t>)</w:t>
      </w:r>
      <w:r>
        <w:t xml:space="preserve">. Aktualizace ekonomického hodnocení bude </w:t>
      </w:r>
      <w:r w:rsidR="00D074D5">
        <w:t xml:space="preserve">metodicky zpracována dle </w:t>
      </w:r>
      <w:r w:rsidR="00967D5B">
        <w:t>Rezortní metodiky pro hodnocení ekonomické efektivnosti projektů dopravních staveb</w:t>
      </w:r>
      <w:r w:rsidR="00D074D5" w:rsidRPr="00D074D5">
        <w:t xml:space="preserve"> (MD 201</w:t>
      </w:r>
      <w:r w:rsidR="00967D5B">
        <w:t>7</w:t>
      </w:r>
      <w:r w:rsidR="00D074D5" w:rsidRPr="00D074D5">
        <w:t>) a bude</w:t>
      </w:r>
      <w:r w:rsidR="00D074D5">
        <w:t xml:space="preserve"> </w:t>
      </w:r>
      <w:r>
        <w:t>zahrnovat aktualizace:</w:t>
      </w:r>
    </w:p>
    <w:p w:rsidR="00D62A7A" w:rsidRDefault="00D62A7A" w:rsidP="00387689">
      <w:pPr>
        <w:pStyle w:val="Odstavecseseznamem"/>
        <w:numPr>
          <w:ilvl w:val="0"/>
          <w:numId w:val="13"/>
        </w:numPr>
        <w:spacing w:line="259" w:lineRule="auto"/>
      </w:pPr>
      <w:r>
        <w:t xml:space="preserve">investičních nákladů </w:t>
      </w:r>
      <w:r w:rsidR="00DF115B">
        <w:t>celé řešené trati</w:t>
      </w:r>
    </w:p>
    <w:p w:rsidR="00507362" w:rsidRDefault="00D62A7A" w:rsidP="00387689">
      <w:pPr>
        <w:pStyle w:val="Odstavecseseznamem"/>
        <w:numPr>
          <w:ilvl w:val="0"/>
          <w:numId w:val="13"/>
        </w:numPr>
        <w:spacing w:line="259" w:lineRule="auto"/>
      </w:pPr>
      <w:r>
        <w:t>makroekonomických dat</w:t>
      </w:r>
    </w:p>
    <w:p w:rsidR="00967D5B" w:rsidRDefault="00967D5B" w:rsidP="00387689">
      <w:pPr>
        <w:pStyle w:val="Odstavecseseznamem"/>
        <w:numPr>
          <w:ilvl w:val="0"/>
          <w:numId w:val="13"/>
        </w:numPr>
        <w:spacing w:line="259" w:lineRule="auto"/>
      </w:pPr>
      <w:r>
        <w:t>způsobu výpočtu nákladů na provoz vlaků</w:t>
      </w:r>
      <w:r w:rsidR="00AD43DA">
        <w:t xml:space="preserve"> a externalit dopravy</w:t>
      </w:r>
    </w:p>
    <w:p w:rsidR="00D62A7A" w:rsidRDefault="003F7C85" w:rsidP="00387689">
      <w:pPr>
        <w:pStyle w:val="Odstavecseseznamem"/>
        <w:numPr>
          <w:ilvl w:val="0"/>
          <w:numId w:val="13"/>
        </w:numPr>
        <w:spacing w:line="259" w:lineRule="auto"/>
      </w:pPr>
      <w:r>
        <w:t>výpočtu zůstatkové hodnoty</w:t>
      </w:r>
      <w:r w:rsidR="000B788D">
        <w:t xml:space="preserve"> a</w:t>
      </w:r>
    </w:p>
    <w:p w:rsidR="00CC6A6A" w:rsidRDefault="00CC6A6A" w:rsidP="00387689">
      <w:pPr>
        <w:pStyle w:val="Odstavecseseznamem"/>
        <w:numPr>
          <w:ilvl w:val="0"/>
          <w:numId w:val="13"/>
        </w:numPr>
        <w:spacing w:line="259" w:lineRule="auto"/>
      </w:pPr>
      <w:r>
        <w:t>délky referenčního období</w:t>
      </w:r>
    </w:p>
    <w:p w:rsidR="00507362" w:rsidRDefault="006B11EA" w:rsidP="00D1606B">
      <w:pPr>
        <w:pStyle w:val="Nadpis1"/>
      </w:pPr>
      <w:bookmarkStart w:id="1" w:name="_Toc35357579"/>
      <w:r>
        <w:t xml:space="preserve">Kontext, </w:t>
      </w:r>
      <w:r w:rsidRPr="00D1606B">
        <w:t>lokalizace</w:t>
      </w:r>
      <w:r>
        <w:t xml:space="preserve"> a technické řešení projektu</w:t>
      </w:r>
      <w:bookmarkEnd w:id="1"/>
    </w:p>
    <w:p w:rsidR="006B11EA" w:rsidRDefault="006B11EA" w:rsidP="006B11EA">
      <w:pPr>
        <w:pStyle w:val="Nadpis2"/>
      </w:pPr>
      <w:bookmarkStart w:id="2" w:name="_Toc35357580"/>
      <w:r>
        <w:t>Cíle a varianty řešení studie prov</w:t>
      </w:r>
      <w:r w:rsidRPr="00FB14AC">
        <w:t>e</w:t>
      </w:r>
      <w:r>
        <w:t>ditelnosti</w:t>
      </w:r>
      <w:bookmarkEnd w:id="2"/>
    </w:p>
    <w:p w:rsidR="00387689" w:rsidRPr="00387689" w:rsidRDefault="00AD43DA" w:rsidP="00387689">
      <w:r w:rsidRPr="00CB0F15">
        <w:t xml:space="preserve">Studie </w:t>
      </w:r>
      <w:r w:rsidRPr="00387689">
        <w:t>řešila železniční propojení aglomerace města Brna východním směrem, především do Přerova, Ostravy, Olomouce a Zlína. Stávající napojení je umožněno v</w:t>
      </w:r>
      <w:r w:rsidR="00387689" w:rsidRPr="00387689">
        <w:t> </w:t>
      </w:r>
      <w:r w:rsidRPr="00387689">
        <w:t>úse</w:t>
      </w:r>
      <w:r w:rsidR="00387689" w:rsidRPr="00387689">
        <w:t>cích:</w:t>
      </w:r>
    </w:p>
    <w:p w:rsidR="00387689" w:rsidRPr="00387689" w:rsidRDefault="00AD43DA" w:rsidP="00387689">
      <w:pPr>
        <w:pStyle w:val="Odstavecseseznamem"/>
        <w:numPr>
          <w:ilvl w:val="0"/>
          <w:numId w:val="20"/>
        </w:numPr>
      </w:pPr>
      <w:r w:rsidRPr="00387689">
        <w:t>Brno hl.n. – Blažovice dvoukolejnou</w:t>
      </w:r>
      <w:r w:rsidR="00387689" w:rsidRPr="00387689">
        <w:t xml:space="preserve"> </w:t>
      </w:r>
      <w:r w:rsidRPr="00387689">
        <w:t xml:space="preserve">železniční tratí č. 340 (dle TTP č. 318 B) Veselí nad Moravou – Brno </w:t>
      </w:r>
    </w:p>
    <w:p w:rsidR="00387689" w:rsidRPr="00387689" w:rsidRDefault="00AD43DA" w:rsidP="00387689">
      <w:pPr>
        <w:pStyle w:val="Odstavecseseznamem"/>
        <w:numPr>
          <w:ilvl w:val="0"/>
          <w:numId w:val="20"/>
        </w:numPr>
      </w:pPr>
      <w:r w:rsidRPr="00387689">
        <w:t>Blažovice – Holubice jednokolejnou</w:t>
      </w:r>
      <w:r w:rsidR="00387689" w:rsidRPr="00387689">
        <w:t xml:space="preserve"> </w:t>
      </w:r>
      <w:r w:rsidRPr="00387689">
        <w:t xml:space="preserve">tratí dle TTP č. 315 </w:t>
      </w:r>
    </w:p>
    <w:p w:rsidR="00AD43DA" w:rsidRPr="00387689" w:rsidRDefault="00AD43DA" w:rsidP="00387689">
      <w:pPr>
        <w:pStyle w:val="Odstavecseseznamem"/>
        <w:numPr>
          <w:ilvl w:val="0"/>
          <w:numId w:val="20"/>
        </w:numPr>
      </w:pPr>
      <w:r w:rsidRPr="00387689">
        <w:t>Holubice – Přerov jednokolejnou tratí č. 300 (dle TTP č. 315 A a 305 G).</w:t>
      </w:r>
    </w:p>
    <w:p w:rsidR="00AD43DA" w:rsidRPr="00387689" w:rsidRDefault="00AD43DA" w:rsidP="00387689">
      <w:r w:rsidRPr="00387689">
        <w:t xml:space="preserve">Z hlediska Zákona o drahách jsou tratě vedeny jako dráha celostátní. </w:t>
      </w:r>
      <w:r w:rsidR="00387689" w:rsidRPr="00387689">
        <w:t xml:space="preserve">Celková délka tratě mezi žst. Přerov (vj. náv. VS v km 87,585) a Odb. Brno Černovice (vj. náv. 1VL v km 2,950) činí 75,167 km. Studie </w:t>
      </w:r>
      <w:r w:rsidR="00387689" w:rsidRPr="00387689">
        <w:lastRenderedPageBreak/>
        <w:t>proveditelnosti neřeší úsek Odb. Brno Černovice – Ponětovice (nová km 12,006 – 21,000). Tento úsek je součástí Železničního uzlu Brno (ŽUB), jehož realizace se předpokládala do r. 2025.</w:t>
      </w:r>
    </w:p>
    <w:p w:rsidR="006B11EA" w:rsidRDefault="006B11EA" w:rsidP="003108C3">
      <w:r>
        <w:t xml:space="preserve">Základními cíli </w:t>
      </w:r>
      <w:r w:rsidR="00AD43DA">
        <w:t>ve studii navrhovaných variant</w:t>
      </w:r>
      <w:r>
        <w:t xml:space="preserve"> jsou zejména: </w:t>
      </w:r>
    </w:p>
    <w:p w:rsidR="00967D5B" w:rsidRPr="00967D5B" w:rsidRDefault="00967D5B" w:rsidP="00387689">
      <w:pPr>
        <w:pStyle w:val="Odstavecseseznamem"/>
        <w:numPr>
          <w:ilvl w:val="0"/>
          <w:numId w:val="13"/>
        </w:numPr>
      </w:pPr>
      <w:r w:rsidRPr="00967D5B">
        <w:t>Výrazné zvýšení propustnosti tratě především dle Plánu dopravní obsluhy území ČR,</w:t>
      </w:r>
      <w:r>
        <w:t xml:space="preserve"> </w:t>
      </w:r>
      <w:r w:rsidRPr="00967D5B">
        <w:t>zpracovaného MD ČR pro období 2012 – 2016.</w:t>
      </w:r>
    </w:p>
    <w:p w:rsidR="00967D5B" w:rsidRPr="00967D5B" w:rsidRDefault="00967D5B" w:rsidP="00387689">
      <w:pPr>
        <w:pStyle w:val="Odstavecseseznamem"/>
        <w:numPr>
          <w:ilvl w:val="0"/>
          <w:numId w:val="13"/>
        </w:numPr>
      </w:pPr>
      <w:r w:rsidRPr="00967D5B">
        <w:t>Optimální využití tratě pro osobní i nákladní dopravu, zlepšení přestupních vazeb mezi</w:t>
      </w:r>
      <w:r>
        <w:t xml:space="preserve"> </w:t>
      </w:r>
      <w:r w:rsidRPr="00967D5B">
        <w:t>železniční, ale také autobusovou dopravou.</w:t>
      </w:r>
    </w:p>
    <w:p w:rsidR="00967D5B" w:rsidRPr="00967D5B" w:rsidRDefault="00967D5B" w:rsidP="00387689">
      <w:pPr>
        <w:pStyle w:val="Odstavecseseznamem"/>
        <w:numPr>
          <w:ilvl w:val="0"/>
          <w:numId w:val="13"/>
        </w:numPr>
      </w:pPr>
      <w:r w:rsidRPr="00967D5B">
        <w:t>Vhodnější obsluha území se zařazením do IDS JmK (rovnoměrné rozložení dopraven</w:t>
      </w:r>
      <w:r>
        <w:t xml:space="preserve"> </w:t>
      </w:r>
      <w:r w:rsidRPr="00967D5B">
        <w:t>a přesun nástupních bodů blíže k zástavbě).</w:t>
      </w:r>
    </w:p>
    <w:p w:rsidR="00967D5B" w:rsidRPr="00967D5B" w:rsidRDefault="00967D5B" w:rsidP="00387689">
      <w:pPr>
        <w:pStyle w:val="Odstavecseseznamem"/>
        <w:numPr>
          <w:ilvl w:val="0"/>
          <w:numId w:val="13"/>
        </w:numPr>
      </w:pPr>
      <w:r w:rsidRPr="00967D5B">
        <w:t>Dosažení technických parametrů pro danou kategorii tratě, především TSI.</w:t>
      </w:r>
    </w:p>
    <w:p w:rsidR="00967D5B" w:rsidRPr="00967D5B" w:rsidRDefault="00967D5B" w:rsidP="00387689">
      <w:pPr>
        <w:pStyle w:val="Odstavecseseznamem"/>
        <w:numPr>
          <w:ilvl w:val="0"/>
          <w:numId w:val="13"/>
        </w:numPr>
      </w:pPr>
      <w:r w:rsidRPr="00967D5B">
        <w:t>Vytvoření podmínek pro konkurenceschopnost železnice pro spojení krajských měst</w:t>
      </w:r>
      <w:r>
        <w:t xml:space="preserve"> </w:t>
      </w:r>
      <w:r w:rsidRPr="00967D5B">
        <w:t>Brna, Ostravy, Olomouce a Zlína (tj. zkrácení cestovních dob, navýšení počtu spojů)</w:t>
      </w:r>
    </w:p>
    <w:p w:rsidR="00967D5B" w:rsidRPr="00967D5B" w:rsidRDefault="00967D5B" w:rsidP="00387689">
      <w:pPr>
        <w:pStyle w:val="Odstavecseseznamem"/>
        <w:numPr>
          <w:ilvl w:val="0"/>
          <w:numId w:val="13"/>
        </w:numPr>
      </w:pPr>
      <w:r w:rsidRPr="00967D5B">
        <w:t>Zvýšení bezpečnosti železniční dopravy (tj. peronizace, odstranění úrovňových křížení</w:t>
      </w:r>
      <w:r>
        <w:t xml:space="preserve"> </w:t>
      </w:r>
      <w:r w:rsidRPr="00967D5B">
        <w:t>s pozemními komunikacemi, nasazení zabezpečovacího zařízení 3. kategorie, příp. ETCS,</w:t>
      </w:r>
      <w:r>
        <w:t xml:space="preserve"> </w:t>
      </w:r>
      <w:r w:rsidRPr="00967D5B">
        <w:t>zavedení informačního systému a dálkového řízení železniční infrastruktury)</w:t>
      </w:r>
    </w:p>
    <w:p w:rsidR="00967D5B" w:rsidRDefault="00967D5B" w:rsidP="00387689">
      <w:pPr>
        <w:pStyle w:val="Odstavecseseznamem"/>
        <w:numPr>
          <w:ilvl w:val="0"/>
          <w:numId w:val="13"/>
        </w:numPr>
      </w:pPr>
      <w:r w:rsidRPr="00967D5B">
        <w:t>Dosažení systémových jízdních dob</w:t>
      </w:r>
      <w:r>
        <w:t xml:space="preserve"> </w:t>
      </w:r>
    </w:p>
    <w:p w:rsidR="00967D5B" w:rsidRDefault="00967D5B" w:rsidP="00387689">
      <w:pPr>
        <w:pStyle w:val="Odstavecseseznamem"/>
        <w:numPr>
          <w:ilvl w:val="0"/>
          <w:numId w:val="13"/>
        </w:numPr>
      </w:pPr>
      <w:r w:rsidRPr="00967D5B">
        <w:t>Splnění požadavků dle Nařízení EU č. 1315/2013 na hlavní železniční síť TEN‐T pro</w:t>
      </w:r>
      <w:r>
        <w:t xml:space="preserve"> </w:t>
      </w:r>
      <w:r w:rsidRPr="00967D5B">
        <w:t>osobní dopravu (Baltic – Adriatic Core Network TEN‐T Corridor)</w:t>
      </w:r>
    </w:p>
    <w:p w:rsidR="006B11EA" w:rsidRDefault="006B11EA" w:rsidP="00F73F57">
      <w:pPr>
        <w:autoSpaceDE w:val="0"/>
        <w:autoSpaceDN w:val="0"/>
        <w:adjustRightInd w:val="0"/>
        <w:spacing w:after="0"/>
      </w:pPr>
    </w:p>
    <w:p w:rsidR="00F73F57" w:rsidRDefault="00F73F57" w:rsidP="003108C3">
      <w:r>
        <w:t xml:space="preserve">V průběhu zpracování byly jak zadané, tak v průběhu projednávání předložené varianty postupně prověřovány, upravovány a vylučovány, až </w:t>
      </w:r>
      <w:r w:rsidR="00DD4AB4">
        <w:t>vznikl</w:t>
      </w:r>
      <w:r>
        <w:t xml:space="preserve"> finální soubor </w:t>
      </w:r>
      <w:r w:rsidR="00DE4FD2">
        <w:t xml:space="preserve">15 </w:t>
      </w:r>
      <w:r>
        <w:t>variant</w:t>
      </w:r>
      <w:r w:rsidR="00AD43DA">
        <w:t>.</w:t>
      </w:r>
      <w:r w:rsidR="00DD4AB4">
        <w:t xml:space="preserve"> Z těchto 15 variant</w:t>
      </w:r>
      <w:r w:rsidR="00DE4FD2">
        <w:t xml:space="preserve"> bylo </w:t>
      </w:r>
      <w:r w:rsidR="00DD4AB4">
        <w:t xml:space="preserve">ekonomicky </w:t>
      </w:r>
      <w:r w:rsidR="00DE4FD2">
        <w:t>prověřeno následujících 7 variant:</w:t>
      </w:r>
      <w:r>
        <w:t xml:space="preserve"> </w:t>
      </w:r>
    </w:p>
    <w:p w:rsidR="00F73F57" w:rsidRDefault="00F73F57" w:rsidP="00967D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</w:pPr>
      <w:r w:rsidRPr="00967D5B">
        <w:rPr>
          <w:b/>
        </w:rPr>
        <w:t xml:space="preserve">Varianta </w:t>
      </w:r>
      <w:r w:rsidR="00967D5B" w:rsidRPr="00967D5B">
        <w:rPr>
          <w:b/>
        </w:rPr>
        <w:t>O2</w:t>
      </w:r>
      <w:r w:rsidR="00967D5B">
        <w:rPr>
          <w:b/>
        </w:rPr>
        <w:t>+</w:t>
      </w:r>
      <w:r w:rsidRPr="00F73F57">
        <w:t xml:space="preserve"> </w:t>
      </w:r>
      <w:r>
        <w:t xml:space="preserve">– </w:t>
      </w:r>
      <w:r w:rsidR="00967D5B">
        <w:t>Varianta uvažuje s investičními opatřeními pro maximalizaci traťové rychlosti s lokálními přeložkami trati až do hodnoty vmax = 160 km/h. Dále uvažuje s odstraněním většiny propadů rychlosti na méně než 100 – 120 km/h a s úplným zdvoukolejněním trati.</w:t>
      </w:r>
      <w:r>
        <w:t xml:space="preserve"> </w:t>
      </w:r>
    </w:p>
    <w:p w:rsidR="00F73F57" w:rsidRDefault="00F73F57" w:rsidP="004C256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</w:pPr>
      <w:r w:rsidRPr="004C256B">
        <w:rPr>
          <w:b/>
        </w:rPr>
        <w:t xml:space="preserve">Varianta </w:t>
      </w:r>
      <w:r w:rsidR="00967D5B" w:rsidRPr="004C256B">
        <w:rPr>
          <w:b/>
        </w:rPr>
        <w:t>M1</w:t>
      </w:r>
      <w:r w:rsidRPr="00F73F57">
        <w:t xml:space="preserve"> </w:t>
      </w:r>
      <w:r>
        <w:t xml:space="preserve">– </w:t>
      </w:r>
      <w:r w:rsidR="004C256B">
        <w:t>Varianta uvažuje s investičními opatřeními pro dosažení souvislé traťové rychlosti vmax = 160 km/h a úplným zdvoukolejněním trati.</w:t>
      </w:r>
    </w:p>
    <w:p w:rsidR="00F73F57" w:rsidRDefault="00F73F57" w:rsidP="004C256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</w:pPr>
      <w:r w:rsidRPr="004C256B">
        <w:rPr>
          <w:b/>
        </w:rPr>
        <w:t xml:space="preserve">Varianta </w:t>
      </w:r>
      <w:r w:rsidR="004C256B">
        <w:rPr>
          <w:b/>
        </w:rPr>
        <w:t>M2</w:t>
      </w:r>
      <w:r w:rsidRPr="00F73F57">
        <w:t xml:space="preserve"> </w:t>
      </w:r>
      <w:r>
        <w:t xml:space="preserve">– </w:t>
      </w:r>
      <w:r w:rsidR="004C256B">
        <w:t>Varianta uvažuje s investičními opatřeními pro dosažení souvislé traťové rychlosti vmax = 200 km/h a úplným zdvoukolejněním trati.</w:t>
      </w:r>
    </w:p>
    <w:p w:rsidR="00F73F57" w:rsidRDefault="00F73F57" w:rsidP="004C256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</w:pPr>
      <w:r w:rsidRPr="004C256B">
        <w:rPr>
          <w:b/>
        </w:rPr>
        <w:t xml:space="preserve">Varianta </w:t>
      </w:r>
      <w:r w:rsidR="004C256B" w:rsidRPr="004C256B">
        <w:rPr>
          <w:b/>
        </w:rPr>
        <w:t>N1</w:t>
      </w:r>
      <w:r w:rsidRPr="00F73F57">
        <w:t xml:space="preserve"> </w:t>
      </w:r>
      <w:r>
        <w:t xml:space="preserve">– </w:t>
      </w:r>
      <w:r w:rsidR="004C256B">
        <w:t>Varianta uvažuje výstavbu dvoukolejné vysokorychlostní tratě ve stopě dle Koordinační studie VRT (IKP CE, 2003) a optimalizaci stávající tratě pro rychlost 100 až 160 km/h s dílčím zdvoukolejněním.</w:t>
      </w:r>
    </w:p>
    <w:p w:rsidR="00F73F57" w:rsidRDefault="00F73F57" w:rsidP="004C256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</w:pPr>
      <w:r w:rsidRPr="004C256B">
        <w:rPr>
          <w:b/>
        </w:rPr>
        <w:t xml:space="preserve">Varianta </w:t>
      </w:r>
      <w:r w:rsidR="004C256B" w:rsidRPr="004C256B">
        <w:rPr>
          <w:b/>
        </w:rPr>
        <w:t>N2</w:t>
      </w:r>
      <w:r w:rsidRPr="00F73F57">
        <w:t xml:space="preserve"> </w:t>
      </w:r>
      <w:r>
        <w:t xml:space="preserve">– </w:t>
      </w:r>
      <w:r w:rsidR="004C256B">
        <w:t>Varianta uvažuje výstavbu dvoukolejné vysokorychlostní trati v přibližném souběhu s dálnicí D1 (Blažovice – Kojetín), dále navazující na uvažovaný obchvat žst. Přerov dle Zásad územního rozvoje kraje a optimalizaci stávající tratě pro rychlost 100 až 160 km/h s dílčím zdvoukolejněním.</w:t>
      </w:r>
    </w:p>
    <w:p w:rsidR="00F73F57" w:rsidRDefault="00F73F57" w:rsidP="004C256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</w:pPr>
      <w:r w:rsidRPr="004C256B">
        <w:rPr>
          <w:b/>
        </w:rPr>
        <w:t xml:space="preserve">Varianta </w:t>
      </w:r>
      <w:r w:rsidR="004C256B" w:rsidRPr="004C256B">
        <w:rPr>
          <w:b/>
        </w:rPr>
        <w:t>K3</w:t>
      </w:r>
      <w:r w:rsidRPr="00F73F57">
        <w:t xml:space="preserve"> </w:t>
      </w:r>
      <w:r>
        <w:t xml:space="preserve">– </w:t>
      </w:r>
      <w:r w:rsidR="004C256B">
        <w:t>Varianta shodná s variantou M2 (investiční opatření pro dosažení souvislé traťové rychlosti vmax = 200 km/h a úplným zdvoukolejnění trati), pouze pro snížení investiční náročnosti je mezi obcemi Vyškov na Moravě – Křižanovice u Vyškova využito stávající železniční těleso, které však díky zástavbě umožňuje návrh vedení trati pouze na vmax = 105 km/h. Vzhledem k tomu, že ve Vyškově všechny vlaky (z obou směrů) zastavují (kromě Ex 30), je nutné prověřit možnou proveditelnost této varianty.</w:t>
      </w:r>
    </w:p>
    <w:p w:rsidR="00F73F57" w:rsidRDefault="004C256B" w:rsidP="004C256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284"/>
      </w:pPr>
      <w:r w:rsidRPr="004C256B">
        <w:rPr>
          <w:b/>
        </w:rPr>
        <w:t xml:space="preserve">Varianta S5 </w:t>
      </w:r>
      <w:r w:rsidR="00F73F57">
        <w:t xml:space="preserve">– </w:t>
      </w:r>
      <w:r>
        <w:t>Varianta uvažuje kombinaci výše uvedených variant. V úseku Brno – Vyškov na Moravě je uvažována varianta N1, v úseku Vyškov na Moravě – Přerov varianta M2. Tato varianta může v budoucnu suplovat VRT v úseku Vyškov – Přerov. V úseku Brno – Vyškov na Moravě bude sice trať VRT navržena pro vmax = 350 km/h, ale do r. 2040 bude provozovaná jen s vmax = 200 km/h. Bude však již připravena jako propoj pro VRT Praha – Brno a Přerov – Bohumín.</w:t>
      </w:r>
    </w:p>
    <w:p w:rsidR="00CE2A4B" w:rsidRDefault="00B37374" w:rsidP="003108C3">
      <w:r>
        <w:t xml:space="preserve">Centrální komisí Ministerstva dopravy byla dne </w:t>
      </w:r>
      <w:r w:rsidR="00F4141F">
        <w:t>16</w:t>
      </w:r>
      <w:r w:rsidR="004D4960">
        <w:t>. 10. 2015</w:t>
      </w:r>
      <w:r>
        <w:t xml:space="preserve"> schválena variant</w:t>
      </w:r>
      <w:r w:rsidR="00F4141F">
        <w:t>a</w:t>
      </w:r>
      <w:r>
        <w:t xml:space="preserve"> označená jako </w:t>
      </w:r>
      <w:r w:rsidR="00F4141F">
        <w:t>M2</w:t>
      </w:r>
      <w:r>
        <w:t xml:space="preserve"> (</w:t>
      </w:r>
      <w:r w:rsidR="004D4960">
        <w:t>schvalovací</w:t>
      </w:r>
      <w:r>
        <w:t xml:space="preserve"> protokol </w:t>
      </w:r>
      <w:r w:rsidR="004D4960">
        <w:t>č. j.</w:t>
      </w:r>
      <w:r>
        <w:t xml:space="preserve"> </w:t>
      </w:r>
      <w:r w:rsidR="00F4141F">
        <w:t>43395</w:t>
      </w:r>
      <w:r>
        <w:t>-SŽDC-O7</w:t>
      </w:r>
      <w:r w:rsidR="00F4141F">
        <w:t>)</w:t>
      </w:r>
      <w:r>
        <w:t>.</w:t>
      </w:r>
      <w:r w:rsidR="00AD43DA">
        <w:t xml:space="preserve"> Tato varianta měla být podle požadavku Ministerstva dopravy rozpracována do záměru projektu.</w:t>
      </w:r>
    </w:p>
    <w:p w:rsidR="009242CA" w:rsidRDefault="00636A15" w:rsidP="0051365D">
      <w:pPr>
        <w:pStyle w:val="Nadpis2"/>
      </w:pPr>
      <w:bookmarkStart w:id="3" w:name="_Toc35357581"/>
      <w:r>
        <w:lastRenderedPageBreak/>
        <w:t>Technické řešení</w:t>
      </w:r>
      <w:bookmarkEnd w:id="3"/>
    </w:p>
    <w:p w:rsidR="0051365D" w:rsidRDefault="0051365D" w:rsidP="00507362">
      <w:pPr>
        <w:autoSpaceDE w:val="0"/>
        <w:autoSpaceDN w:val="0"/>
        <w:adjustRightInd w:val="0"/>
        <w:spacing w:after="0"/>
      </w:pPr>
      <w:r>
        <w:t xml:space="preserve">Východiskem pro technické řešení </w:t>
      </w:r>
      <w:r w:rsidRPr="0051365D">
        <w:t xml:space="preserve">je varianta </w:t>
      </w:r>
      <w:r w:rsidR="00F4141F">
        <w:t>M2</w:t>
      </w:r>
      <w:r w:rsidRPr="0051365D">
        <w:t xml:space="preserve"> zpracované SP.</w:t>
      </w:r>
      <w:r w:rsidR="00EE06CF">
        <w:t xml:space="preserve"> Detailně je technické řešení popsáno v rámci záměru projektu.</w:t>
      </w:r>
    </w:p>
    <w:p w:rsidR="00636A15" w:rsidRDefault="00636A15" w:rsidP="0051365D">
      <w:pPr>
        <w:pStyle w:val="Nadpis3"/>
      </w:pPr>
      <w:bookmarkStart w:id="4" w:name="_Toc35357582"/>
      <w:r>
        <w:t xml:space="preserve">Varianta </w:t>
      </w:r>
      <w:r w:rsidR="00271510">
        <w:t>M2</w:t>
      </w:r>
      <w:r>
        <w:t xml:space="preserve"> </w:t>
      </w:r>
      <w:r w:rsidR="0051365D">
        <w:t>dle studie proveditelnosti</w:t>
      </w:r>
      <w:bookmarkEnd w:id="4"/>
    </w:p>
    <w:p w:rsidR="00FB69A2" w:rsidRDefault="00FB69A2" w:rsidP="003108C3">
      <w:r>
        <w:t xml:space="preserve">Východiskem pro technické zpracování varianty je zadána maximální traťová rychlost 200 km/h. Při návrhu technického řešení bylo sledováno především dosažení homogenizace traťových rychlostí, která je nutná pro dosažení výrazných úspor jízdní doby. Nejvyšší návrhová rychlost 200 km/h je dosažena v souvislém úseku Ponětovice ‐ Přerov. </w:t>
      </w:r>
    </w:p>
    <w:p w:rsidR="00FB69A2" w:rsidRPr="00767F94" w:rsidRDefault="00FB69A2" w:rsidP="00767F94">
      <w:r w:rsidRPr="00767F94">
        <w:t>Trasovací prvky pro dosažení rychlosti 200 km/h byly stanoveny následovně:</w:t>
      </w:r>
    </w:p>
    <w:p w:rsidR="00FB69A2" w:rsidRPr="00767F94" w:rsidRDefault="00FB69A2" w:rsidP="00387689">
      <w:pPr>
        <w:pStyle w:val="Odstavecseseznamem"/>
        <w:numPr>
          <w:ilvl w:val="0"/>
          <w:numId w:val="12"/>
        </w:numPr>
      </w:pPr>
      <w:r w:rsidRPr="00767F94">
        <w:t>využití maximálního nedostatku převýšení do I=130mm bylo navrženo v úsecích, kde si to terénní podmínky nebo průchod poblíž zastavěných částí obce vynutí (rmin = 2060m, D=107mm, I=123mm). To se týká úseků Brno‐Slatina ‐ Blažovice, Vyškov ‐ Měrovice nad Hanou.</w:t>
      </w:r>
    </w:p>
    <w:p w:rsidR="0051365D" w:rsidRDefault="00FB69A2" w:rsidP="00387689">
      <w:pPr>
        <w:pStyle w:val="Odstavecseseznamem"/>
        <w:numPr>
          <w:ilvl w:val="0"/>
          <w:numId w:val="12"/>
        </w:numPr>
      </w:pPr>
      <w:r w:rsidRPr="00767F94">
        <w:t>využití mezní hodnoty nedostatku převýšení do I=100mm je navrženo v ostatních úsecích. Při souvislé přeložce trati mezi Holubicemi a Vyškovem trasa převážně vyhoví i pro standardní hodnotu nedostatku převýšení, se současným využitím mezní hodnoty přebytku převýšení pro nákladní vlaky.</w:t>
      </w:r>
    </w:p>
    <w:p w:rsidR="006B11EA" w:rsidRDefault="006B11EA" w:rsidP="006B11EA">
      <w:pPr>
        <w:pStyle w:val="Titulek"/>
        <w:keepNext/>
      </w:pPr>
      <w:r>
        <w:t xml:space="preserve">Obrázek </w:t>
      </w:r>
      <w:r w:rsidR="00C60141">
        <w:rPr>
          <w:noProof/>
        </w:rPr>
        <w:fldChar w:fldCharType="begin"/>
      </w:r>
      <w:r w:rsidR="00C60141">
        <w:rPr>
          <w:noProof/>
        </w:rPr>
        <w:instrText xml:space="preserve"> SEQ Obrázek \* ARABIC </w:instrText>
      </w:r>
      <w:r w:rsidR="00C60141">
        <w:rPr>
          <w:noProof/>
        </w:rPr>
        <w:fldChar w:fldCharType="separate"/>
      </w:r>
      <w:r w:rsidR="00D422A7">
        <w:rPr>
          <w:noProof/>
        </w:rPr>
        <w:t>1</w:t>
      </w:r>
      <w:r w:rsidR="00C60141">
        <w:rPr>
          <w:noProof/>
        </w:rPr>
        <w:fldChar w:fldCharType="end"/>
      </w:r>
      <w:r w:rsidR="00767F94">
        <w:t xml:space="preserve"> Schéma řešení varianty M2</w:t>
      </w:r>
    </w:p>
    <w:p w:rsidR="006B11EA" w:rsidRDefault="00271510" w:rsidP="006B11EA">
      <w:pPr>
        <w:keepNext/>
        <w:autoSpaceDE w:val="0"/>
        <w:autoSpaceDN w:val="0"/>
        <w:adjustRightInd w:val="0"/>
        <w:spacing w:after="0"/>
      </w:pPr>
      <w:r w:rsidRPr="00271510">
        <w:rPr>
          <w:noProof/>
          <w:lang w:eastAsia="cs-CZ"/>
        </w:rPr>
        <w:drawing>
          <wp:inline distT="0" distB="0" distL="0" distR="0">
            <wp:extent cx="5760720" cy="129715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9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1EA" w:rsidRDefault="006B11EA" w:rsidP="006B11EA">
      <w:pPr>
        <w:pStyle w:val="Titulek"/>
        <w:jc w:val="right"/>
      </w:pPr>
      <w:r>
        <w:t>Zdroj: Studie proveditelnosti „</w:t>
      </w:r>
      <w:r w:rsidRPr="006B11EA">
        <w:t xml:space="preserve">Modernizace trati </w:t>
      </w:r>
      <w:r w:rsidR="00A93AA8">
        <w:t>Brno - Přerov</w:t>
      </w:r>
      <w:r>
        <w:t>“</w:t>
      </w:r>
    </w:p>
    <w:p w:rsidR="006764A3" w:rsidRDefault="006764A3" w:rsidP="006764A3">
      <w:pPr>
        <w:pStyle w:val="Nadpis3"/>
        <w:tabs>
          <w:tab w:val="left" w:pos="2730"/>
        </w:tabs>
      </w:pPr>
      <w:bookmarkStart w:id="5" w:name="_Toc35357583"/>
      <w:bookmarkStart w:id="6" w:name="_Toc481053044"/>
      <w:r>
        <w:t>Varianta bez projektu</w:t>
      </w:r>
      <w:bookmarkEnd w:id="5"/>
      <w:r>
        <w:tab/>
      </w:r>
    </w:p>
    <w:p w:rsidR="006764A3" w:rsidRPr="006764A3" w:rsidRDefault="006764A3" w:rsidP="00DA441F">
      <w:r>
        <w:t xml:space="preserve">Není zatížena během své existence náklady, které mají investiční charakter. Jedná se o variantu, která slouží pro účely srovnání v ekonomickém hodnocení a modeluje vývoj traťového úseku v případě, že nedojde k navrhované investici. Zařízení je udržováno v provozu v režimu běžné nebo zvýšené údržby a případný zásah do součástí infrastruktury má charakter pouze opravy. Stav infrastruktury nevede ke zhoršování propustnosti traťového úseku a umožňuje udržení stávajícího počtu vlaků do konce hodnoticího období. </w:t>
      </w:r>
    </w:p>
    <w:p w:rsidR="002E6B5A" w:rsidRDefault="002E6B5A" w:rsidP="00D62A7A">
      <w:pPr>
        <w:pStyle w:val="Nadpis2"/>
      </w:pPr>
      <w:bookmarkStart w:id="7" w:name="_Toc35357584"/>
      <w:bookmarkEnd w:id="6"/>
      <w:r>
        <w:t xml:space="preserve">Analýza </w:t>
      </w:r>
      <w:r w:rsidR="006672FE">
        <w:t xml:space="preserve">dopravy a </w:t>
      </w:r>
      <w:r>
        <w:t>přepravních vztahů</w:t>
      </w:r>
      <w:bookmarkEnd w:id="7"/>
    </w:p>
    <w:p w:rsidR="006672FE" w:rsidRDefault="00F86E42" w:rsidP="00D62A7A">
      <w:pPr>
        <w:pStyle w:val="Nadpis3"/>
      </w:pPr>
      <w:bookmarkStart w:id="8" w:name="_Toc35357585"/>
      <w:r>
        <w:t>Výchozí</w:t>
      </w:r>
      <w:r w:rsidR="006672FE">
        <w:t xml:space="preserve"> nabídka osobní </w:t>
      </w:r>
      <w:r w:rsidR="007A51E1">
        <w:t xml:space="preserve">a nákladní </w:t>
      </w:r>
      <w:r w:rsidR="006672FE">
        <w:t>dopravy</w:t>
      </w:r>
      <w:r>
        <w:t>, rok 2013</w:t>
      </w:r>
      <w:bookmarkEnd w:id="8"/>
    </w:p>
    <w:p w:rsidR="00A8069B" w:rsidRPr="003108C3" w:rsidRDefault="00A8069B" w:rsidP="003108C3">
      <w:pPr>
        <w:rPr>
          <w:b/>
        </w:rPr>
      </w:pPr>
      <w:r w:rsidRPr="003108C3">
        <w:rPr>
          <w:b/>
        </w:rPr>
        <w:t>Dálková doprava</w:t>
      </w:r>
    </w:p>
    <w:p w:rsidR="00A8069B" w:rsidRPr="00CC1DA3" w:rsidRDefault="00A8069B" w:rsidP="00DA441F">
      <w:r w:rsidRPr="00CC1DA3">
        <w:t>Co se týče dálkové dopravy, jsou rozhodující dvě relace a to Bohumín – Brno a (Jeseník/Šumperk) Olomouc – Brno. Relace Bohumín – Brno nabízí hodinový takt. Na trati zastavuje ve Vyškově na Moravě a Kojetíně, jinak jen z dopravních důvodů. Délka souprav je zpravidla 7 vozů ale v špičce se přidávají ještě dva vozy. Relace (Jeseník/Šumperk) Olomouc – Brno je tvořena denní nabídkou sedmi</w:t>
      </w:r>
      <w:r w:rsidR="00CC1DA3" w:rsidRPr="00CC1DA3">
        <w:t xml:space="preserve"> </w:t>
      </w:r>
      <w:r w:rsidRPr="00CC1DA3">
        <w:t>rychlíků a jednoho spěšného vlaku ve směru Olomouc – Brno a osmi rychlíků ve směru Brno – Olomouc.</w:t>
      </w:r>
    </w:p>
    <w:p w:rsidR="006672FE" w:rsidRPr="00CC1DA3" w:rsidRDefault="00A8069B" w:rsidP="00DA441F">
      <w:r w:rsidRPr="00CC1DA3">
        <w:t>Následné vlaky jsou vedeny ve dvouhodinovém taktu. Vlaky relace Brno – Olomouc (Jeseník) – Brno zastavují</w:t>
      </w:r>
      <w:r w:rsidR="00CC1DA3" w:rsidRPr="00CC1DA3">
        <w:t xml:space="preserve"> </w:t>
      </w:r>
      <w:r w:rsidRPr="00CC1DA3">
        <w:t>pro výstup a nástup cestujících ve stanicích Nezamyslice, Ivanovice n.</w:t>
      </w:r>
      <w:r w:rsidR="006104C4">
        <w:t xml:space="preserve"> </w:t>
      </w:r>
      <w:r w:rsidRPr="00CC1DA3">
        <w:t>H. a Vyškov na Mor. Další zastavení</w:t>
      </w:r>
      <w:r w:rsidR="00CC1DA3" w:rsidRPr="00CC1DA3">
        <w:t xml:space="preserve"> </w:t>
      </w:r>
      <w:r w:rsidRPr="00CC1DA3">
        <w:t>rychlíků jsou organizována pouze z důvodů křižování vlaků a změny sledu vlaku (dopravní důvody). Vlaky</w:t>
      </w:r>
      <w:r w:rsidR="00CC1DA3" w:rsidRPr="00CC1DA3">
        <w:t xml:space="preserve"> </w:t>
      </w:r>
      <w:r w:rsidRPr="00CC1DA3">
        <w:t xml:space="preserve">ve směru Olomouc – Brno jsou vedeny přes Křenovice </w:t>
      </w:r>
      <w:r w:rsidR="006104C4" w:rsidRPr="00CC1DA3">
        <w:t>h. n.</w:t>
      </w:r>
      <w:r w:rsidRPr="00CC1DA3">
        <w:t xml:space="preserve"> V opačném směru Brno – Olomouc jsou vedeny</w:t>
      </w:r>
      <w:r w:rsidR="00CC1DA3" w:rsidRPr="00CC1DA3">
        <w:t xml:space="preserve"> </w:t>
      </w:r>
      <w:r w:rsidRPr="00CC1DA3">
        <w:t>přes Blažovice. Jeden rychlík ve směru Brno – Olomouc – Jeseník a jeden spěšný vlak ve směru Olomouc jsou</w:t>
      </w:r>
      <w:r w:rsidR="00CC1DA3" w:rsidRPr="00CC1DA3">
        <w:t xml:space="preserve"> </w:t>
      </w:r>
      <w:r w:rsidRPr="00CC1DA3">
        <w:t xml:space="preserve">vedeny úvratí přes Brno‐Židenice. Důvodem uvedené organizace </w:t>
      </w:r>
      <w:r w:rsidRPr="00CC1DA3">
        <w:lastRenderedPageBreak/>
        <w:t>dopravy je nedostatečná kapacita</w:t>
      </w:r>
      <w:r w:rsidR="00CC1DA3" w:rsidRPr="00CC1DA3">
        <w:t xml:space="preserve"> </w:t>
      </w:r>
      <w:r w:rsidRPr="00CC1DA3">
        <w:t xml:space="preserve">jednokolejného úseku Brno </w:t>
      </w:r>
      <w:r w:rsidR="006104C4" w:rsidRPr="00CC1DA3">
        <w:t>hl. n.</w:t>
      </w:r>
      <w:r w:rsidRPr="00CC1DA3">
        <w:t xml:space="preserve"> – </w:t>
      </w:r>
      <w:r w:rsidR="006104C4" w:rsidRPr="00CC1DA3">
        <w:t>Odb. Brno</w:t>
      </w:r>
      <w:r w:rsidRPr="00CC1DA3">
        <w:t>‐Černovice (Komárovské spojky) v době dopravní špičky, kdy</w:t>
      </w:r>
      <w:r w:rsidR="00CC1DA3" w:rsidRPr="00CC1DA3">
        <w:t xml:space="preserve"> </w:t>
      </w:r>
      <w:r w:rsidRPr="00CC1DA3">
        <w:t xml:space="preserve">jednokolejná trať Brno </w:t>
      </w:r>
      <w:r w:rsidR="006104C4" w:rsidRPr="00CC1DA3">
        <w:t>hl. n.</w:t>
      </w:r>
      <w:r w:rsidRPr="00CC1DA3">
        <w:t xml:space="preserve"> – Křenovice </w:t>
      </w:r>
      <w:r w:rsidR="006104C4" w:rsidRPr="00CC1DA3">
        <w:t>h. n.</w:t>
      </w:r>
      <w:r w:rsidRPr="00CC1DA3">
        <w:t xml:space="preserve"> – Holubice a trať Brno </w:t>
      </w:r>
      <w:r w:rsidR="006104C4" w:rsidRPr="00CC1DA3">
        <w:t>hl. n.</w:t>
      </w:r>
      <w:r w:rsidRPr="00CC1DA3">
        <w:t xml:space="preserve"> – </w:t>
      </w:r>
      <w:r w:rsidR="006104C4" w:rsidRPr="00CC1DA3">
        <w:t>Odb. Brno</w:t>
      </w:r>
      <w:r w:rsidRPr="00CC1DA3">
        <w:t>‐Židenice (úvrať) –</w:t>
      </w:r>
      <w:r w:rsidR="00CC1DA3" w:rsidRPr="00CC1DA3">
        <w:t xml:space="preserve"> </w:t>
      </w:r>
      <w:r w:rsidR="006104C4" w:rsidRPr="00CC1DA3">
        <w:t>Odb. Brno</w:t>
      </w:r>
      <w:r w:rsidRPr="00CC1DA3">
        <w:t xml:space="preserve">‐Černovice nahrazují chybějící druhou traťovou kolej v úseku Brno </w:t>
      </w:r>
      <w:r w:rsidR="006104C4" w:rsidRPr="00CC1DA3">
        <w:t>hl. n.</w:t>
      </w:r>
      <w:r w:rsidRPr="00CC1DA3">
        <w:t xml:space="preserve"> – </w:t>
      </w:r>
      <w:r w:rsidR="006104C4" w:rsidRPr="00CC1DA3">
        <w:t>Odb. Brno</w:t>
      </w:r>
      <w:r w:rsidRPr="00CC1DA3">
        <w:t>‐Černovice. Vlaky</w:t>
      </w:r>
      <w:r w:rsidR="00CC1DA3" w:rsidRPr="00CC1DA3">
        <w:t xml:space="preserve"> </w:t>
      </w:r>
      <w:r w:rsidRPr="00CC1DA3">
        <w:t>relace Brno – Olomouc (Šumperk/Jeseník) – Brno je vedeno zpravidla v sestavě o pěti vozech, v době přepravní</w:t>
      </w:r>
      <w:r w:rsidR="00CC1DA3" w:rsidRPr="00CC1DA3">
        <w:t xml:space="preserve"> </w:t>
      </w:r>
      <w:r w:rsidRPr="00CC1DA3">
        <w:t>špičky jsou soupravy posíleny až na devět vozů. Dálková osobní doprava je provozována v rámci závazku</w:t>
      </w:r>
      <w:r w:rsidR="00CC1DA3" w:rsidRPr="00CC1DA3">
        <w:t xml:space="preserve"> </w:t>
      </w:r>
      <w:r w:rsidRPr="00CC1DA3">
        <w:t>veřejné služby, objednávku dálkové dopravy provádí Ministerstvo dopravy.</w:t>
      </w:r>
    </w:p>
    <w:p w:rsidR="00A8069B" w:rsidRPr="003108C3" w:rsidRDefault="00A8069B" w:rsidP="003108C3">
      <w:pPr>
        <w:rPr>
          <w:b/>
        </w:rPr>
      </w:pPr>
      <w:r w:rsidRPr="003108C3">
        <w:rPr>
          <w:b/>
        </w:rPr>
        <w:t>Regionální doprava</w:t>
      </w:r>
    </w:p>
    <w:p w:rsidR="00A8069B" w:rsidRPr="00CC1DA3" w:rsidRDefault="00A8069B" w:rsidP="003108C3">
      <w:r w:rsidRPr="00CC1DA3">
        <w:t>Rychlíková doprava je doplněna nabídkou rychlé regionální dopravy spěšnými vlaky. V úseku Kojetín –</w:t>
      </w:r>
      <w:r w:rsidR="00CC1DA3">
        <w:t xml:space="preserve"> </w:t>
      </w:r>
      <w:r w:rsidRPr="00CC1DA3">
        <w:t>Brno je nabídka tvořena pouze jednotlivými vlaky. Úsekem Blažovice – Brno spěšné vlaky Veselí n. Mor. – Brno</w:t>
      </w:r>
      <w:r w:rsidR="00CC1DA3">
        <w:t xml:space="preserve"> </w:t>
      </w:r>
      <w:r w:rsidRPr="00CC1DA3">
        <w:t>tranzitují bez zastavení. Regionální osobní dopravu včetně spěšných vlaků objednávají krajské úřady. Trať</w:t>
      </w:r>
      <w:r w:rsidR="00CC1DA3">
        <w:t xml:space="preserve"> </w:t>
      </w:r>
      <w:r w:rsidRPr="00CC1DA3">
        <w:t xml:space="preserve">Přerov – Brno je územně rozdělena mezi Olomoucký a Jihomoravský kraj. Úsek Brno – Chvalkovice </w:t>
      </w:r>
      <w:r w:rsidR="006104C4" w:rsidRPr="00CC1DA3">
        <w:t>n. H</w:t>
      </w:r>
      <w:r w:rsidRPr="00CC1DA3">
        <w:t>.</w:t>
      </w:r>
      <w:r w:rsidR="00CC1DA3">
        <w:t xml:space="preserve"> </w:t>
      </w:r>
      <w:r w:rsidRPr="00CC1DA3">
        <w:t>přináleží Jihomoravskému kraji, úsek Nezamyslice – Přerov Olomouckému kraji. Na trati Přerov – Brno nejsou</w:t>
      </w:r>
      <w:r w:rsidR="00CC1DA3">
        <w:t xml:space="preserve"> </w:t>
      </w:r>
      <w:r w:rsidRPr="00CC1DA3">
        <w:t>mezi těmito místy vedeny přímé osobní vlaky. Dělícím místem je Vyškov na Moravě a Nezamyslice. Regionální</w:t>
      </w:r>
      <w:r w:rsidR="00CC1DA3">
        <w:t xml:space="preserve"> </w:t>
      </w:r>
      <w:r w:rsidRPr="00CC1DA3">
        <w:t>doprava osobními vlaky je rozdělena na rameno Přerov – Nezamyslice a rameno Nezamyslice – Vyškov na Mor.</w:t>
      </w:r>
      <w:r w:rsidR="00CC1DA3">
        <w:t xml:space="preserve"> </w:t>
      </w:r>
      <w:r w:rsidRPr="00CC1DA3">
        <w:t>V úseku Přerov – Nezamyslice jsou osobní vlaky vedeny v základním v intervalu 60 min, v době ranní špičky jsou</w:t>
      </w:r>
      <w:r w:rsidR="00CC1DA3">
        <w:t xml:space="preserve"> </w:t>
      </w:r>
      <w:r w:rsidRPr="00CC1DA3">
        <w:t>vloženy další osobní vlaky, takže interval mezi následnými vlaky v době špičky činí cca. 30 min. Vlaky jsou</w:t>
      </w:r>
      <w:r w:rsidR="00CC1DA3">
        <w:t xml:space="preserve"> </w:t>
      </w:r>
      <w:r w:rsidRPr="00CC1DA3">
        <w:t>sestaveny z třívozové klasické soupravy nebo čtyřvozové elektrické jednotky. V úseku Nezamyslice – Vyškov na</w:t>
      </w:r>
      <w:r w:rsidR="00CC1DA3">
        <w:t xml:space="preserve"> </w:t>
      </w:r>
      <w:r w:rsidRPr="00CC1DA3">
        <w:t>Mor</w:t>
      </w:r>
      <w:r w:rsidR="006104C4">
        <w:t>avě</w:t>
      </w:r>
      <w:r w:rsidRPr="00CC1DA3">
        <w:t xml:space="preserve"> jsou následné vlaky vedeny v intervalu 120 min, v době špičky dalšími vloženými vlaky je interval zkrácen.</w:t>
      </w:r>
      <w:r w:rsidR="00CC1DA3">
        <w:t xml:space="preserve"> </w:t>
      </w:r>
      <w:r w:rsidRPr="00CC1DA3">
        <w:t>Cestujícím v relaci Brno – Vyškov je nabídnuto využití rychlíků, které jsou zaintegrovány do IDS Jihomoravského</w:t>
      </w:r>
      <w:r w:rsidR="00CC1DA3">
        <w:t xml:space="preserve"> </w:t>
      </w:r>
      <w:r w:rsidRPr="00CC1DA3">
        <w:t>kraje linky R7. Při odjezdu z Brna jsou osobní vlaky ve směru Brno – Blažovice – Slavkov a v opačném směru</w:t>
      </w:r>
      <w:r w:rsidR="00CC1DA3">
        <w:t xml:space="preserve"> </w:t>
      </w:r>
      <w:r w:rsidRPr="00CC1DA3">
        <w:t>Slavkov – Blažovice – Brno vedeny úvratí přes Brno‐Židenice. Důvodem uvedené organizace dopravy je</w:t>
      </w:r>
      <w:r w:rsidR="00CC1DA3">
        <w:t xml:space="preserve"> </w:t>
      </w:r>
      <w:r w:rsidRPr="00CC1DA3">
        <w:t xml:space="preserve">nedostatečná kapacita jednokolejného úseku Brno </w:t>
      </w:r>
      <w:r w:rsidR="006104C4" w:rsidRPr="00CC1DA3">
        <w:t>hl. n.</w:t>
      </w:r>
      <w:r w:rsidRPr="00CC1DA3">
        <w:t xml:space="preserve"> – </w:t>
      </w:r>
      <w:r w:rsidR="006104C4" w:rsidRPr="00CC1DA3">
        <w:t>Odb. Brno</w:t>
      </w:r>
      <w:r w:rsidRPr="00CC1DA3">
        <w:t>‐Černovice (Komárovské spojky) v</w:t>
      </w:r>
      <w:r w:rsidR="00CC1DA3">
        <w:t> </w:t>
      </w:r>
      <w:r w:rsidRPr="00CC1DA3">
        <w:t>době</w:t>
      </w:r>
      <w:r w:rsidR="00CC1DA3">
        <w:t xml:space="preserve"> </w:t>
      </w:r>
      <w:r w:rsidRPr="00CC1DA3">
        <w:t>dopravní špičky, kdy trať Brno hl.</w:t>
      </w:r>
      <w:r w:rsidR="006104C4">
        <w:t xml:space="preserve"> </w:t>
      </w:r>
      <w:r w:rsidRPr="00CC1DA3">
        <w:t>n. – Odb.</w:t>
      </w:r>
      <w:r w:rsidR="006104C4">
        <w:t xml:space="preserve"> </w:t>
      </w:r>
      <w:r w:rsidRPr="00CC1DA3">
        <w:t>B.</w:t>
      </w:r>
      <w:r w:rsidR="006104C4">
        <w:t xml:space="preserve"> </w:t>
      </w:r>
      <w:r w:rsidRPr="00CC1DA3">
        <w:t xml:space="preserve">Židenice (úvrať) – </w:t>
      </w:r>
      <w:r w:rsidR="006104C4" w:rsidRPr="00CC1DA3">
        <w:t>Odb. Brno</w:t>
      </w:r>
      <w:r w:rsidRPr="00CC1DA3">
        <w:t>‐Černovice nahrazuje pro směr z</w:t>
      </w:r>
      <w:r w:rsidR="00CC1DA3">
        <w:t> </w:t>
      </w:r>
      <w:r w:rsidRPr="00CC1DA3">
        <w:t>Brna</w:t>
      </w:r>
      <w:r w:rsidR="00CC1DA3">
        <w:t xml:space="preserve"> </w:t>
      </w:r>
      <w:r w:rsidRPr="00CC1DA3">
        <w:t xml:space="preserve">chybějící druhou traťovou kolej v úseku Brno </w:t>
      </w:r>
      <w:r w:rsidR="006104C4" w:rsidRPr="00CC1DA3">
        <w:t>hl. n.</w:t>
      </w:r>
      <w:r w:rsidRPr="00CC1DA3">
        <w:t xml:space="preserve"> – </w:t>
      </w:r>
      <w:r w:rsidR="006104C4" w:rsidRPr="00CC1DA3">
        <w:t>Odb. Brno</w:t>
      </w:r>
      <w:r w:rsidRPr="00CC1DA3">
        <w:t>‐Černovice (Komárovská spojka).</w:t>
      </w:r>
    </w:p>
    <w:p w:rsidR="00A8069B" w:rsidRPr="003108C3" w:rsidRDefault="00A8069B" w:rsidP="003108C3">
      <w:pPr>
        <w:rPr>
          <w:b/>
        </w:rPr>
      </w:pPr>
      <w:r w:rsidRPr="003108C3">
        <w:rPr>
          <w:b/>
        </w:rPr>
        <w:t>Nákladní doprava</w:t>
      </w:r>
    </w:p>
    <w:p w:rsidR="00A8069B" w:rsidRPr="00CC1DA3" w:rsidRDefault="00A8069B" w:rsidP="003108C3">
      <w:r w:rsidRPr="00CC1DA3">
        <w:t>Vzhledem k nízkému rozsahu ložných prací na manipulačních kolejích mezilehlých stanic je svoz a</w:t>
      </w:r>
      <w:r w:rsidR="00CC1DA3">
        <w:t xml:space="preserve"> </w:t>
      </w:r>
      <w:r w:rsidRPr="00CC1DA3">
        <w:t>rozvoz místní zátěže manipulačními vlaky na trati Přerov – Brno zredukován jen na nejnutnější obsluhu. Trať</w:t>
      </w:r>
      <w:r w:rsidR="00CC1DA3">
        <w:t xml:space="preserve"> </w:t>
      </w:r>
      <w:r w:rsidRPr="00CC1DA3">
        <w:t>Přerov – Brno je prioritně předurčena na osobní dopravu, ale infrastruktura musí umožnit provážení nákladní</w:t>
      </w:r>
      <w:r w:rsidR="00CC1DA3">
        <w:t xml:space="preserve"> </w:t>
      </w:r>
      <w:r w:rsidRPr="00CC1DA3">
        <w:t>dopravy. Tento stav je též výhledovým stavem. Ve směru Přerov – Brno jsou vedeny převážně ucelené vlaky,</w:t>
      </w:r>
      <w:r w:rsidR="00CC1DA3">
        <w:t xml:space="preserve"> </w:t>
      </w:r>
      <w:r w:rsidRPr="00CC1DA3">
        <w:t xml:space="preserve">zpět jsou vedeny vyrovnávkou. Mezi seřaďovací stanicí Brno‐Maloměřice a stanicemi Olomouc </w:t>
      </w:r>
      <w:r w:rsidR="006104C4" w:rsidRPr="00CC1DA3">
        <w:t>hl. n.</w:t>
      </w:r>
      <w:r w:rsidRPr="00CC1DA3">
        <w:t>, Přerov,</w:t>
      </w:r>
      <w:r w:rsidR="00CC1DA3">
        <w:t xml:space="preserve"> </w:t>
      </w:r>
      <w:r w:rsidRPr="00CC1DA3">
        <w:t xml:space="preserve">Valašské Meziříčí a Ostrava </w:t>
      </w:r>
      <w:r w:rsidR="006104C4" w:rsidRPr="00CC1DA3">
        <w:t>hl. n.</w:t>
      </w:r>
      <w:r w:rsidRPr="00CC1DA3">
        <w:t xml:space="preserve"> vedena zátěž v Pn vlacích. V Pn vlacích je vedena zátěž mezi seřaďovacími</w:t>
      </w:r>
      <w:r w:rsidR="00CC1DA3">
        <w:t xml:space="preserve"> </w:t>
      </w:r>
      <w:r w:rsidRPr="00CC1DA3">
        <w:t xml:space="preserve">stanicemi Ostrava </w:t>
      </w:r>
      <w:r w:rsidR="006104C4" w:rsidRPr="00CC1DA3">
        <w:t>hl. n.</w:t>
      </w:r>
      <w:r w:rsidRPr="00CC1DA3">
        <w:t xml:space="preserve"> (levé, pravé nádraží) a Brno‐Maloměřice. Skupinové vlaky na trati Brno – Přerov</w:t>
      </w:r>
      <w:r w:rsidR="00CC1DA3">
        <w:t xml:space="preserve"> </w:t>
      </w:r>
      <w:r w:rsidRPr="00CC1DA3">
        <w:t>odvěšují a přibírají zátěž v nácestných stanicích Vyškov na Moravě, Nezamyslice a Kojetín. Mezi ŽST</w:t>
      </w:r>
      <w:r w:rsidR="00CC1DA3">
        <w:t xml:space="preserve"> </w:t>
      </w:r>
      <w:r w:rsidRPr="00CC1DA3">
        <w:t xml:space="preserve">Nezamyslice – Prostějov </w:t>
      </w:r>
      <w:r w:rsidR="006104C4" w:rsidRPr="00CC1DA3">
        <w:t>hl. n.</w:t>
      </w:r>
      <w:r w:rsidRPr="00CC1DA3">
        <w:t xml:space="preserve"> – Olomouc </w:t>
      </w:r>
      <w:r w:rsidR="006104C4" w:rsidRPr="00CC1DA3">
        <w:t>hl. n.</w:t>
      </w:r>
      <w:r w:rsidRPr="00CC1DA3">
        <w:t xml:space="preserve"> je vytvořeno k těmto vlakům rameno.</w:t>
      </w:r>
    </w:p>
    <w:p w:rsidR="00F86E42" w:rsidRDefault="00F86E42" w:rsidP="00F86E42">
      <w:pPr>
        <w:pStyle w:val="Titulek"/>
        <w:keepNext/>
      </w:pPr>
      <w:r>
        <w:t xml:space="preserve">Tabulka </w:t>
      </w:r>
      <w:r w:rsidR="00C60141">
        <w:rPr>
          <w:noProof/>
        </w:rPr>
        <w:fldChar w:fldCharType="begin"/>
      </w:r>
      <w:r w:rsidR="00C60141">
        <w:rPr>
          <w:noProof/>
        </w:rPr>
        <w:instrText xml:space="preserve"> SEQ Tabulka \* ARABIC </w:instrText>
      </w:r>
      <w:r w:rsidR="00C60141">
        <w:rPr>
          <w:noProof/>
        </w:rPr>
        <w:fldChar w:fldCharType="separate"/>
      </w:r>
      <w:r w:rsidR="00D422A7">
        <w:rPr>
          <w:noProof/>
        </w:rPr>
        <w:t>1</w:t>
      </w:r>
      <w:r w:rsidR="00C60141">
        <w:rPr>
          <w:noProof/>
        </w:rPr>
        <w:fldChar w:fldCharType="end"/>
      </w:r>
      <w:r>
        <w:t xml:space="preserve"> Výchozí dopravní zatížení trati dle SP Modernizace trati Brno - Přerov</w:t>
      </w:r>
    </w:p>
    <w:p w:rsidR="00A8069B" w:rsidRDefault="00ED48B4" w:rsidP="00A8069B">
      <w:pPr>
        <w:autoSpaceDE w:val="0"/>
        <w:autoSpaceDN w:val="0"/>
        <w:adjustRightInd w:val="0"/>
        <w:spacing w:after="0"/>
      </w:pPr>
      <w:r>
        <w:rPr>
          <w:rFonts w:ascii="Calibri" w:hAnsi="Calibri" w:cs="Calibri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5pt;height:87.5pt">
            <v:imagedata r:id="rId9" o:title=""/>
            <o:lock v:ext="edit" aspectratio="f"/>
          </v:shape>
        </w:pict>
      </w:r>
    </w:p>
    <w:p w:rsidR="006672FE" w:rsidRPr="007A51E1" w:rsidRDefault="006672FE" w:rsidP="007A51E1">
      <w:pPr>
        <w:pStyle w:val="Nadpis3"/>
      </w:pPr>
      <w:bookmarkStart w:id="9" w:name="_Toc35357586"/>
      <w:r w:rsidRPr="007A51E1">
        <w:t xml:space="preserve">Rozsah osobní </w:t>
      </w:r>
      <w:r w:rsidR="007A51E1">
        <w:t xml:space="preserve">a nákladní </w:t>
      </w:r>
      <w:r w:rsidRPr="007A51E1">
        <w:t>dopravy – výhledový stav</w:t>
      </w:r>
      <w:bookmarkEnd w:id="9"/>
      <w:r w:rsidRPr="007A51E1">
        <w:t xml:space="preserve"> </w:t>
      </w:r>
    </w:p>
    <w:p w:rsidR="0020019F" w:rsidRPr="00CC1DA3" w:rsidRDefault="00A8069B" w:rsidP="003108C3">
      <w:r w:rsidRPr="00CC1DA3">
        <w:t xml:space="preserve">Výhledový rozsah dopravy byl </w:t>
      </w:r>
      <w:r w:rsidR="00CC1DA3">
        <w:t>v rámci SP rozdělen</w:t>
      </w:r>
      <w:r w:rsidRPr="00CC1DA3">
        <w:t xml:space="preserve"> na tři časové horizonty a to</w:t>
      </w:r>
      <w:r w:rsidR="00CC1DA3">
        <w:t xml:space="preserve"> </w:t>
      </w:r>
      <w:r w:rsidRPr="00CC1DA3">
        <w:t>krátkodobý výhled</w:t>
      </w:r>
      <w:r w:rsidR="00755E8D">
        <w:t xml:space="preserve"> </w:t>
      </w:r>
      <w:r w:rsidRPr="00CC1DA3">
        <w:t>do r</w:t>
      </w:r>
      <w:r w:rsidR="00755E8D">
        <w:t>oku</w:t>
      </w:r>
      <w:r w:rsidRPr="00CC1DA3">
        <w:t xml:space="preserve"> 2025, střednědobý po</w:t>
      </w:r>
      <w:r w:rsidR="00CC1DA3">
        <w:t xml:space="preserve"> </w:t>
      </w:r>
      <w:r w:rsidR="00755E8D">
        <w:t>roce</w:t>
      </w:r>
      <w:r w:rsidRPr="00CC1DA3">
        <w:t xml:space="preserve"> 2025 a dlouhodobý po </w:t>
      </w:r>
      <w:r w:rsidR="00755E8D">
        <w:t>roce</w:t>
      </w:r>
      <w:r w:rsidRPr="00CC1DA3">
        <w:t xml:space="preserve"> 2040.</w:t>
      </w:r>
      <w:r w:rsidR="00CC1DA3">
        <w:t xml:space="preserve"> </w:t>
      </w:r>
    </w:p>
    <w:p w:rsidR="00755E8D" w:rsidRPr="00755E8D" w:rsidRDefault="00755E8D" w:rsidP="00755E8D">
      <w:pPr>
        <w:pStyle w:val="Nadpis4"/>
        <w:rPr>
          <w:rFonts w:asciiTheme="minorHAnsi" w:hAnsiTheme="minorHAnsi" w:cstheme="minorBidi"/>
        </w:rPr>
      </w:pPr>
      <w:r>
        <w:lastRenderedPageBreak/>
        <w:t>Přehled r</w:t>
      </w:r>
      <w:r w:rsidRPr="00755E8D">
        <w:rPr>
          <w:rFonts w:asciiTheme="minorHAnsi" w:hAnsiTheme="minorHAnsi" w:cstheme="minorBidi"/>
        </w:rPr>
        <w:t>elac</w:t>
      </w:r>
      <w:r>
        <w:t>í – krátkodobý výhled (do roku 2025</w:t>
      </w:r>
      <w:r w:rsidRPr="00755E8D">
        <w:rPr>
          <w:rFonts w:asciiTheme="minorHAnsi" w:hAnsiTheme="minorHAnsi" w:cstheme="minorBidi"/>
        </w:rPr>
        <w:t>):</w:t>
      </w:r>
    </w:p>
    <w:p w:rsidR="00755E8D" w:rsidRPr="00755E8D" w:rsidRDefault="00755E8D" w:rsidP="003108C3">
      <w:pPr>
        <w:spacing w:line="259" w:lineRule="auto"/>
        <w:rPr>
          <w:b/>
        </w:rPr>
      </w:pPr>
      <w:r w:rsidRPr="00755E8D">
        <w:rPr>
          <w:b/>
        </w:rPr>
        <w:t>Druhý přepravní segment (R):</w:t>
      </w:r>
    </w:p>
    <w:p w:rsidR="00755E8D" w:rsidRPr="00755E8D" w:rsidRDefault="00755E8D" w:rsidP="00387689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/>
      </w:pPr>
      <w:r w:rsidRPr="00755E8D">
        <w:t>R8 Brno – Přerov – Ostrava – Bohumín ‐ takt 60´, denní počet spojů: 18 párů (ve dvouhodinové špičce 2 páry),</w:t>
      </w:r>
    </w:p>
    <w:p w:rsidR="00755E8D" w:rsidRPr="00755E8D" w:rsidRDefault="00755E8D" w:rsidP="00387689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/>
      </w:pPr>
      <w:r w:rsidRPr="00755E8D">
        <w:t>R12 Brno – Vyškov – Prostějov – Olomouc – (Zábřeh n. M. – Šumperk / Jeseník) ‐ takt 120´, denní počet spojů:</w:t>
      </w:r>
      <w:r>
        <w:t xml:space="preserve"> </w:t>
      </w:r>
      <w:r w:rsidRPr="00755E8D">
        <w:t>9 párů (ve dvouhodinové špičce 1 pár),</w:t>
      </w:r>
    </w:p>
    <w:p w:rsidR="00755E8D" w:rsidRPr="00755E8D" w:rsidRDefault="00755E8D" w:rsidP="003108C3">
      <w:pPr>
        <w:spacing w:line="259" w:lineRule="auto"/>
        <w:rPr>
          <w:b/>
        </w:rPr>
      </w:pPr>
      <w:r w:rsidRPr="00755E8D">
        <w:rPr>
          <w:b/>
        </w:rPr>
        <w:t>Regionální doprava:</w:t>
      </w:r>
    </w:p>
    <w:p w:rsidR="00755E8D" w:rsidRPr="00755E8D" w:rsidRDefault="00755E8D" w:rsidP="00387689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/>
      </w:pPr>
      <w:r w:rsidRPr="00755E8D">
        <w:t>R6+S6 (JmK) Brno – Kyjov – Veselí na M. ‐ takt 30´, denní počet spojů: 36 párů, (ve dvouhodinové špičce 4</w:t>
      </w:r>
      <w:r>
        <w:t xml:space="preserve"> </w:t>
      </w:r>
      <w:r w:rsidRPr="00755E8D">
        <w:t>páry),</w:t>
      </w:r>
    </w:p>
    <w:p w:rsidR="00755E8D" w:rsidRPr="00755E8D" w:rsidRDefault="00755E8D" w:rsidP="00387689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/>
      </w:pPr>
      <w:r>
        <w:t>S</w:t>
      </w:r>
      <w:r w:rsidRPr="00755E8D">
        <w:t>7 Brno – Rousínov – Vyškov na M. ‐ takt 30´, denní počet spojů: 36 párů (ve dvouhodinové špičce 4 páry</w:t>
      </w:r>
      <w:r>
        <w:t xml:space="preserve"> </w:t>
      </w:r>
      <w:r w:rsidRPr="00755E8D">
        <w:t>v požadavcích krátkodobého výhledu (ŽUB) se objevuje, ale nemá potřebnou kapacitu k realizaci.)</w:t>
      </w:r>
    </w:p>
    <w:p w:rsidR="00755E8D" w:rsidRPr="00755E8D" w:rsidRDefault="00755E8D" w:rsidP="003108C3">
      <w:pPr>
        <w:spacing w:line="259" w:lineRule="auto"/>
        <w:rPr>
          <w:b/>
        </w:rPr>
      </w:pPr>
      <w:r w:rsidRPr="00755E8D">
        <w:rPr>
          <w:b/>
        </w:rPr>
        <w:t>Nákladní doprava:</w:t>
      </w:r>
    </w:p>
    <w:p w:rsidR="00755E8D" w:rsidRPr="00755E8D" w:rsidRDefault="00755E8D" w:rsidP="0038768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</w:pPr>
      <w:r w:rsidRPr="00755E8D">
        <w:t>Brno – Přerov ‐ denní počet vlaků 8/6 (ve dvouhodinové špičce 1/1),</w:t>
      </w:r>
    </w:p>
    <w:p w:rsidR="00755E8D" w:rsidRPr="00755E8D" w:rsidRDefault="00755E8D" w:rsidP="0038768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</w:pPr>
      <w:r w:rsidRPr="00755E8D">
        <w:t>Brno – Veselí n. Mor. ‐ denní počet vlaků 4/2 (ve dvouhodinové špičce 0/0),</w:t>
      </w:r>
    </w:p>
    <w:p w:rsidR="00755E8D" w:rsidRPr="00755E8D" w:rsidRDefault="00755E8D" w:rsidP="0038768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</w:pPr>
      <w:r w:rsidRPr="00755E8D">
        <w:t>Brno – Blažovice ‐ denní počet vlaků 4/2 (ve dvouhodinové špičce 0/0),</w:t>
      </w:r>
    </w:p>
    <w:p w:rsidR="00A8069B" w:rsidRPr="00CC1DA3" w:rsidRDefault="00A8069B" w:rsidP="00755E8D">
      <w:pPr>
        <w:pStyle w:val="Nadpis4"/>
      </w:pPr>
      <w:r w:rsidRPr="00CC1DA3">
        <w:t xml:space="preserve">Přehled relací – </w:t>
      </w:r>
      <w:r w:rsidR="00755E8D">
        <w:t>st</w:t>
      </w:r>
      <w:r w:rsidR="00062724">
        <w:t>řednědobý výhled (po roce</w:t>
      </w:r>
      <w:r w:rsidRPr="00CC1DA3">
        <w:t xml:space="preserve"> 2025):</w:t>
      </w:r>
    </w:p>
    <w:p w:rsidR="00A8069B" w:rsidRPr="00755E8D" w:rsidRDefault="00A8069B" w:rsidP="003108C3">
      <w:pPr>
        <w:spacing w:line="259" w:lineRule="auto"/>
        <w:rPr>
          <w:b/>
        </w:rPr>
      </w:pPr>
      <w:r w:rsidRPr="00755E8D">
        <w:rPr>
          <w:b/>
        </w:rPr>
        <w:t>První přepravní segment (Ex):</w:t>
      </w:r>
    </w:p>
    <w:p w:rsidR="00A8069B" w:rsidRPr="00CC1DA3" w:rsidRDefault="00A8069B" w:rsidP="0038768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/>
      </w:pPr>
      <w:r w:rsidRPr="00CC1DA3">
        <w:t>Ex30 Brno – Ostrava ‐ takt 60´, denní počet spojů: 15 párů (ve dvouhodinové špičce 2 páry),</w:t>
      </w:r>
    </w:p>
    <w:p w:rsidR="00A8069B" w:rsidRPr="00755E8D" w:rsidRDefault="00A8069B" w:rsidP="003108C3">
      <w:pPr>
        <w:spacing w:line="259" w:lineRule="auto"/>
        <w:rPr>
          <w:b/>
        </w:rPr>
      </w:pPr>
      <w:r w:rsidRPr="00755E8D">
        <w:rPr>
          <w:b/>
        </w:rPr>
        <w:t>Druhý přepravní segment (R):</w:t>
      </w:r>
    </w:p>
    <w:p w:rsidR="00A8069B" w:rsidRPr="00CC1DA3" w:rsidRDefault="00A8069B" w:rsidP="0038768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/>
      </w:pPr>
      <w:r w:rsidRPr="00CC1DA3">
        <w:t>R8 Brno – Přerov – Ostrava – Bohumín ‐ takt 60´/120´ denní počet spojů: 13 párů (ve dvouhodinové špičce 2</w:t>
      </w:r>
      <w:r w:rsidR="000007F0">
        <w:t xml:space="preserve"> </w:t>
      </w:r>
      <w:r w:rsidRPr="00CC1DA3">
        <w:t>páry),</w:t>
      </w:r>
    </w:p>
    <w:p w:rsidR="00A8069B" w:rsidRPr="00CC1DA3" w:rsidRDefault="00A8069B" w:rsidP="0038768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/>
      </w:pPr>
      <w:r w:rsidRPr="00CC1DA3">
        <w:t>R12 Brno – Vyškov – Prostějov – Olomouc – (Zábřeh n. M. – Šumperk / Jeseník) ‐ takt 60´/120´, denní počet</w:t>
      </w:r>
      <w:r w:rsidR="000007F0">
        <w:t xml:space="preserve"> </w:t>
      </w:r>
      <w:r w:rsidRPr="00CC1DA3">
        <w:t>spojů: 15 párů (ve dvouhodinové špičce 2 páry a dva nepárové vlaky ve frekvenčně silnějším směru – takt 30´</w:t>
      </w:r>
      <w:r w:rsidR="000007F0">
        <w:t xml:space="preserve"> </w:t>
      </w:r>
      <w:r w:rsidRPr="00CC1DA3">
        <w:t>s vloženými spoji)</w:t>
      </w:r>
    </w:p>
    <w:p w:rsidR="00A8069B" w:rsidRPr="00CC1DA3" w:rsidRDefault="00A8069B" w:rsidP="0038768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/>
      </w:pPr>
      <w:r w:rsidRPr="00CC1DA3">
        <w:t>R31 Brno –</w:t>
      </w:r>
      <w:r w:rsidR="006104C4">
        <w:t xml:space="preserve"> </w:t>
      </w:r>
      <w:r w:rsidRPr="00CC1DA3">
        <w:t>Kojetín –</w:t>
      </w:r>
      <w:r w:rsidR="006104C4">
        <w:t xml:space="preserve"> </w:t>
      </w:r>
      <w:r w:rsidRPr="00CC1DA3">
        <w:t>Zlín ‐ takt 60´/120´, denní počet spojů: 13 párů (ve dvouhodinové špičce 2 páry),</w:t>
      </w:r>
    </w:p>
    <w:p w:rsidR="00A8069B" w:rsidRPr="00755E8D" w:rsidRDefault="00A8069B" w:rsidP="003108C3">
      <w:pPr>
        <w:spacing w:line="259" w:lineRule="auto"/>
        <w:rPr>
          <w:b/>
        </w:rPr>
      </w:pPr>
      <w:r w:rsidRPr="00755E8D">
        <w:rPr>
          <w:b/>
        </w:rPr>
        <w:t>Regionální doprava:</w:t>
      </w:r>
    </w:p>
    <w:p w:rsidR="00A8069B" w:rsidRPr="00CC1DA3" w:rsidRDefault="00A8069B" w:rsidP="0038768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/>
      </w:pPr>
      <w:r w:rsidRPr="00CC1DA3">
        <w:t>R6+S6 (JmK) Brno – Kyjov – Veselí na M. ‐ takt 30´, denní počet spojů: 36 párů, (ve dvouhodinové špičce 4</w:t>
      </w:r>
      <w:r w:rsidR="000007F0">
        <w:t xml:space="preserve"> </w:t>
      </w:r>
      <w:r w:rsidRPr="00CC1DA3">
        <w:t>páry),</w:t>
      </w:r>
    </w:p>
    <w:p w:rsidR="00A8069B" w:rsidRPr="00CC1DA3" w:rsidRDefault="00A8069B" w:rsidP="0038768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/>
      </w:pPr>
      <w:r w:rsidRPr="00CC1DA3">
        <w:t>S7 Brno – Rousínov – Vyškov na M. ‐ takt 30´/60, denní počet spojů: 31 párů (ve dvouhodinové špičce 4 páry),</w:t>
      </w:r>
    </w:p>
    <w:p w:rsidR="00A8069B" w:rsidRPr="00CC1DA3" w:rsidRDefault="00A8069B" w:rsidP="0038768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/>
      </w:pPr>
      <w:r w:rsidRPr="00CC1DA3">
        <w:t>linka (ONV,VNO) Olomouc – Nezamyslice – Vyškov, Vyškov ‐ Nezamyslice ‐ Olomouc – takt 60´, denní počet</w:t>
      </w:r>
      <w:r w:rsidR="000007F0">
        <w:t xml:space="preserve"> </w:t>
      </w:r>
      <w:r w:rsidRPr="00CC1DA3">
        <w:t>spojů: 18 párů (ve dvouhodinové špičce 2 páry)</w:t>
      </w:r>
    </w:p>
    <w:p w:rsidR="00A8069B" w:rsidRPr="00CC1DA3" w:rsidRDefault="00A8069B" w:rsidP="0038768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/>
      </w:pPr>
      <w:r w:rsidRPr="00CC1DA3">
        <w:t>linka (PN, NP) Přerov – Nezamyslice, Nezamyslice – Přerov, takt 60´, denní počet spojů: 18 párů (ve</w:t>
      </w:r>
      <w:r w:rsidR="000007F0">
        <w:t xml:space="preserve"> </w:t>
      </w:r>
      <w:r w:rsidRPr="00CC1DA3">
        <w:t>dvouhodinové špičce 2 páry)</w:t>
      </w:r>
    </w:p>
    <w:p w:rsidR="00A8069B" w:rsidRPr="00CC1DA3" w:rsidRDefault="00A8069B" w:rsidP="0038768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/>
      </w:pPr>
      <w:r w:rsidRPr="00CC1DA3">
        <w:t>S37 Brno‐Královo Pole – Šlapanice – takt 60´, denní počet spojů: 17 párů, (ve dvouhodinové špičce 2 páry)</w:t>
      </w:r>
    </w:p>
    <w:p w:rsidR="00A8069B" w:rsidRPr="00755E8D" w:rsidRDefault="00A8069B" w:rsidP="003108C3">
      <w:pPr>
        <w:spacing w:line="259" w:lineRule="auto"/>
        <w:rPr>
          <w:b/>
        </w:rPr>
      </w:pPr>
      <w:r w:rsidRPr="00755E8D">
        <w:rPr>
          <w:b/>
        </w:rPr>
        <w:t>Nákladní doprava:</w:t>
      </w:r>
    </w:p>
    <w:p w:rsidR="00A8069B" w:rsidRPr="00CC1DA3" w:rsidRDefault="00A8069B" w:rsidP="0038768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/>
      </w:pPr>
      <w:r w:rsidRPr="00CC1DA3">
        <w:t>Brno – Přerov ‐ denní počet vlaků 8/6 (ve dvouhodinové špičce 1/1),</w:t>
      </w:r>
    </w:p>
    <w:p w:rsidR="00A8069B" w:rsidRPr="00CC1DA3" w:rsidRDefault="00A8069B" w:rsidP="0038768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/>
      </w:pPr>
      <w:r w:rsidRPr="00CC1DA3">
        <w:t>Brno – Veselí n. Mor. ‐ denní počet vlaků 4/4 (ve dvouhodinové špičce 0/0),</w:t>
      </w:r>
    </w:p>
    <w:p w:rsidR="00A8069B" w:rsidRPr="00CC1DA3" w:rsidRDefault="00755E8D" w:rsidP="0038768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/>
      </w:pPr>
      <w:r>
        <w:t>B</w:t>
      </w:r>
      <w:r w:rsidR="00A8069B" w:rsidRPr="00CC1DA3">
        <w:t>rno – Blažovice ‐ denní počet vlaků 4/4 (ve dvouhodinové špičce 0/0),</w:t>
      </w:r>
    </w:p>
    <w:p w:rsidR="00A8069B" w:rsidRPr="00CC1DA3" w:rsidRDefault="00A8069B" w:rsidP="000007F0">
      <w:pPr>
        <w:pStyle w:val="Nadpis4"/>
      </w:pPr>
      <w:r w:rsidRPr="00CC1DA3">
        <w:t>P</w:t>
      </w:r>
      <w:r w:rsidR="000007F0">
        <w:t>řehled re</w:t>
      </w:r>
      <w:r w:rsidRPr="00CC1DA3">
        <w:t>lac</w:t>
      </w:r>
      <w:r w:rsidR="00062724">
        <w:t>í – dlouhodobý výhled (po roce</w:t>
      </w:r>
      <w:r w:rsidRPr="00CC1DA3">
        <w:t xml:space="preserve"> 2040):</w:t>
      </w:r>
    </w:p>
    <w:p w:rsidR="000007F0" w:rsidRPr="00CC1DA3" w:rsidRDefault="00FA396D" w:rsidP="003108C3">
      <w:r>
        <w:t>Dlouhodobý výhled uvažuje s existencí vysokorychlostních tratí (VRT) Praha – Brno a Přerov – Ostrava. Tyto tratě by měly být využívány vlaky Ex1 a Ex2. V rámci SP nebylo s efekty výstavby VRT uvažováno, proto je po celé hodnotící období uvažováno s konstantním rozsahem dopravy v řešených variantách.</w:t>
      </w:r>
    </w:p>
    <w:p w:rsidR="00D422A7" w:rsidRDefault="00D422A7" w:rsidP="003108C3">
      <w:pPr>
        <w:rPr>
          <w:b/>
        </w:rPr>
      </w:pPr>
    </w:p>
    <w:p w:rsidR="00A8069B" w:rsidRPr="003108C3" w:rsidRDefault="00A8069B" w:rsidP="003108C3">
      <w:pPr>
        <w:rPr>
          <w:b/>
        </w:rPr>
      </w:pPr>
      <w:r w:rsidRPr="003108C3">
        <w:rPr>
          <w:b/>
        </w:rPr>
        <w:lastRenderedPageBreak/>
        <w:t>První přepravní segment (Ex):</w:t>
      </w:r>
    </w:p>
    <w:p w:rsidR="00A8069B" w:rsidRPr="00CC1DA3" w:rsidRDefault="00A8069B" w:rsidP="00387689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</w:pPr>
      <w:r w:rsidRPr="00CC1DA3">
        <w:t>Ex1 Praha – Brno – Ostrava ‐ takt 30´, denní počet spojů: 36 párů (ve dvouhodinové špičce 4 páry),</w:t>
      </w:r>
    </w:p>
    <w:p w:rsidR="00A8069B" w:rsidRPr="00CC1DA3" w:rsidRDefault="00A8069B" w:rsidP="00387689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</w:pPr>
      <w:r w:rsidRPr="00CC1DA3">
        <w:t>Ex2 Praha (‐ Jihlava/Havlíčkův Brod) – Brno – Olomouc / Zlín ‐ takt 30´ (na větvích 60´), denní počet spojů: 36</w:t>
      </w:r>
      <w:r w:rsidR="000007F0">
        <w:t xml:space="preserve"> </w:t>
      </w:r>
      <w:r w:rsidRPr="00CC1DA3">
        <w:t>párů (ve dvouhodinové špičce 4 páry),</w:t>
      </w:r>
    </w:p>
    <w:p w:rsidR="00A8069B" w:rsidRDefault="00A8069B" w:rsidP="00387689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</w:pPr>
      <w:r w:rsidRPr="00CC1DA3">
        <w:t>Ex 30 Břeclav/Wien – Brno – Ostrava (Varšava) ‐ takt 120´, denní počet spojů: 9 párů (ve dvouhodinové špičce</w:t>
      </w:r>
      <w:r w:rsidR="000007F0">
        <w:t xml:space="preserve"> </w:t>
      </w:r>
      <w:r w:rsidRPr="00CC1DA3">
        <w:t>1 pár),</w:t>
      </w:r>
    </w:p>
    <w:p w:rsidR="00A8069B" w:rsidRPr="000007F0" w:rsidRDefault="00A8069B" w:rsidP="003108C3">
      <w:pPr>
        <w:spacing w:line="259" w:lineRule="auto"/>
        <w:rPr>
          <w:b/>
        </w:rPr>
      </w:pPr>
      <w:r w:rsidRPr="000007F0">
        <w:rPr>
          <w:b/>
        </w:rPr>
        <w:t>Druhý přepravní segment (R):</w:t>
      </w:r>
    </w:p>
    <w:p w:rsidR="00A8069B" w:rsidRPr="00CC1DA3" w:rsidRDefault="00A8069B" w:rsidP="00387689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</w:pPr>
      <w:r w:rsidRPr="00CC1DA3">
        <w:t>R8 Brno – Přerov – Ostrava – Bohumín ‐ takt 60´, denní počet spojů: 18 párů (ve dvouhodinové špičce 2 páry),</w:t>
      </w:r>
    </w:p>
    <w:p w:rsidR="00A8069B" w:rsidRPr="00CC1DA3" w:rsidRDefault="00A8069B" w:rsidP="00387689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</w:pPr>
      <w:r w:rsidRPr="00CC1DA3">
        <w:t>R12 Brno – Vyškov – Prostějov – Olomouc – (Zábřeh n. M. – Šumperk / Jeseník) ‐ takt 60´, denní počet spojů:</w:t>
      </w:r>
      <w:r w:rsidR="000007F0">
        <w:t xml:space="preserve"> </w:t>
      </w:r>
      <w:r w:rsidRPr="00CC1DA3">
        <w:t>20 párů (ve dvouhodinové špičce 2 páry a dva nepárové vlaky ve frekvenčně silnějším směru –</w:t>
      </w:r>
      <w:r w:rsidR="006104C4">
        <w:t xml:space="preserve"> </w:t>
      </w:r>
      <w:r w:rsidRPr="00CC1DA3">
        <w:t>takt 30´</w:t>
      </w:r>
      <w:r w:rsidR="000007F0">
        <w:t xml:space="preserve"> </w:t>
      </w:r>
      <w:r w:rsidRPr="00CC1DA3">
        <w:t>s vloženými spoji),</w:t>
      </w:r>
    </w:p>
    <w:p w:rsidR="00A8069B" w:rsidRPr="00CC1DA3" w:rsidRDefault="00A8069B" w:rsidP="00387689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</w:pPr>
      <w:r w:rsidRPr="00CC1DA3">
        <w:t>R31 Brno – Zlín ‐ takt 60´, denní počet spojů: 18 párů (ve dvouhodinové špičce 2 páry),</w:t>
      </w:r>
    </w:p>
    <w:p w:rsidR="00A8069B" w:rsidRPr="000007F0" w:rsidRDefault="00A8069B" w:rsidP="003108C3">
      <w:pPr>
        <w:spacing w:line="259" w:lineRule="auto"/>
        <w:rPr>
          <w:b/>
        </w:rPr>
      </w:pPr>
      <w:r w:rsidRPr="000007F0">
        <w:rPr>
          <w:b/>
        </w:rPr>
        <w:t>Regionální doprava:</w:t>
      </w:r>
    </w:p>
    <w:p w:rsidR="00A8069B" w:rsidRPr="00CC1DA3" w:rsidRDefault="00A8069B" w:rsidP="00387689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</w:pPr>
      <w:r w:rsidRPr="00CC1DA3">
        <w:t>R6 Brno – Blažovice – Veselí na M. ‐ takt 60´/120´, denní počet spojů: 18 párů, (ve dvouhodinové špičce 2</w:t>
      </w:r>
      <w:r w:rsidR="000007F0">
        <w:t xml:space="preserve"> </w:t>
      </w:r>
      <w:r w:rsidRPr="00CC1DA3">
        <w:t>páry),</w:t>
      </w:r>
    </w:p>
    <w:p w:rsidR="00A8069B" w:rsidRPr="00CC1DA3" w:rsidRDefault="00A8069B" w:rsidP="00387689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</w:pPr>
      <w:r w:rsidRPr="00CC1DA3">
        <w:t>S6 Brno – Blažovice – Bučovice ‐ takt 60´/120´, denní počet spojů: 18 párů, (ve dvouhodinové špičce 2 páry),</w:t>
      </w:r>
    </w:p>
    <w:p w:rsidR="00A8069B" w:rsidRPr="00CC1DA3" w:rsidRDefault="00A8069B" w:rsidP="00387689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</w:pPr>
      <w:r w:rsidRPr="00CC1DA3">
        <w:t>S7 Brno – Vyškov na M. ‐ takt 30´/60´, denní počet spojů: 36 párů (ve dvouhodinové špičce 4 páry),</w:t>
      </w:r>
    </w:p>
    <w:p w:rsidR="00A8069B" w:rsidRPr="00CC1DA3" w:rsidRDefault="00A8069B" w:rsidP="00387689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</w:pPr>
      <w:r w:rsidRPr="00CC1DA3">
        <w:t>S37 Brno‐Královo Pole – Šlapanice – takt 60´, denní počet spojů: 17 párů, (ve dvouhodinové špičce 2 páry),</w:t>
      </w:r>
    </w:p>
    <w:p w:rsidR="00A8069B" w:rsidRPr="00CC1DA3" w:rsidRDefault="00A8069B" w:rsidP="00387689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</w:pPr>
      <w:r w:rsidRPr="00CC1DA3">
        <w:t>linka (ONV,VNO) Olomouc – Nezamyslice – Vyškov, Vyškov ‐ Nezamyslice ‐ Olomouc – takt 60´, denní počet</w:t>
      </w:r>
      <w:r w:rsidR="000007F0">
        <w:t xml:space="preserve"> </w:t>
      </w:r>
      <w:r w:rsidRPr="00CC1DA3">
        <w:t>spojů: 27 párů (ve dvouhodinové špičce 2 páry)</w:t>
      </w:r>
    </w:p>
    <w:p w:rsidR="00A8069B" w:rsidRPr="00CC1DA3" w:rsidRDefault="00A8069B" w:rsidP="00387689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</w:pPr>
      <w:r w:rsidRPr="00CC1DA3">
        <w:t>linka (PN, NP) Přerov – Nezamyslice, Nezamyslice – Přerov, takt 60´, denní počet spojů: 27 párů (ve</w:t>
      </w:r>
      <w:r w:rsidR="000007F0">
        <w:t xml:space="preserve"> </w:t>
      </w:r>
      <w:r w:rsidRPr="00CC1DA3">
        <w:t>dvouhodinové špičce 2 páry)</w:t>
      </w:r>
    </w:p>
    <w:p w:rsidR="00A8069B" w:rsidRPr="000007F0" w:rsidRDefault="00A8069B" w:rsidP="003108C3">
      <w:pPr>
        <w:spacing w:line="259" w:lineRule="auto"/>
        <w:rPr>
          <w:b/>
        </w:rPr>
      </w:pPr>
      <w:r w:rsidRPr="000007F0">
        <w:rPr>
          <w:b/>
        </w:rPr>
        <w:t>Nákladní doprava:</w:t>
      </w:r>
    </w:p>
    <w:p w:rsidR="00A8069B" w:rsidRPr="00CC1DA3" w:rsidRDefault="00A8069B" w:rsidP="00387689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</w:pPr>
      <w:r w:rsidRPr="00CC1DA3">
        <w:t>Brno – Přerov ‐ denní počet vlaků 12/10 (ve dvouhodinové špičce 2/2),</w:t>
      </w:r>
    </w:p>
    <w:p w:rsidR="00A8069B" w:rsidRPr="00CC1DA3" w:rsidRDefault="00A8069B" w:rsidP="00387689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</w:pPr>
      <w:r w:rsidRPr="00CC1DA3">
        <w:t>Brno – Veselí n. Mor. ‐ denní počet vlaků 4/4 (ve dvouhodinové špičce 0/0),</w:t>
      </w:r>
    </w:p>
    <w:p w:rsidR="00A8069B" w:rsidRDefault="00A8069B" w:rsidP="00387689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/>
      </w:pPr>
      <w:r w:rsidRPr="00CC1DA3">
        <w:t>Brno – Blažovice ‐ denní počet vlaků 4/4 (ve dvouhodinové špičce 0/0),</w:t>
      </w:r>
    </w:p>
    <w:p w:rsidR="003D4F4A" w:rsidRDefault="003D4F4A" w:rsidP="00FA396D">
      <w:pPr>
        <w:pStyle w:val="Odstavecseseznamem"/>
        <w:autoSpaceDE w:val="0"/>
        <w:autoSpaceDN w:val="0"/>
        <w:adjustRightInd w:val="0"/>
        <w:spacing w:after="0"/>
      </w:pPr>
    </w:p>
    <w:p w:rsidR="003D4F4A" w:rsidRPr="003D4F4A" w:rsidRDefault="003D4F4A" w:rsidP="003D4F4A">
      <w:pPr>
        <w:pStyle w:val="Nadpis4"/>
      </w:pPr>
      <w:r w:rsidRPr="003D4F4A">
        <w:t>Návrh vozby pro jednotlivé relace</w:t>
      </w:r>
    </w:p>
    <w:p w:rsidR="003D4F4A" w:rsidRPr="003D4F4A" w:rsidRDefault="003D4F4A" w:rsidP="003D4F4A">
      <w:pPr>
        <w:autoSpaceDE w:val="0"/>
        <w:autoSpaceDN w:val="0"/>
        <w:adjustRightInd w:val="0"/>
        <w:spacing w:after="0"/>
        <w:rPr>
          <w:b/>
        </w:rPr>
      </w:pPr>
      <w:r w:rsidRPr="003D4F4A">
        <w:rPr>
          <w:b/>
        </w:rPr>
        <w:t>Regionální doprava</w:t>
      </w:r>
    </w:p>
    <w:p w:rsidR="003D4F4A" w:rsidRPr="003D4F4A" w:rsidRDefault="003D4F4A" w:rsidP="003108C3">
      <w:r w:rsidRPr="003D4F4A">
        <w:rPr>
          <w:b/>
        </w:rPr>
        <w:t>S7</w:t>
      </w:r>
      <w:r>
        <w:t xml:space="preserve"> - </w:t>
      </w:r>
      <w:r w:rsidRPr="003D4F4A">
        <w:t>Brno hl. n. – Vyškov na Moravě, elektrická jednotka typu 3‐ dílný RegioPanter/Talent v = 160</w:t>
      </w:r>
      <w:r>
        <w:t xml:space="preserve"> </w:t>
      </w:r>
      <w:r w:rsidRPr="003D4F4A">
        <w:t xml:space="preserve">km/h, v špičkách možné spojení 2x 3 </w:t>
      </w:r>
      <w:r w:rsidRPr="003108C3">
        <w:t>d</w:t>
      </w:r>
      <w:r w:rsidRPr="003D4F4A">
        <w:t>ílná jednotka nebo 2x4dílná jednotka s podvozky Jacobs. Délka cca 170</w:t>
      </w:r>
      <w:r>
        <w:t xml:space="preserve"> </w:t>
      </w:r>
      <w:r w:rsidRPr="003D4F4A">
        <w:t>m. Takt ve špičce 30 min v sedle 60 min.</w:t>
      </w:r>
    </w:p>
    <w:p w:rsidR="003D4F4A" w:rsidRPr="003D4F4A" w:rsidRDefault="003D4F4A" w:rsidP="00FA396D">
      <w:r w:rsidRPr="003D4F4A">
        <w:rPr>
          <w:b/>
        </w:rPr>
        <w:t>S6/R6</w:t>
      </w:r>
      <w:r w:rsidRPr="003D4F4A">
        <w:t xml:space="preserve"> </w:t>
      </w:r>
      <w:r>
        <w:t xml:space="preserve">- </w:t>
      </w:r>
      <w:r w:rsidRPr="003D4F4A">
        <w:t>Brno hl. n. – Blažovice‐ Veselí n/M , motorová jednotka typu 2‐ dílný Desiro ML/3‐dílný Talent</w:t>
      </w:r>
      <w:r>
        <w:t xml:space="preserve"> </w:t>
      </w:r>
      <w:r w:rsidRPr="003D4F4A">
        <w:t>v = 140 km/h, v špičkách možné spojení 2x2 dílná jednotka nebo 2x3dílná jednotka s podvozky Jacobs. Délka</w:t>
      </w:r>
      <w:r>
        <w:t xml:space="preserve"> </w:t>
      </w:r>
      <w:r w:rsidRPr="003D4F4A">
        <w:t>cca 120 m. Takt ve špičce 30 min v sedle 60 min.</w:t>
      </w:r>
    </w:p>
    <w:p w:rsidR="003D4F4A" w:rsidRPr="003D4F4A" w:rsidRDefault="003D4F4A" w:rsidP="00FA396D">
      <w:r w:rsidRPr="003D4F4A">
        <w:rPr>
          <w:b/>
        </w:rPr>
        <w:t>S37</w:t>
      </w:r>
      <w:r w:rsidRPr="003D4F4A">
        <w:t xml:space="preserve"> </w:t>
      </w:r>
      <w:r>
        <w:t xml:space="preserve">- </w:t>
      </w:r>
      <w:r w:rsidRPr="003D4F4A">
        <w:t>Brno Královo Pole – Šlapanice, elektrická jednotka typu 2‐ dílný RegioPanter/Talent v = 160</w:t>
      </w:r>
      <w:r>
        <w:t xml:space="preserve"> </w:t>
      </w:r>
      <w:r w:rsidRPr="003D4F4A">
        <w:t>km/h. Délka cca 120 m. Takt ve špičce 60 min.</w:t>
      </w:r>
    </w:p>
    <w:p w:rsidR="003D4F4A" w:rsidRPr="003D4F4A" w:rsidRDefault="003D4F4A" w:rsidP="00FA396D">
      <w:r w:rsidRPr="003D4F4A">
        <w:rPr>
          <w:b/>
        </w:rPr>
        <w:t>VNO, ONV</w:t>
      </w:r>
      <w:r w:rsidRPr="003D4F4A">
        <w:t xml:space="preserve"> (Vyškov – Nezamyslice – Olomouc, Olomouc – Nezamyslice – Vyškov) elektrická</w:t>
      </w:r>
      <w:r>
        <w:t xml:space="preserve"> </w:t>
      </w:r>
      <w:r w:rsidRPr="003D4F4A">
        <w:t>jednotka typu 3‐ dílný RegioPanter/Talent v = 160 km/h, v špičkách možné spojení 2x3 dílná jednotka nebo 2x4</w:t>
      </w:r>
      <w:r>
        <w:t xml:space="preserve"> </w:t>
      </w:r>
      <w:r w:rsidRPr="003D4F4A">
        <w:t>dílná jednotka s podvozky Jacobs. Délka cca 170 m. Takt ve špičce 60 min.</w:t>
      </w:r>
    </w:p>
    <w:p w:rsidR="003D4F4A" w:rsidRPr="003D4F4A" w:rsidRDefault="003D4F4A" w:rsidP="00FA396D">
      <w:r w:rsidRPr="003D4F4A">
        <w:rPr>
          <w:b/>
        </w:rPr>
        <w:t>PN, NP</w:t>
      </w:r>
      <w:r w:rsidRPr="003D4F4A">
        <w:t xml:space="preserve"> </w:t>
      </w:r>
      <w:r>
        <w:t xml:space="preserve">- </w:t>
      </w:r>
      <w:r w:rsidRPr="003D4F4A">
        <w:t>(Přerov – Nezamyslice, Nezamyslice – Přerov) elektrická jednotka typu 3‐ dílný</w:t>
      </w:r>
      <w:r>
        <w:t xml:space="preserve"> </w:t>
      </w:r>
      <w:r w:rsidRPr="003D4F4A">
        <w:t>RegioPanter/Talent v = 160 km/h, v špičkách možné spojení 2x3 dílná jednotka nebo 2x4 dílná jednotka</w:t>
      </w:r>
      <w:r>
        <w:t xml:space="preserve"> </w:t>
      </w:r>
      <w:r w:rsidRPr="003D4F4A">
        <w:t>s podvozky Jacobs. Délka cca 170 m. Takt ve špičce 60 min.</w:t>
      </w:r>
    </w:p>
    <w:p w:rsidR="003D4F4A" w:rsidRPr="003D4F4A" w:rsidRDefault="003D4F4A" w:rsidP="003D4F4A">
      <w:pPr>
        <w:autoSpaceDE w:val="0"/>
        <w:autoSpaceDN w:val="0"/>
        <w:adjustRightInd w:val="0"/>
        <w:spacing w:after="0"/>
        <w:rPr>
          <w:b/>
        </w:rPr>
      </w:pPr>
      <w:r w:rsidRPr="003D4F4A">
        <w:rPr>
          <w:b/>
        </w:rPr>
        <w:lastRenderedPageBreak/>
        <w:t>Dálková doprava</w:t>
      </w:r>
    </w:p>
    <w:p w:rsidR="003D4F4A" w:rsidRPr="003D4F4A" w:rsidRDefault="003D4F4A" w:rsidP="00FA396D">
      <w:r w:rsidRPr="003D4F4A">
        <w:rPr>
          <w:b/>
        </w:rPr>
        <w:t>Ex1</w:t>
      </w:r>
      <w:r w:rsidRPr="003D4F4A">
        <w:t xml:space="preserve"> </w:t>
      </w:r>
      <w:r>
        <w:t xml:space="preserve">- </w:t>
      </w:r>
      <w:r w:rsidRPr="003D4F4A">
        <w:t>Praha – Brno – Ostrava, v horizontu 2025+ elektrická jednotka o kapacitě 400 míst, loko + 7 až</w:t>
      </w:r>
      <w:r>
        <w:t xml:space="preserve"> </w:t>
      </w:r>
      <w:r w:rsidRPr="003D4F4A">
        <w:t>10 vozů, V = 200 km/h. Délka cca 205 až 290 m, v horizontu 2040+ možnost nasazení jednotek pro V = 300‐350</w:t>
      </w:r>
      <w:r>
        <w:t xml:space="preserve"> </w:t>
      </w:r>
      <w:r w:rsidRPr="003D4F4A">
        <w:t>km/h. Délka cca 200 m.</w:t>
      </w:r>
    </w:p>
    <w:p w:rsidR="003D4F4A" w:rsidRPr="003D4F4A" w:rsidRDefault="003D4F4A" w:rsidP="00FA396D">
      <w:r w:rsidRPr="003D4F4A">
        <w:rPr>
          <w:b/>
        </w:rPr>
        <w:t xml:space="preserve">Ex 2 </w:t>
      </w:r>
      <w:r>
        <w:t xml:space="preserve">- </w:t>
      </w:r>
      <w:r w:rsidRPr="003D4F4A">
        <w:t>Praha – Brno – Olomouc/Zlín, v horizontu 2025+ elektrická jednotka o kapacitě 400 míst, loko</w:t>
      </w:r>
      <w:r>
        <w:t xml:space="preserve"> </w:t>
      </w:r>
      <w:r w:rsidRPr="003D4F4A">
        <w:t>+ 7 vozů, V = 200 km/h. Délka cca 205 m. V horizontu 2040+ možnost nasazení jednotek pro V = 300‐350 km/h.</w:t>
      </w:r>
      <w:r>
        <w:t xml:space="preserve"> </w:t>
      </w:r>
      <w:r w:rsidRPr="003D4F4A">
        <w:t>Délka cca 200 m.</w:t>
      </w:r>
    </w:p>
    <w:p w:rsidR="003D4F4A" w:rsidRPr="003D4F4A" w:rsidRDefault="003D4F4A" w:rsidP="00FA396D">
      <w:r w:rsidRPr="003D4F4A">
        <w:rPr>
          <w:b/>
        </w:rPr>
        <w:t xml:space="preserve">Ex 30 </w:t>
      </w:r>
      <w:r>
        <w:t xml:space="preserve">- </w:t>
      </w:r>
      <w:r w:rsidRPr="003D4F4A">
        <w:t>Břeclav/Wien – Brno – Ostrava v horizontu 2025+ elektrická jednotka o kapacitě 400 míst,</w:t>
      </w:r>
      <w:r>
        <w:t xml:space="preserve"> </w:t>
      </w:r>
      <w:r w:rsidRPr="003D4F4A">
        <w:t>loko + 7 vozů, V = 200 km/h. Délka cca 205 m. V horizontu 2040+ možnost nasazení jednotek pro V = 300‐350</w:t>
      </w:r>
      <w:r>
        <w:t xml:space="preserve"> </w:t>
      </w:r>
      <w:r w:rsidRPr="003D4F4A">
        <w:t>km/h. Délka cca 200 m.</w:t>
      </w:r>
    </w:p>
    <w:p w:rsidR="003D4F4A" w:rsidRPr="003D4F4A" w:rsidRDefault="003D4F4A" w:rsidP="00FA396D">
      <w:r w:rsidRPr="003D4F4A">
        <w:rPr>
          <w:b/>
        </w:rPr>
        <w:t>R12</w:t>
      </w:r>
      <w:r w:rsidRPr="003D4F4A">
        <w:t xml:space="preserve"> </w:t>
      </w:r>
      <w:r>
        <w:t xml:space="preserve">- </w:t>
      </w:r>
      <w:r w:rsidRPr="003D4F4A">
        <w:t>Brno – Vyškov – Prostějov – Olomouc/Jeseník, elektrická jednotka o kapacitě 400 míst, loko +</w:t>
      </w:r>
      <w:r>
        <w:t xml:space="preserve"> </w:t>
      </w:r>
      <w:r w:rsidRPr="003D4F4A">
        <w:t>7 vozů, V = 200 km/h. Délka cca 205 m.</w:t>
      </w:r>
    </w:p>
    <w:p w:rsidR="003D4F4A" w:rsidRPr="003D4F4A" w:rsidRDefault="003D4F4A" w:rsidP="00FA396D">
      <w:r w:rsidRPr="003D4F4A">
        <w:rPr>
          <w:b/>
        </w:rPr>
        <w:t>R8</w:t>
      </w:r>
      <w:r w:rsidRPr="003D4F4A">
        <w:t xml:space="preserve"> </w:t>
      </w:r>
      <w:r>
        <w:t xml:space="preserve">- </w:t>
      </w:r>
      <w:r w:rsidRPr="003D4F4A">
        <w:t xml:space="preserve">Brno – Přerov – </w:t>
      </w:r>
      <w:r w:rsidR="006104C4" w:rsidRPr="003D4F4A">
        <w:t>Ostrava</w:t>
      </w:r>
      <w:r w:rsidRPr="003D4F4A">
        <w:t xml:space="preserve"> – Bohumín, elektrická jednotka o kapacitě 400 míst, loko + 7 vozů, V =</w:t>
      </w:r>
      <w:r>
        <w:t xml:space="preserve"> </w:t>
      </w:r>
      <w:r w:rsidRPr="003D4F4A">
        <w:t>200 km/h. Délka cca 205 m.</w:t>
      </w:r>
    </w:p>
    <w:p w:rsidR="003D4F4A" w:rsidRPr="00CC1DA3" w:rsidRDefault="003D4F4A" w:rsidP="00FA396D">
      <w:r w:rsidRPr="003D4F4A">
        <w:rPr>
          <w:b/>
        </w:rPr>
        <w:t>R31</w:t>
      </w:r>
      <w:r w:rsidRPr="003D4F4A">
        <w:t xml:space="preserve"> </w:t>
      </w:r>
      <w:r>
        <w:t xml:space="preserve">- </w:t>
      </w:r>
      <w:r w:rsidRPr="003D4F4A">
        <w:t>Brno – Kojetín – Zlín, elektrická jednotka o kapacitě 400 míst, loko + 7 vozů, V = 200 km/h.</w:t>
      </w:r>
      <w:r>
        <w:t xml:space="preserve"> </w:t>
      </w:r>
      <w:r w:rsidRPr="003D4F4A">
        <w:t>Délka cca 205 m.</w:t>
      </w:r>
    </w:p>
    <w:p w:rsidR="00F03E26" w:rsidRDefault="00D475D2" w:rsidP="00036374">
      <w:pPr>
        <w:pStyle w:val="Nadpis1"/>
      </w:pPr>
      <w:bookmarkStart w:id="10" w:name="_Toc35357587"/>
      <w:r>
        <w:t>Analýza přepravního trhu</w:t>
      </w:r>
      <w:bookmarkEnd w:id="10"/>
    </w:p>
    <w:p w:rsidR="00036374" w:rsidRPr="00036374" w:rsidRDefault="00036374" w:rsidP="00036374">
      <w:pPr>
        <w:pStyle w:val="Nadpis2"/>
      </w:pPr>
      <w:bookmarkStart w:id="11" w:name="_Toc35357588"/>
      <w:r>
        <w:t>Analýza současného stavu</w:t>
      </w:r>
      <w:bookmarkEnd w:id="11"/>
    </w:p>
    <w:p w:rsidR="002D4962" w:rsidRDefault="003D4F4A" w:rsidP="006C3984">
      <w:r>
        <w:t>Počty přepravených osob jsou uváděny souhrnně za oba přepravní směry. Hodnota přepravního zatížení průměrného dubnového dne z roku 2011 v celém úseku řešené trati je naznačena v následujícím grafu (modře – příměstská doprava, oranžově – dálková doprava). Jako určitá kontrola vývoje zatížení bylo pořízeno doplňující sčítání v profilu Luleč mezi lety 2011‐2013. Z porovnání vyplývá stagnace zatížení v oblasti. Hodnoty za rok 2013 jsou o 3% nižší než data pro rok 2011. Dopravní nabídka (počty vlaků, cestovní doby) je pro grafikon 2011 a 2013 prakticky shodná. Není tedy předpokládána výrazná změna v zatížení oproti roku 2011.</w:t>
      </w:r>
    </w:p>
    <w:p w:rsidR="00036374" w:rsidRDefault="00036374" w:rsidP="00036374">
      <w:pPr>
        <w:pStyle w:val="Titulek"/>
        <w:keepNext/>
      </w:pPr>
      <w:r>
        <w:t xml:space="preserve">Obrázek </w:t>
      </w:r>
      <w:r w:rsidR="00C60141">
        <w:rPr>
          <w:noProof/>
        </w:rPr>
        <w:fldChar w:fldCharType="begin"/>
      </w:r>
      <w:r w:rsidR="00C60141">
        <w:rPr>
          <w:noProof/>
        </w:rPr>
        <w:instrText xml:space="preserve"> SEQ Obrázek \* ARABIC </w:instrText>
      </w:r>
      <w:r w:rsidR="00C60141">
        <w:rPr>
          <w:noProof/>
        </w:rPr>
        <w:fldChar w:fldCharType="separate"/>
      </w:r>
      <w:r w:rsidR="00D422A7">
        <w:rPr>
          <w:noProof/>
        </w:rPr>
        <w:t>2</w:t>
      </w:r>
      <w:r w:rsidR="00C60141">
        <w:rPr>
          <w:noProof/>
        </w:rPr>
        <w:fldChar w:fldCharType="end"/>
      </w:r>
      <w:r>
        <w:t xml:space="preserve"> </w:t>
      </w:r>
      <w:r w:rsidR="00377D7C" w:rsidRPr="00377D7C">
        <w:t>Přepravní zatížení Brno – Přerov, 2011, cestující/den</w:t>
      </w:r>
    </w:p>
    <w:p w:rsidR="00036374" w:rsidRDefault="003D4F4A" w:rsidP="00036374">
      <w:pPr>
        <w:keepNext/>
        <w:autoSpaceDE w:val="0"/>
        <w:autoSpaceDN w:val="0"/>
        <w:adjustRightInd w:val="0"/>
        <w:spacing w:after="0"/>
      </w:pPr>
      <w:r w:rsidRPr="003D4F4A">
        <w:rPr>
          <w:noProof/>
          <w:lang w:eastAsia="cs-CZ"/>
        </w:rPr>
        <w:drawing>
          <wp:inline distT="0" distB="0" distL="0" distR="0">
            <wp:extent cx="5760720" cy="2430550"/>
            <wp:effectExtent l="0" t="0" r="0" b="825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3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962" w:rsidRDefault="00036374" w:rsidP="00E130AC">
      <w:pPr>
        <w:pStyle w:val="Titulek"/>
        <w:jc w:val="right"/>
      </w:pPr>
      <w:r>
        <w:t>Zdroj:  Studie proveditelnosti „</w:t>
      </w:r>
      <w:r w:rsidRPr="006B11EA">
        <w:t xml:space="preserve">Modernizace trati </w:t>
      </w:r>
      <w:r w:rsidR="003D4F4A">
        <w:t>Brno - Přerov</w:t>
      </w:r>
      <w:r>
        <w:t>“</w:t>
      </w:r>
    </w:p>
    <w:p w:rsidR="00036374" w:rsidRDefault="00BF58AA" w:rsidP="00BF58AA">
      <w:pPr>
        <w:pStyle w:val="Nadpis2"/>
      </w:pPr>
      <w:bookmarkStart w:id="12" w:name="_Toc35357589"/>
      <w:r w:rsidRPr="00BF58AA">
        <w:t xml:space="preserve">Přepravní prognóza </w:t>
      </w:r>
      <w:r>
        <w:t>osobní</w:t>
      </w:r>
      <w:r w:rsidRPr="00BF58AA">
        <w:t xml:space="preserve"> dopravy</w:t>
      </w:r>
      <w:bookmarkEnd w:id="12"/>
    </w:p>
    <w:p w:rsidR="003D4F4A" w:rsidRPr="00AD4A30" w:rsidRDefault="003D4F4A" w:rsidP="00AD4A30">
      <w:pPr>
        <w:pStyle w:val="Nadpis3"/>
      </w:pPr>
      <w:bookmarkStart w:id="13" w:name="_Toc35357590"/>
      <w:r w:rsidRPr="00AD4A30">
        <w:t>Výsledky prognózy osobní dopravy –</w:t>
      </w:r>
      <w:r w:rsidR="00AD4A30" w:rsidRPr="00AD4A30">
        <w:t xml:space="preserve"> s</w:t>
      </w:r>
      <w:r w:rsidRPr="00AD4A30">
        <w:t>třednědobý horizont</w:t>
      </w:r>
      <w:bookmarkEnd w:id="13"/>
    </w:p>
    <w:p w:rsidR="003D4F4A" w:rsidRPr="00AD4A30" w:rsidRDefault="003D4F4A" w:rsidP="00AD4A30">
      <w:pPr>
        <w:autoSpaceDE w:val="0"/>
        <w:autoSpaceDN w:val="0"/>
        <w:adjustRightInd w:val="0"/>
        <w:spacing w:after="0"/>
      </w:pPr>
      <w:r w:rsidRPr="00AD4A30">
        <w:t>Na základě provedených analýz výchozího stavu, zpracovaného dopravního modelu a aktualizované</w:t>
      </w:r>
      <w:r w:rsidR="00AD4A30">
        <w:t xml:space="preserve"> </w:t>
      </w:r>
      <w:r w:rsidRPr="00AD4A30">
        <w:t xml:space="preserve">prognózy dopravy lze předpokládat působením projektu dopravu převedenou z IAD, autobusové </w:t>
      </w:r>
      <w:r w:rsidRPr="00AD4A30">
        <w:lastRenderedPageBreak/>
        <w:t>dopravy a</w:t>
      </w:r>
      <w:r w:rsidR="00AD4A30">
        <w:t xml:space="preserve"> </w:t>
      </w:r>
      <w:r w:rsidRPr="00AD4A30">
        <w:t>jiných tras železniční dopravy. Vzhledem k významu a zásadním kvalitativním změnám v dopravní nabídce lze</w:t>
      </w:r>
      <w:r w:rsidR="00AD4A30">
        <w:t xml:space="preserve"> </w:t>
      </w:r>
      <w:r w:rsidRPr="00AD4A30">
        <w:t>očekávat i výrazný podíl nově vzniklé, indukované dopravy.</w:t>
      </w:r>
    </w:p>
    <w:p w:rsidR="003D4F4A" w:rsidRPr="00AD4A30" w:rsidRDefault="003D4F4A" w:rsidP="003108C3">
      <w:r w:rsidRPr="00AD4A30">
        <w:t>I přes poměrně nízký rozdíl ve vnímané cestovní době dojde k poměrně významnému přesunu dopravy</w:t>
      </w:r>
      <w:r w:rsidR="00AD4A30">
        <w:t xml:space="preserve"> </w:t>
      </w:r>
      <w:r w:rsidRPr="00AD4A30">
        <w:t>z IAD na železnici. Důvodem je vysoký podíl IAD na celkovém modal splitu takže poměrně nízký přesun objemu</w:t>
      </w:r>
      <w:r w:rsidR="00AD4A30">
        <w:t xml:space="preserve"> </w:t>
      </w:r>
      <w:r w:rsidRPr="00AD4A30">
        <w:t>z pohledu silniční dopravy znamená vysoký přírůstek z pohledu železniční dopravy.</w:t>
      </w:r>
    </w:p>
    <w:p w:rsidR="003D4F4A" w:rsidRPr="00AD4A30" w:rsidRDefault="00AD4A30" w:rsidP="00AD4A30">
      <w:pPr>
        <w:pStyle w:val="Nadpis4"/>
        <w:rPr>
          <w:rFonts w:asciiTheme="minorHAnsi" w:hAnsiTheme="minorHAnsi" w:cstheme="minorBidi"/>
        </w:rPr>
      </w:pPr>
      <w:r>
        <w:t>Indukovaná p</w:t>
      </w:r>
      <w:r w:rsidR="003D4F4A" w:rsidRPr="00AD4A30">
        <w:rPr>
          <w:rFonts w:asciiTheme="minorHAnsi" w:hAnsiTheme="minorHAnsi" w:cstheme="minorBidi"/>
        </w:rPr>
        <w:t>řeprava</w:t>
      </w:r>
    </w:p>
    <w:p w:rsidR="003D4F4A" w:rsidRPr="00AD4A30" w:rsidRDefault="003D4F4A" w:rsidP="003108C3">
      <w:r w:rsidRPr="00AD4A30">
        <w:t>Projekt svou nabídkou mění i vztahy v distribuci cest dopravního modelu a vzniká tím indukce</w:t>
      </w:r>
      <w:r w:rsidR="00AD4A30">
        <w:t xml:space="preserve"> </w:t>
      </w:r>
      <w:r w:rsidRPr="00AD4A30">
        <w:t>přepravy. Jelikož změny v nabídce jsou podstatné, jedná se o území s významnou přepravní poptávkou, vzniká</w:t>
      </w:r>
      <w:r w:rsidR="00AD4A30">
        <w:t xml:space="preserve"> </w:t>
      </w:r>
      <w:r w:rsidRPr="00AD4A30">
        <w:t>i vysoký podíl indukované přepravy. Hlavní relace, kde dochází k indukci dopravy, jsou vázány na Brno. Jedná se</w:t>
      </w:r>
      <w:r w:rsidR="00AD4A30">
        <w:t xml:space="preserve"> </w:t>
      </w:r>
      <w:r w:rsidRPr="00AD4A30">
        <w:t>o vztahy: Brno – Vyškov, Brno – Přerov, Brno – Kojetín, Brno – Chropyně, Brno – Olomouc a Brno – Ostrava.</w:t>
      </w:r>
      <w:r w:rsidR="00AD4A30">
        <w:t xml:space="preserve"> </w:t>
      </w:r>
      <w:r w:rsidRPr="00AD4A30">
        <w:t>Podíl indukované přepravy se pohybuje dle varianty 24‐26% z nově vzniklé přepravy na železnici.</w:t>
      </w:r>
    </w:p>
    <w:p w:rsidR="003D4F4A" w:rsidRDefault="003D4F4A" w:rsidP="00AD4A30">
      <w:pPr>
        <w:pStyle w:val="Nadpis3"/>
      </w:pPr>
      <w:bookmarkStart w:id="14" w:name="_Toc35357591"/>
      <w:r>
        <w:t>Výsledky prognózy osobní dopravy – dlouhodobý horizont</w:t>
      </w:r>
      <w:bookmarkEnd w:id="14"/>
    </w:p>
    <w:p w:rsidR="003D4F4A" w:rsidRPr="00AD4A30" w:rsidRDefault="003D4F4A" w:rsidP="003108C3">
      <w:r w:rsidRPr="00AD4A30">
        <w:t>Pro dlouhodobý horizont bylo zpracováno prověření dopravním modelem bez dopadu do CBA.</w:t>
      </w:r>
      <w:r w:rsidR="00AD4A30">
        <w:t xml:space="preserve"> </w:t>
      </w:r>
      <w:r w:rsidRPr="00AD4A30">
        <w:t>V tomto horizontu je předpokládána realizace VRT Praha – Brno a VRT Přerov – Ostrava, které budou mít na</w:t>
      </w:r>
      <w:r w:rsidR="00AD4A30">
        <w:t xml:space="preserve"> </w:t>
      </w:r>
      <w:r w:rsidRPr="00AD4A30">
        <w:t>řešený projekt zásadní vliv. Jejich dokončení je předpokládáno v roce 2041, posouzení tohoto stavu rozvoje</w:t>
      </w:r>
      <w:r w:rsidR="00AD4A30">
        <w:t xml:space="preserve"> </w:t>
      </w:r>
      <w:r w:rsidRPr="00AD4A30">
        <w:t>dopravní sítě bylo provedeno pro rok 2050, kdy je předpokládána adaptace na novou kvalitu dopravní sítě.</w:t>
      </w:r>
    </w:p>
    <w:p w:rsidR="00EC607C" w:rsidRPr="00BF58AA" w:rsidRDefault="00BF58AA" w:rsidP="00BF58AA">
      <w:pPr>
        <w:pStyle w:val="Nadpis2"/>
      </w:pPr>
      <w:bookmarkStart w:id="15" w:name="_Toc35357592"/>
      <w:r w:rsidRPr="00BF58AA">
        <w:t>Přepravní prognóza nákladní dopravy</w:t>
      </w:r>
      <w:bookmarkEnd w:id="15"/>
    </w:p>
    <w:p w:rsidR="003D4F4A" w:rsidRDefault="003D4F4A" w:rsidP="003108C3">
      <w:r w:rsidRPr="00AD4A30">
        <w:t>Z hlediska nákladní dopravy se neočekávají tak výrazné socioekonomické přínosy jako v</w:t>
      </w:r>
      <w:r w:rsidR="00AD4A30">
        <w:t> </w:t>
      </w:r>
      <w:r w:rsidRPr="00AD4A30">
        <w:t>segmentu</w:t>
      </w:r>
      <w:r w:rsidR="00AD4A30">
        <w:t xml:space="preserve"> </w:t>
      </w:r>
      <w:r w:rsidRPr="00AD4A30">
        <w:t>osobní dopravy. Důvodem je fakt, že prognózované objemy včetně předpokládaného růstu dopravy lze</w:t>
      </w:r>
      <w:r w:rsidR="00AD4A30">
        <w:t xml:space="preserve"> </w:t>
      </w:r>
      <w:r w:rsidRPr="00AD4A30">
        <w:t>uskutečnit i ve variantě bez projektu. Pro řešenou oblast existuje několik předpokladů, které by mohly</w:t>
      </w:r>
      <w:r w:rsidR="00AD4A30">
        <w:t xml:space="preserve"> </w:t>
      </w:r>
      <w:r w:rsidRPr="00AD4A30">
        <w:t>poptávku po nákladní dopravě na řešené trati významně zvýšit. Jejich uskutečnění je však velmi nejisté, takže je</w:t>
      </w:r>
      <w:r w:rsidR="00AD4A30">
        <w:t xml:space="preserve"> </w:t>
      </w:r>
      <w:r w:rsidRPr="00AD4A30">
        <w:t>raději pracováno s konzervativní prognózou. Pokud by došlo k jejich naplnění je možné, že by kapacita ve stavu</w:t>
      </w:r>
      <w:r w:rsidR="00AD4A30">
        <w:t xml:space="preserve"> </w:t>
      </w:r>
      <w:r w:rsidRPr="00AD4A30">
        <w:t>bez projektu byla pro nákladní dopravu nedostatečná. Tyto předpoklady jsou dále uvedeny a slouží jako určitá</w:t>
      </w:r>
      <w:r w:rsidR="00AD4A30">
        <w:t xml:space="preserve"> </w:t>
      </w:r>
      <w:r w:rsidRPr="00AD4A30">
        <w:t>obhajoba kapacitního řešení trati Brno – Přerov, nevstupují však do ekonomického hodnocení.</w:t>
      </w:r>
    </w:p>
    <w:p w:rsidR="008B624A" w:rsidRDefault="008B624A" w:rsidP="008B624A">
      <w:pPr>
        <w:pStyle w:val="Nadpis1"/>
      </w:pPr>
      <w:bookmarkStart w:id="16" w:name="_Toc35357593"/>
      <w:r>
        <w:t>Metodika ekonomického hodnocení – analýza CBA</w:t>
      </w:r>
      <w:bookmarkEnd w:id="16"/>
    </w:p>
    <w:p w:rsidR="008B624A" w:rsidRPr="005B2237" w:rsidRDefault="008B624A" w:rsidP="003108C3">
      <w:r w:rsidRPr="005B2237">
        <w:t xml:space="preserve">Analýza nákladů a přínosů (cost-benefit analysis - CBA) je analytický nástroj pro posuzování ekonomických výhod nebo nevýhod investičních rozhodnutí na základě posouzení jejich nákladů a přínosů s cílem </w:t>
      </w:r>
      <w:r>
        <w:t>vyhodnotit</w:t>
      </w:r>
      <w:r w:rsidRPr="005B2237">
        <w:t xml:space="preserve"> jejich přínos ke změně úrovně blahobytu.</w:t>
      </w:r>
    </w:p>
    <w:p w:rsidR="008B624A" w:rsidRPr="005B2237" w:rsidRDefault="008B624A" w:rsidP="003108C3">
      <w:r w:rsidRPr="005B2237">
        <w:t xml:space="preserve">Metoda CBA je používána pro hodnocení rozličných projektů, zejména pak projektů financovaných z veřejných zdrojů. Důvodem je její variabilita a schopnost do analýz započítat i širokou škálu celospolečenských přínosů/nákladů investic. </w:t>
      </w:r>
    </w:p>
    <w:p w:rsidR="008B624A" w:rsidRPr="005B2237" w:rsidRDefault="008B624A" w:rsidP="003108C3">
      <w:r w:rsidRPr="005B2237">
        <w:t>CBA posuzuje stavbu v dlouhodobém horizontu, u železničních staveb trvá hodnotící období 30 let a zahrnuje realizační fázi stavby a provozní fázi.</w:t>
      </w:r>
    </w:p>
    <w:p w:rsidR="008B624A" w:rsidRPr="00A26406" w:rsidRDefault="008B624A" w:rsidP="003108C3">
      <w:r w:rsidRPr="005B2237">
        <w:t>V rámci CBA se vždy posuzují rozdíly mezi projektovou variantou a variantou bez projektu, rozdíl mezi oběma variantami pak definuje přínos projektové varianty, ten může být kladný i záporný. Jedná se o tzv. Přírůstkový přístup</w:t>
      </w:r>
      <w:r>
        <w:t>, který</w:t>
      </w:r>
      <w:r w:rsidRPr="00A26406">
        <w:t xml:space="preserve"> vychází z těchto principů: </w:t>
      </w:r>
    </w:p>
    <w:p w:rsidR="008B624A" w:rsidRPr="005B2237" w:rsidRDefault="008B624A" w:rsidP="00387689">
      <w:pPr>
        <w:pStyle w:val="Odstavecseseznamem"/>
        <w:numPr>
          <w:ilvl w:val="0"/>
          <w:numId w:val="14"/>
        </w:numPr>
      </w:pPr>
      <w:r w:rsidRPr="005B2237">
        <w:t xml:space="preserve">varianta bez projektu musí popsat, co by se stalo v případě neexistence projektu. V tomto scénáři jsou vypracovány odhady všech peněžních toků souvisejících s operacemi v rámci projektu za každý rok během trvání projektu. V případě investic zaměřených na zlepšení stávajícího aktiva by měl zahrnovat náklady a výnosy/přínosy při provozování a udržování služby na úrovni, která je stále funkční, nebo dokonce malé adaptační investice, které by se uskutečnily v každém případě. Pokud se jako srovnávací scénář použijí minimální změny, mělo by se jednat o proveditelný a věrohodný scénář, který nepovede k nepřiměřeným a nerealistickým dodatečným přínosům a nákladům; </w:t>
      </w:r>
    </w:p>
    <w:p w:rsidR="008B624A" w:rsidRPr="005B2237" w:rsidRDefault="008B624A" w:rsidP="00387689">
      <w:pPr>
        <w:pStyle w:val="Odstavecseseznamem"/>
        <w:numPr>
          <w:ilvl w:val="0"/>
          <w:numId w:val="14"/>
        </w:numPr>
      </w:pPr>
      <w:r>
        <w:lastRenderedPageBreak/>
        <w:t>varianta s projektem zahrnuje peněžní toky</w:t>
      </w:r>
      <w:r w:rsidRPr="005B2237">
        <w:t xml:space="preserve"> pro situace s navrženým projektem. Jsou zde zohledněny všechny investice, finanční a ekonomické náklady a přínosy plynoucí z projektu. </w:t>
      </w:r>
    </w:p>
    <w:p w:rsidR="008B624A" w:rsidRDefault="008B624A" w:rsidP="00387689">
      <w:pPr>
        <w:pStyle w:val="Odstavecseseznamem"/>
        <w:numPr>
          <w:ilvl w:val="0"/>
          <w:numId w:val="14"/>
        </w:numPr>
      </w:pPr>
      <w:r w:rsidRPr="005B2237">
        <w:t>analýza nákladů a přínosů zohledňuje</w:t>
      </w:r>
      <w:r>
        <w:t xml:space="preserve"> </w:t>
      </w:r>
      <w:r w:rsidRPr="00DF1934">
        <w:t>pouze</w:t>
      </w:r>
      <w:r w:rsidRPr="005B2237">
        <w:t xml:space="preserve"> rozdíl mezi peněžními toky ve scénáři s projektem a peněžními toky ve srovnávacím scénáři. Finanční a ekonomické ukazatele výkonnosti se počítají pouze na základě přírůstku peněžních toků. </w:t>
      </w:r>
    </w:p>
    <w:p w:rsidR="008B624A" w:rsidRPr="005B2237" w:rsidRDefault="008B624A" w:rsidP="003108C3">
      <w:r>
        <w:t xml:space="preserve">Rozdílové peněžní toky v jednotlivých letech hodnotícího období utvářejí projektové cash flow. Záporný tok znamená náklad pro investora projektu či společnost, kladný peněžní tok pak zisk, či úsporu nákladů investora či společnosti. </w:t>
      </w:r>
      <w:r w:rsidRPr="005B2237">
        <w:t xml:space="preserve">Tyto hodnoty jsou diskontovány a </w:t>
      </w:r>
      <w:r>
        <w:t>poté</w:t>
      </w:r>
      <w:r w:rsidRPr="005B2237">
        <w:t xml:space="preserve"> sečteny s cílem vypočíst čistý celkový přínos. Celková výkonnost projektu se měří ukazateli, a to ekonomickou čistou současnou hodnotou (ENPV – Economic Net Present Value), vyjádřenou v penězích, ekonomickou mírou návratnosti (ERR – Economic Rate of Return)</w:t>
      </w:r>
      <w:r>
        <w:t xml:space="preserve"> a poměrem přínosů a nákladů (</w:t>
      </w:r>
      <w:r w:rsidR="00675CD8">
        <w:t>B / C – benefit / cost</w:t>
      </w:r>
      <w:r>
        <w:t>)</w:t>
      </w:r>
      <w:r w:rsidRPr="005B2237">
        <w:t xml:space="preserve">, což umožňuje konkurenční projekty nebo alternativy porovnat a seřadit. </w:t>
      </w:r>
    </w:p>
    <w:p w:rsidR="008B624A" w:rsidRPr="005B2237" w:rsidRDefault="008B624A" w:rsidP="003108C3">
      <w:r>
        <w:t xml:space="preserve">Analýza </w:t>
      </w:r>
      <w:r w:rsidRPr="005B2237">
        <w:t xml:space="preserve">nákladů a přínosů tak umožňuje posouzení vlivu projektu na společnost jako celek prostřednictvím výpočtu ukazatelů ekonomické výkonnosti, čímž dojde k posouzení očekávané změny úrovně blahobytu. </w:t>
      </w:r>
    </w:p>
    <w:p w:rsidR="008B624A" w:rsidRDefault="008B624A" w:rsidP="008B624A">
      <w:pPr>
        <w:pStyle w:val="Nadpis2"/>
      </w:pPr>
      <w:bookmarkStart w:id="17" w:name="_Toc35357594"/>
      <w:bookmarkStart w:id="18" w:name="_Toc481053046"/>
      <w:r>
        <w:t>Ekonomické hodnocení SP Brno – Přerov</w:t>
      </w:r>
      <w:bookmarkEnd w:id="17"/>
    </w:p>
    <w:p w:rsidR="008B624A" w:rsidRDefault="008B624A" w:rsidP="008B624A">
      <w:pPr>
        <w:autoSpaceDE w:val="0"/>
        <w:autoSpaceDN w:val="0"/>
        <w:adjustRightInd w:val="0"/>
        <w:spacing w:after="0"/>
      </w:pPr>
      <w:r w:rsidRPr="008B624A">
        <w:t>Ekonomické hodnocení bylo zpracováno jako sou</w:t>
      </w:r>
      <w:r w:rsidRPr="008B624A">
        <w:rPr>
          <w:rFonts w:hint="eastAsia"/>
        </w:rPr>
        <w:t>č</w:t>
      </w:r>
      <w:r w:rsidRPr="008B624A">
        <w:t>ást Studie proveditelnosti stavby „Modernizace trati Brno – P</w:t>
      </w:r>
      <w:r w:rsidRPr="008B624A">
        <w:rPr>
          <w:rFonts w:hint="eastAsia"/>
        </w:rPr>
        <w:t>ř</w:t>
      </w:r>
      <w:r>
        <w:t>erov“ a tvořilo samostatnou část dokumentace č. 3.</w:t>
      </w:r>
      <w:r w:rsidRPr="008B624A">
        <w:t xml:space="preserve"> </w:t>
      </w:r>
    </w:p>
    <w:p w:rsidR="008B624A" w:rsidRPr="008B624A" w:rsidRDefault="008B624A" w:rsidP="008B624A">
      <w:pPr>
        <w:autoSpaceDE w:val="0"/>
        <w:autoSpaceDN w:val="0"/>
        <w:adjustRightInd w:val="0"/>
        <w:spacing w:after="0"/>
      </w:pPr>
      <w:r w:rsidRPr="008B624A">
        <w:t>Stavba byla hodnocena metodou analýzy náklad</w:t>
      </w:r>
      <w:r w:rsidRPr="008B624A">
        <w:rPr>
          <w:rFonts w:hint="eastAsia"/>
        </w:rPr>
        <w:t>ů</w:t>
      </w:r>
      <w:r w:rsidRPr="008B624A">
        <w:t xml:space="preserve"> a p</w:t>
      </w:r>
      <w:r w:rsidRPr="008B624A">
        <w:rPr>
          <w:rFonts w:hint="eastAsia"/>
        </w:rPr>
        <w:t>ř</w:t>
      </w:r>
      <w:r w:rsidRPr="008B624A">
        <w:t>ínos</w:t>
      </w:r>
      <w:r w:rsidRPr="008B624A">
        <w:rPr>
          <w:rFonts w:hint="eastAsia"/>
        </w:rPr>
        <w:t>ů</w:t>
      </w:r>
      <w:r>
        <w:t xml:space="preserve"> </w:t>
      </w:r>
      <w:r w:rsidRPr="008B624A">
        <w:t>v několika variantách.</w:t>
      </w:r>
      <w:r>
        <w:t xml:space="preserve"> Ekonomické hodnocení vycházelo metodicky z </w:t>
      </w:r>
      <w:r w:rsidRPr="008B624A">
        <w:t xml:space="preserve">Prováděcích pokynů pro hodnocení efektivnosti investic projektů železniční infrastruktury, uveřejněných ve Věstníku dopravy č.11/2013 dne </w:t>
      </w:r>
      <w:r w:rsidR="006104C4" w:rsidRPr="008B624A">
        <w:t>22. 5. 2013</w:t>
      </w:r>
      <w:r w:rsidRPr="008B624A">
        <w:t xml:space="preserve"> (dále jen Provád</w:t>
      </w:r>
      <w:r w:rsidRPr="008B624A">
        <w:rPr>
          <w:rFonts w:hint="eastAsia"/>
        </w:rPr>
        <w:t>ě</w:t>
      </w:r>
      <w:r w:rsidRPr="008B624A">
        <w:t>cí pokyny).</w:t>
      </w:r>
      <w:r>
        <w:t xml:space="preserve"> Délka hodnotícího období varianty M2 činila 38 let, výchozí cenová úroveň byla 2018.</w:t>
      </w:r>
      <w:r w:rsidR="0041144C">
        <w:t xml:space="preserve"> Z výpočtů ekonomického hodnocení byly vynechány vlivy související s výstavbou sítě VRT</w:t>
      </w:r>
      <w:r w:rsidR="007D1DAE">
        <w:t>.</w:t>
      </w:r>
      <w:r w:rsidR="0041144C">
        <w:t xml:space="preserve"> Ty byly hodnoceny v ostatních částech SP, nicméně </w:t>
      </w:r>
      <w:r w:rsidR="0041144C" w:rsidRPr="00387FC3">
        <w:rPr>
          <w:b/>
        </w:rPr>
        <w:t>vliv VRT a s tím související nárůst dopravy a počtu cestujících na trati Brno – Přerov</w:t>
      </w:r>
      <w:r w:rsidR="007D1DAE" w:rsidRPr="00387FC3">
        <w:rPr>
          <w:b/>
        </w:rPr>
        <w:t>,</w:t>
      </w:r>
      <w:r w:rsidR="0041144C" w:rsidRPr="00387FC3">
        <w:rPr>
          <w:b/>
        </w:rPr>
        <w:t xml:space="preserve"> byl v SP Brno – Přerov zanedbán.</w:t>
      </w:r>
    </w:p>
    <w:p w:rsidR="008B624A" w:rsidRPr="002E6B5A" w:rsidRDefault="008B624A" w:rsidP="008B624A">
      <w:pPr>
        <w:pStyle w:val="Nadpis2"/>
      </w:pPr>
      <w:bookmarkStart w:id="19" w:name="_Toc35357595"/>
      <w:r w:rsidRPr="002E6B5A">
        <w:t xml:space="preserve">Definice </w:t>
      </w:r>
      <w:r w:rsidRPr="00D62A7A">
        <w:t>základních</w:t>
      </w:r>
      <w:r w:rsidRPr="002E6B5A">
        <w:t xml:space="preserve"> pojmů</w:t>
      </w:r>
      <w:bookmarkEnd w:id="18"/>
      <w:bookmarkEnd w:id="19"/>
    </w:p>
    <w:p w:rsidR="008B624A" w:rsidRPr="002557F7" w:rsidRDefault="008B624A" w:rsidP="008B624A">
      <w:pPr>
        <w:pStyle w:val="Nadpis3"/>
      </w:pPr>
      <w:bookmarkStart w:id="20" w:name="_Toc481053047"/>
      <w:bookmarkStart w:id="21" w:name="_Toc35357596"/>
      <w:r w:rsidRPr="002557F7">
        <w:t>Stanovení referenčního období</w:t>
      </w:r>
      <w:bookmarkEnd w:id="20"/>
      <w:bookmarkEnd w:id="21"/>
    </w:p>
    <w:p w:rsidR="008B624A" w:rsidRPr="0088182E" w:rsidRDefault="008B624A" w:rsidP="0041144C">
      <w:r w:rsidRPr="0088182E">
        <w:t>Základní délka hodnotícího období, je stanovena na 30 let pro železniční i silniční projekty (podle přílohy I Nařízení Komise v přenesené pravomoci (EU) č. 480/2014 ze dne 3. března 2014).</w:t>
      </w:r>
    </w:p>
    <w:p w:rsidR="008B624A" w:rsidRDefault="008B624A" w:rsidP="0041144C">
      <w:r w:rsidRPr="0088182E">
        <w:t>Toto</w:t>
      </w:r>
      <w:r>
        <w:t xml:space="preserve"> </w:t>
      </w:r>
      <w:r w:rsidRPr="0088182E">
        <w:t xml:space="preserve">období zahrnuje jak </w:t>
      </w:r>
      <w:r w:rsidRPr="00C65605">
        <w:t>investi</w:t>
      </w:r>
      <w:r w:rsidRPr="00C65605">
        <w:rPr>
          <w:rFonts w:hint="eastAsia"/>
        </w:rPr>
        <w:t>č</w:t>
      </w:r>
      <w:r w:rsidRPr="00C65605">
        <w:t>n</w:t>
      </w:r>
      <w:r w:rsidRPr="00C65605">
        <w:rPr>
          <w:rFonts w:hint="eastAsia"/>
        </w:rPr>
        <w:t>í</w:t>
      </w:r>
      <w:r w:rsidRPr="00C65605">
        <w:t xml:space="preserve"> (</w:t>
      </w:r>
      <w:r w:rsidR="00443D3C">
        <w:t>8</w:t>
      </w:r>
      <w:r w:rsidRPr="00C65605">
        <w:t xml:space="preserve"> let) tak </w:t>
      </w:r>
      <w:r w:rsidRPr="0088182E">
        <w:t>provozn</w:t>
      </w:r>
      <w:r w:rsidRPr="0088182E">
        <w:rPr>
          <w:rFonts w:hint="eastAsia"/>
        </w:rPr>
        <w:t>í</w:t>
      </w:r>
      <w:r w:rsidRPr="0088182E">
        <w:t xml:space="preserve"> fázi projektu. Investiční fáze zahrnuje pouze časové období vlastní realizace (výstavby) projektu, nikoliv fázi inženýrské a projektové přípravy</w:t>
      </w:r>
      <w:r>
        <w:t xml:space="preserve"> </w:t>
      </w:r>
      <w:r w:rsidRPr="0088182E">
        <w:t>projektu. N</w:t>
      </w:r>
      <w:r w:rsidRPr="0088182E">
        <w:rPr>
          <w:rFonts w:hint="eastAsia"/>
        </w:rPr>
        <w:t>á</w:t>
      </w:r>
      <w:r w:rsidRPr="0088182E">
        <w:t>klady spojené s projek</w:t>
      </w:r>
      <w:r w:rsidRPr="0088182E">
        <w:rPr>
          <w:rFonts w:hint="eastAsia"/>
        </w:rPr>
        <w:t>č</w:t>
      </w:r>
      <w:r w:rsidRPr="0088182E">
        <w:t>n</w:t>
      </w:r>
      <w:r w:rsidRPr="0088182E">
        <w:rPr>
          <w:rFonts w:hint="eastAsia"/>
        </w:rPr>
        <w:t>í</w:t>
      </w:r>
      <w:r w:rsidRPr="0088182E">
        <w:t xml:space="preserve"> a in</w:t>
      </w:r>
      <w:r w:rsidRPr="0088182E">
        <w:rPr>
          <w:rFonts w:hint="eastAsia"/>
        </w:rPr>
        <w:t>ž</w:t>
      </w:r>
      <w:r w:rsidRPr="0088182E">
        <w:t>en</w:t>
      </w:r>
      <w:r w:rsidRPr="0088182E">
        <w:rPr>
          <w:rFonts w:hint="eastAsia"/>
        </w:rPr>
        <w:t>ý</w:t>
      </w:r>
      <w:r w:rsidRPr="0088182E">
        <w:t xml:space="preserve">rskou </w:t>
      </w:r>
      <w:r w:rsidRPr="0088182E">
        <w:rPr>
          <w:rFonts w:hint="eastAsia"/>
        </w:rPr>
        <w:t>č</w:t>
      </w:r>
      <w:r w:rsidRPr="0088182E">
        <w:t>innost</w:t>
      </w:r>
      <w:r w:rsidRPr="0088182E">
        <w:rPr>
          <w:rFonts w:hint="eastAsia"/>
        </w:rPr>
        <w:t>í</w:t>
      </w:r>
      <w:r w:rsidRPr="0088182E">
        <w:t xml:space="preserve"> (včetně v</w:t>
      </w:r>
      <w:r w:rsidRPr="0088182E">
        <w:rPr>
          <w:rFonts w:hint="eastAsia"/>
        </w:rPr>
        <w:t>ý</w:t>
      </w:r>
      <w:r w:rsidRPr="0088182E">
        <w:t>kup</w:t>
      </w:r>
      <w:r w:rsidRPr="0088182E">
        <w:rPr>
          <w:rFonts w:hint="eastAsia"/>
        </w:rPr>
        <w:t>ů</w:t>
      </w:r>
      <w:r w:rsidRPr="0088182E">
        <w:t xml:space="preserve"> pozemk</w:t>
      </w:r>
      <w:r w:rsidRPr="0088182E">
        <w:rPr>
          <w:rFonts w:hint="eastAsia"/>
        </w:rPr>
        <w:t>ů</w:t>
      </w:r>
      <w:r w:rsidRPr="0088182E">
        <w:t xml:space="preserve">) </w:t>
      </w:r>
      <w:r w:rsidR="00387FC3">
        <w:t>jsou</w:t>
      </w:r>
      <w:r>
        <w:t xml:space="preserve"> </w:t>
      </w:r>
      <w:r w:rsidRPr="0088182E">
        <w:t>vyjádř</w:t>
      </w:r>
      <w:r w:rsidR="00387FC3">
        <w:t>eny</w:t>
      </w:r>
      <w:r w:rsidRPr="0088182E">
        <w:t xml:space="preserve"> ve stálých cenách </w:t>
      </w:r>
      <w:r w:rsidR="00387FC3">
        <w:t>a jsou přičteny k nákladům realizační fáze</w:t>
      </w:r>
      <w:r w:rsidRPr="0088182E">
        <w:t>.</w:t>
      </w:r>
      <w:r w:rsidRPr="002557F7">
        <w:t xml:space="preserve"> </w:t>
      </w:r>
    </w:p>
    <w:p w:rsidR="008B624A" w:rsidRDefault="008B624A" w:rsidP="0041144C">
      <w:pPr>
        <w:rPr>
          <w:u w:val="single"/>
        </w:rPr>
      </w:pPr>
      <w:r w:rsidRPr="0041144C">
        <w:rPr>
          <w:u w:val="single"/>
        </w:rPr>
        <w:t>Oproti EH zpracovanému v rámci SP dojde ke zkrácení hodnotícího období o 8 let, vzhledem k tomu, že metodické pokyny z roku 2013 umožňovaly stanovit referenční období na 30 let + dobu výstavby pro projekty realizované déle než 3 roky. V rámci SP tak byla délka hodnotícího období stanovena na 38 let, dle 8 let trvající výstavby varianty M2.</w:t>
      </w:r>
      <w:r w:rsidR="00387FC3">
        <w:rPr>
          <w:u w:val="single"/>
        </w:rPr>
        <w:t xml:space="preserve"> Současně s tím došlo k posunu začátku výstavby o </w:t>
      </w:r>
      <w:r w:rsidR="004C1DBF">
        <w:rPr>
          <w:u w:val="single"/>
        </w:rPr>
        <w:t>šest let</w:t>
      </w:r>
      <w:r w:rsidR="00387FC3">
        <w:rPr>
          <w:u w:val="single"/>
        </w:rPr>
        <w:t xml:space="preserve"> z roku 2018 do roku 202</w:t>
      </w:r>
      <w:r w:rsidR="004C1DBF">
        <w:rPr>
          <w:u w:val="single"/>
        </w:rPr>
        <w:t>4</w:t>
      </w:r>
      <w:r w:rsidR="00387FC3">
        <w:rPr>
          <w:u w:val="single"/>
        </w:rPr>
        <w:t>.</w:t>
      </w:r>
    </w:p>
    <w:p w:rsidR="00D93D2E" w:rsidRPr="0041144C" w:rsidRDefault="00D93D2E" w:rsidP="0041144C">
      <w:pPr>
        <w:rPr>
          <w:u w:val="single"/>
        </w:rPr>
      </w:pPr>
      <w:r>
        <w:rPr>
          <w:u w:val="single"/>
        </w:rPr>
        <w:t>Dopravní model ve studii proveditelnosti uvažoval s dokončením stavby v roce 2025. Výstupy z dopravního modelu do ekonomického hodnocení ve formě množství uspořeného času a převedení cestujících byly uvažovány od roku 2026. Posun začátku realizace modernizace a změna termínu dokončení na rok 20</w:t>
      </w:r>
      <w:r w:rsidR="004C1DBF">
        <w:rPr>
          <w:u w:val="single"/>
        </w:rPr>
        <w:t>3</w:t>
      </w:r>
      <w:r w:rsidR="00CB6FC0">
        <w:rPr>
          <w:u w:val="single"/>
        </w:rPr>
        <w:t>1</w:t>
      </w:r>
      <w:r>
        <w:rPr>
          <w:u w:val="single"/>
        </w:rPr>
        <w:t xml:space="preserve"> znamená mimo jiné, že celospolečenské přínosy uvažované v letech 2026-20</w:t>
      </w:r>
      <w:r w:rsidR="004C1DBF">
        <w:rPr>
          <w:u w:val="single"/>
        </w:rPr>
        <w:t>3</w:t>
      </w:r>
      <w:r w:rsidR="00F177C0">
        <w:rPr>
          <w:u w:val="single"/>
        </w:rPr>
        <w:t>1</w:t>
      </w:r>
      <w:r>
        <w:rPr>
          <w:u w:val="single"/>
        </w:rPr>
        <w:t xml:space="preserve"> nenastanou. V rámci aktualizace jsou tyto přínosy zanedbány a je uvažováno pouze s přínosy v letech 20</w:t>
      </w:r>
      <w:r w:rsidR="00461425">
        <w:rPr>
          <w:u w:val="single"/>
        </w:rPr>
        <w:t>3</w:t>
      </w:r>
      <w:r w:rsidR="00F177C0">
        <w:rPr>
          <w:u w:val="single"/>
        </w:rPr>
        <w:t>2</w:t>
      </w:r>
      <w:r>
        <w:rPr>
          <w:u w:val="single"/>
        </w:rPr>
        <w:t>-205</w:t>
      </w:r>
      <w:r w:rsidR="004C1DBF">
        <w:rPr>
          <w:u w:val="single"/>
        </w:rPr>
        <w:t>3</w:t>
      </w:r>
      <w:r>
        <w:rPr>
          <w:u w:val="single"/>
        </w:rPr>
        <w:t xml:space="preserve"> a to v nezměněné formě ze SP.</w:t>
      </w:r>
    </w:p>
    <w:p w:rsidR="008B624A" w:rsidRPr="002E6B5A" w:rsidRDefault="008B624A" w:rsidP="008B624A">
      <w:pPr>
        <w:pStyle w:val="Nadpis3"/>
      </w:pPr>
      <w:bookmarkStart w:id="22" w:name="_Toc481053049"/>
      <w:bookmarkStart w:id="23" w:name="_Toc35357597"/>
      <w:r w:rsidRPr="002E6B5A">
        <w:lastRenderedPageBreak/>
        <w:t>Cenová úroveň</w:t>
      </w:r>
      <w:bookmarkEnd w:id="22"/>
      <w:bookmarkEnd w:id="23"/>
    </w:p>
    <w:p w:rsidR="008B624A" w:rsidRPr="002557F7" w:rsidRDefault="008B624A" w:rsidP="0041144C">
      <w:r w:rsidRPr="002557F7">
        <w:t xml:space="preserve">Ekonomické hodnocení je </w:t>
      </w:r>
      <w:r>
        <w:t>vypočteno</w:t>
      </w:r>
      <w:r w:rsidRPr="002557F7">
        <w:t xml:space="preserve"> za využití tzv. stálých (reálných) cen, tedy cen v cenové úrovni jednoho konkrétní roku, nezávisle na roku referenčního období. Výsledné ceny tedy zanedbávají inflaci v průběhu referenčního období.</w:t>
      </w:r>
    </w:p>
    <w:p w:rsidR="008B624A" w:rsidRPr="002557F7" w:rsidRDefault="008B624A" w:rsidP="0041144C">
      <w:r w:rsidRPr="002557F7">
        <w:t>Výchozí cenová úroveň (CÚ) je stanovena podle roku zpracování ekonomického hodnocení, kterým je rok 20</w:t>
      </w:r>
      <w:r w:rsidR="00EE06CF">
        <w:t>20</w:t>
      </w:r>
      <w:r w:rsidRPr="002557F7">
        <w:t>.</w:t>
      </w:r>
    </w:p>
    <w:p w:rsidR="008B624A" w:rsidRPr="002557F7" w:rsidRDefault="008B624A" w:rsidP="0041144C">
      <w:r w:rsidRPr="002557F7">
        <w:t xml:space="preserve">Všechny vstupy importované do ekonomického hodnocení jsou přepočteny na tuto cenovou úroveň. Pro převod mezi jednotlivými cenovými úrovněmi jsou použity koeficienty zveřejněné </w:t>
      </w:r>
      <w:r w:rsidRPr="002E6B5A">
        <w:t>Metodických pokynech</w:t>
      </w:r>
      <w:r w:rsidRPr="002557F7">
        <w:t xml:space="preserve">. </w:t>
      </w:r>
    </w:p>
    <w:p w:rsidR="0041144C" w:rsidRDefault="0041144C" w:rsidP="0041144C">
      <w:pPr>
        <w:pStyle w:val="Titulek"/>
        <w:keepNext/>
      </w:pPr>
      <w:r>
        <w:t xml:space="preserve">Tabulka </w:t>
      </w:r>
      <w:r w:rsidR="00C60141">
        <w:rPr>
          <w:noProof/>
        </w:rPr>
        <w:fldChar w:fldCharType="begin"/>
      </w:r>
      <w:r w:rsidR="00C60141">
        <w:rPr>
          <w:noProof/>
        </w:rPr>
        <w:instrText xml:space="preserve"> SEQ Tabulka \* ARABIC </w:instrText>
      </w:r>
      <w:r w:rsidR="00C60141">
        <w:rPr>
          <w:noProof/>
        </w:rPr>
        <w:fldChar w:fldCharType="separate"/>
      </w:r>
      <w:r w:rsidR="00D422A7">
        <w:rPr>
          <w:noProof/>
        </w:rPr>
        <w:t>2</w:t>
      </w:r>
      <w:r w:rsidR="00C60141">
        <w:rPr>
          <w:noProof/>
        </w:rPr>
        <w:fldChar w:fldCharType="end"/>
      </w:r>
      <w:r>
        <w:t xml:space="preserve"> </w:t>
      </w:r>
      <w:r w:rsidRPr="00FF1DDA">
        <w:t>Vývoj inflace, růstu HDP na hlavu a růstu reálných mezd v ČR</w:t>
      </w:r>
    </w:p>
    <w:tbl>
      <w:tblPr>
        <w:tblW w:w="9163" w:type="dxa"/>
        <w:tblInd w:w="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1"/>
        <w:gridCol w:w="780"/>
        <w:gridCol w:w="780"/>
        <w:gridCol w:w="779"/>
        <w:gridCol w:w="779"/>
        <w:gridCol w:w="779"/>
        <w:gridCol w:w="779"/>
        <w:gridCol w:w="779"/>
        <w:gridCol w:w="779"/>
        <w:gridCol w:w="737"/>
        <w:gridCol w:w="811"/>
      </w:tblGrid>
      <w:tr w:rsidR="004C1DBF" w:rsidRPr="002557F7" w:rsidTr="004C1DBF">
        <w:trPr>
          <w:trHeight w:val="310"/>
        </w:trPr>
        <w:tc>
          <w:tcPr>
            <w:tcW w:w="1381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1DBF" w:rsidRPr="002557F7" w:rsidRDefault="004C1DBF" w:rsidP="00B203D8">
            <w:pPr>
              <w:spacing w:after="0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557F7">
              <w:rPr>
                <w:rFonts w:ascii="Arial" w:hAnsi="Arial" w:cs="Arial"/>
                <w:sz w:val="18"/>
                <w:szCs w:val="18"/>
                <w:lang w:eastAsia="cs-CZ"/>
              </w:rPr>
              <w:t>Rok</w:t>
            </w:r>
          </w:p>
        </w:tc>
        <w:tc>
          <w:tcPr>
            <w:tcW w:w="78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4C1DBF" w:rsidRPr="002557F7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557F7">
              <w:rPr>
                <w:rFonts w:ascii="Arial" w:hAnsi="Arial" w:cs="Arial"/>
                <w:sz w:val="18"/>
                <w:szCs w:val="18"/>
                <w:lang w:eastAsia="cs-CZ"/>
              </w:rPr>
              <w:t>2012</w:t>
            </w:r>
          </w:p>
        </w:tc>
        <w:tc>
          <w:tcPr>
            <w:tcW w:w="780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4C1DBF" w:rsidRPr="002557F7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557F7">
              <w:rPr>
                <w:rFonts w:ascii="Arial" w:hAnsi="Arial" w:cs="Arial"/>
                <w:sz w:val="18"/>
                <w:szCs w:val="18"/>
                <w:lang w:eastAsia="cs-CZ"/>
              </w:rPr>
              <w:t>2013</w:t>
            </w:r>
          </w:p>
        </w:tc>
        <w:tc>
          <w:tcPr>
            <w:tcW w:w="77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4C1DBF" w:rsidRPr="002557F7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557F7">
              <w:rPr>
                <w:rFonts w:ascii="Arial" w:hAnsi="Arial" w:cs="Arial"/>
                <w:sz w:val="18"/>
                <w:szCs w:val="18"/>
                <w:lang w:eastAsia="cs-CZ"/>
              </w:rPr>
              <w:t>2014</w:t>
            </w:r>
          </w:p>
        </w:tc>
        <w:tc>
          <w:tcPr>
            <w:tcW w:w="77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4C1DBF" w:rsidRPr="002557F7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557F7">
              <w:rPr>
                <w:rFonts w:ascii="Arial" w:hAnsi="Arial" w:cs="Arial"/>
                <w:sz w:val="18"/>
                <w:szCs w:val="18"/>
                <w:lang w:eastAsia="cs-CZ"/>
              </w:rPr>
              <w:t>2015</w:t>
            </w:r>
          </w:p>
        </w:tc>
        <w:tc>
          <w:tcPr>
            <w:tcW w:w="77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4C1DBF" w:rsidRPr="002557F7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557F7">
              <w:rPr>
                <w:rFonts w:ascii="Arial" w:hAnsi="Arial" w:cs="Arial"/>
                <w:sz w:val="18"/>
                <w:szCs w:val="18"/>
                <w:lang w:eastAsia="cs-CZ"/>
              </w:rPr>
              <w:t>2016</w:t>
            </w:r>
          </w:p>
        </w:tc>
        <w:tc>
          <w:tcPr>
            <w:tcW w:w="77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4C1DBF" w:rsidRPr="002557F7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557F7">
              <w:rPr>
                <w:rFonts w:ascii="Arial" w:hAnsi="Arial" w:cs="Arial"/>
                <w:sz w:val="18"/>
                <w:szCs w:val="18"/>
                <w:lang w:eastAsia="cs-CZ"/>
              </w:rPr>
              <w:t>2017</w:t>
            </w:r>
          </w:p>
        </w:tc>
        <w:tc>
          <w:tcPr>
            <w:tcW w:w="77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4C1DBF" w:rsidRPr="002557F7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557F7">
              <w:rPr>
                <w:rFonts w:ascii="Arial" w:hAnsi="Arial" w:cs="Arial"/>
                <w:sz w:val="18"/>
                <w:szCs w:val="18"/>
                <w:lang w:eastAsia="cs-CZ"/>
              </w:rPr>
              <w:t>2018</w:t>
            </w:r>
          </w:p>
        </w:tc>
        <w:tc>
          <w:tcPr>
            <w:tcW w:w="779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4C1DBF" w:rsidRPr="002557F7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557F7">
              <w:rPr>
                <w:rFonts w:ascii="Arial" w:hAnsi="Arial" w:cs="Arial"/>
                <w:sz w:val="18"/>
                <w:szCs w:val="18"/>
                <w:lang w:eastAsia="cs-CZ"/>
              </w:rPr>
              <w:t>2019</w:t>
            </w:r>
          </w:p>
        </w:tc>
        <w:tc>
          <w:tcPr>
            <w:tcW w:w="737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4C1DBF" w:rsidRPr="002557F7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557F7">
              <w:rPr>
                <w:rFonts w:ascii="Arial" w:hAnsi="Arial" w:cs="Arial"/>
                <w:sz w:val="18"/>
                <w:szCs w:val="18"/>
                <w:lang w:eastAsia="cs-CZ"/>
              </w:rPr>
              <w:t>2020</w:t>
            </w:r>
          </w:p>
        </w:tc>
        <w:tc>
          <w:tcPr>
            <w:tcW w:w="81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vAlign w:val="bottom"/>
          </w:tcPr>
          <w:p w:rsidR="004C1DBF" w:rsidRPr="002557F7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eastAsia="cs-CZ"/>
              </w:rPr>
            </w:pPr>
            <w:r>
              <w:rPr>
                <w:rFonts w:ascii="Arial" w:hAnsi="Arial" w:cs="Arial"/>
                <w:sz w:val="18"/>
                <w:szCs w:val="18"/>
                <w:lang w:eastAsia="cs-CZ"/>
              </w:rPr>
              <w:t>2020+</w:t>
            </w:r>
          </w:p>
        </w:tc>
      </w:tr>
      <w:tr w:rsidR="004C1DBF" w:rsidRPr="002557F7" w:rsidTr="004C1DBF">
        <w:trPr>
          <w:trHeight w:val="255"/>
        </w:trPr>
        <w:tc>
          <w:tcPr>
            <w:tcW w:w="13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1DBF" w:rsidRPr="002557F7" w:rsidRDefault="004C1DBF" w:rsidP="004C1DBF">
            <w:pPr>
              <w:spacing w:after="0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557F7">
              <w:rPr>
                <w:rFonts w:ascii="Arial" w:hAnsi="Arial" w:cs="Arial"/>
                <w:sz w:val="18"/>
                <w:szCs w:val="18"/>
                <w:lang w:eastAsia="cs-CZ"/>
              </w:rPr>
              <w:t>Inflace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3,30%</w:t>
            </w:r>
          </w:p>
        </w:tc>
        <w:tc>
          <w:tcPr>
            <w:tcW w:w="780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1,40%</w:t>
            </w:r>
          </w:p>
        </w:tc>
        <w:tc>
          <w:tcPr>
            <w:tcW w:w="779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0,40%</w:t>
            </w:r>
          </w:p>
        </w:tc>
        <w:tc>
          <w:tcPr>
            <w:tcW w:w="779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0,30%</w:t>
            </w:r>
          </w:p>
        </w:tc>
        <w:tc>
          <w:tcPr>
            <w:tcW w:w="779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0,70%</w:t>
            </w:r>
          </w:p>
        </w:tc>
        <w:tc>
          <w:tcPr>
            <w:tcW w:w="779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2,50%</w:t>
            </w:r>
          </w:p>
        </w:tc>
        <w:tc>
          <w:tcPr>
            <w:tcW w:w="779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2,10%</w:t>
            </w:r>
          </w:p>
        </w:tc>
        <w:tc>
          <w:tcPr>
            <w:tcW w:w="779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2,20%</w:t>
            </w:r>
          </w:p>
        </w:tc>
        <w:tc>
          <w:tcPr>
            <w:tcW w:w="737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2,00%</w:t>
            </w:r>
          </w:p>
        </w:tc>
        <w:tc>
          <w:tcPr>
            <w:tcW w:w="811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1,63%</w:t>
            </w:r>
          </w:p>
        </w:tc>
      </w:tr>
      <w:tr w:rsidR="004C1DBF" w:rsidRPr="002557F7" w:rsidTr="004C1DBF">
        <w:trPr>
          <w:trHeight w:val="255"/>
        </w:trPr>
        <w:tc>
          <w:tcPr>
            <w:tcW w:w="1381" w:type="dxa"/>
            <w:tcBorders>
              <w:top w:val="dotted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1DBF" w:rsidRPr="002557F7" w:rsidRDefault="004C1DBF" w:rsidP="004C1DBF">
            <w:pPr>
              <w:spacing w:after="0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557F7">
              <w:rPr>
                <w:rFonts w:ascii="Arial" w:hAnsi="Arial" w:cs="Arial"/>
                <w:sz w:val="18"/>
                <w:szCs w:val="18"/>
                <w:lang w:eastAsia="cs-CZ"/>
              </w:rPr>
              <w:t>Inflace stav. pr.</w:t>
            </w:r>
          </w:p>
        </w:tc>
        <w:tc>
          <w:tcPr>
            <w:tcW w:w="78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-0,70%</w:t>
            </w:r>
          </w:p>
        </w:tc>
        <w:tc>
          <w:tcPr>
            <w:tcW w:w="780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-1,10%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0,50%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0,00%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0,00%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0,00%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0,00%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1,30%</w:t>
            </w:r>
          </w:p>
        </w:tc>
        <w:tc>
          <w:tcPr>
            <w:tcW w:w="737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675CD8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2,35</w:t>
            </w:r>
            <w:r w:rsidR="004C1DBF" w:rsidRPr="004C1DBF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vAlign w:val="bottom"/>
          </w:tcPr>
          <w:p w:rsidR="004C1DBF" w:rsidRPr="004C1DBF" w:rsidRDefault="00675CD8" w:rsidP="00675CD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2,35</w:t>
            </w:r>
            <w:r w:rsidR="004C1DBF" w:rsidRPr="004C1DBF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4C1DBF" w:rsidRPr="002557F7" w:rsidTr="004C1DBF">
        <w:trPr>
          <w:trHeight w:val="255"/>
        </w:trPr>
        <w:tc>
          <w:tcPr>
            <w:tcW w:w="1381" w:type="dxa"/>
            <w:tcBorders>
              <w:top w:val="dotted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1DBF" w:rsidRPr="002557F7" w:rsidRDefault="004C1DBF" w:rsidP="004C1DBF">
            <w:pPr>
              <w:spacing w:after="0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557F7">
              <w:rPr>
                <w:rFonts w:ascii="Arial" w:hAnsi="Arial" w:cs="Arial"/>
                <w:sz w:val="18"/>
                <w:szCs w:val="18"/>
                <w:lang w:eastAsia="cs-CZ"/>
              </w:rPr>
              <w:t>HDP na hlavu</w:t>
            </w:r>
          </w:p>
        </w:tc>
        <w:tc>
          <w:tcPr>
            <w:tcW w:w="78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-0,70%</w:t>
            </w:r>
          </w:p>
        </w:tc>
        <w:tc>
          <w:tcPr>
            <w:tcW w:w="780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-0,50%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2,70%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5,40%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2,40%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4,50%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2,80%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2,90%</w:t>
            </w:r>
          </w:p>
        </w:tc>
        <w:tc>
          <w:tcPr>
            <w:tcW w:w="737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3,00%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2,36%</w:t>
            </w:r>
          </w:p>
        </w:tc>
      </w:tr>
      <w:tr w:rsidR="004C1DBF" w:rsidRPr="002557F7" w:rsidTr="004C1DBF">
        <w:trPr>
          <w:trHeight w:val="255"/>
        </w:trPr>
        <w:tc>
          <w:tcPr>
            <w:tcW w:w="1381" w:type="dxa"/>
            <w:tcBorders>
              <w:top w:val="dotted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C1DBF" w:rsidRPr="002557F7" w:rsidRDefault="004C1DBF" w:rsidP="004C1DBF">
            <w:pPr>
              <w:spacing w:after="0"/>
              <w:rPr>
                <w:rFonts w:ascii="Arial" w:hAnsi="Arial" w:cs="Arial"/>
                <w:sz w:val="18"/>
                <w:szCs w:val="18"/>
                <w:lang w:eastAsia="cs-CZ"/>
              </w:rPr>
            </w:pPr>
            <w:r w:rsidRPr="002557F7">
              <w:rPr>
                <w:rFonts w:ascii="Arial" w:hAnsi="Arial" w:cs="Arial"/>
                <w:sz w:val="18"/>
                <w:szCs w:val="18"/>
                <w:lang w:eastAsia="cs-CZ"/>
              </w:rPr>
              <w:t>Reálné mzdy</w:t>
            </w:r>
          </w:p>
        </w:tc>
        <w:tc>
          <w:tcPr>
            <w:tcW w:w="78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-0,80%</w:t>
            </w:r>
          </w:p>
        </w:tc>
        <w:tc>
          <w:tcPr>
            <w:tcW w:w="780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-1,50%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2,50%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2,90%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3,00%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4,40%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6,40%</w:t>
            </w:r>
          </w:p>
        </w:tc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4,70%</w:t>
            </w:r>
          </w:p>
        </w:tc>
        <w:tc>
          <w:tcPr>
            <w:tcW w:w="737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3,40%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vAlign w:val="bottom"/>
          </w:tcPr>
          <w:p w:rsidR="004C1DBF" w:rsidRPr="004C1DBF" w:rsidRDefault="004C1DBF" w:rsidP="004C1DB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DBF">
              <w:rPr>
                <w:rFonts w:ascii="Arial" w:hAnsi="Arial" w:cs="Arial"/>
                <w:sz w:val="18"/>
                <w:szCs w:val="18"/>
              </w:rPr>
              <w:t>2,29%</w:t>
            </w:r>
          </w:p>
        </w:tc>
      </w:tr>
    </w:tbl>
    <w:p w:rsidR="008B624A" w:rsidRPr="00CC6A6A" w:rsidRDefault="008B624A" w:rsidP="008B624A">
      <w:pPr>
        <w:autoSpaceDE w:val="0"/>
        <w:autoSpaceDN w:val="0"/>
        <w:adjustRightInd w:val="0"/>
        <w:spacing w:after="0"/>
        <w:rPr>
          <w:u w:val="single"/>
        </w:rPr>
      </w:pPr>
      <w:r>
        <w:rPr>
          <w:u w:val="single"/>
        </w:rPr>
        <w:t xml:space="preserve">V rámci této aktualizace bude zachována výchozí cenová úroveň EH studie proveditelnosti, tedy </w:t>
      </w:r>
      <w:r w:rsidR="00EE06CF">
        <w:rPr>
          <w:u w:val="single"/>
        </w:rPr>
        <w:t>CÚ 2020</w:t>
      </w:r>
      <w:r>
        <w:rPr>
          <w:u w:val="single"/>
        </w:rPr>
        <w:t>.</w:t>
      </w:r>
    </w:p>
    <w:p w:rsidR="0041144C" w:rsidRDefault="0041144C" w:rsidP="0041144C"/>
    <w:p w:rsidR="006672FE" w:rsidRDefault="0041144C" w:rsidP="0041144C">
      <w:pPr>
        <w:pStyle w:val="Nadpis1"/>
      </w:pPr>
      <w:r>
        <w:br w:type="page"/>
      </w:r>
      <w:bookmarkStart w:id="24" w:name="_Toc35357598"/>
      <w:r w:rsidR="006672FE">
        <w:lastRenderedPageBreak/>
        <w:t>Finanční analýza</w:t>
      </w:r>
      <w:bookmarkEnd w:id="24"/>
    </w:p>
    <w:p w:rsidR="006764A3" w:rsidRDefault="006764A3" w:rsidP="006764A3">
      <w:r>
        <w:t xml:space="preserve">Do finanční analýzy vstupují: </w:t>
      </w:r>
    </w:p>
    <w:p w:rsidR="006764A3" w:rsidRDefault="006764A3" w:rsidP="00387689">
      <w:pPr>
        <w:pStyle w:val="Odstavecseseznamem"/>
        <w:numPr>
          <w:ilvl w:val="0"/>
          <w:numId w:val="3"/>
        </w:numPr>
      </w:pPr>
      <w:r>
        <w:t xml:space="preserve">investiční náklady, </w:t>
      </w:r>
    </w:p>
    <w:p w:rsidR="006764A3" w:rsidRDefault="006764A3" w:rsidP="00387689">
      <w:pPr>
        <w:pStyle w:val="Odstavecseseznamem"/>
        <w:numPr>
          <w:ilvl w:val="0"/>
          <w:numId w:val="3"/>
        </w:numPr>
      </w:pPr>
      <w:r>
        <w:t xml:space="preserve">náklady na údržbu a opravy železniční infrastruktury, </w:t>
      </w:r>
    </w:p>
    <w:p w:rsidR="006764A3" w:rsidRDefault="006764A3" w:rsidP="00387689">
      <w:pPr>
        <w:pStyle w:val="Odstavecseseznamem"/>
        <w:numPr>
          <w:ilvl w:val="0"/>
          <w:numId w:val="3"/>
        </w:numPr>
      </w:pPr>
      <w:r>
        <w:t xml:space="preserve">náklady na zaměstnance řízení dopravy, </w:t>
      </w:r>
    </w:p>
    <w:p w:rsidR="006764A3" w:rsidRDefault="006764A3" w:rsidP="00387689">
      <w:pPr>
        <w:pStyle w:val="Odstavecseseznamem"/>
        <w:numPr>
          <w:ilvl w:val="0"/>
          <w:numId w:val="3"/>
        </w:numPr>
      </w:pPr>
      <w:r>
        <w:t xml:space="preserve">příjmy z poplatku za použití dopravní cesty. </w:t>
      </w:r>
    </w:p>
    <w:p w:rsidR="0041144C" w:rsidRDefault="006764A3" w:rsidP="0041144C">
      <w:pPr>
        <w:rPr>
          <w:b/>
        </w:rPr>
      </w:pPr>
      <w:r w:rsidRPr="0041144C">
        <w:rPr>
          <w:b/>
        </w:rPr>
        <w:t>Výsledek finanční analýzy</w:t>
      </w:r>
      <w:r w:rsidR="00B450BB" w:rsidRPr="0041144C">
        <w:rPr>
          <w:b/>
        </w:rPr>
        <w:t xml:space="preserve"> varianty M2</w:t>
      </w:r>
      <w:r w:rsidRPr="0041144C">
        <w:rPr>
          <w:b/>
        </w:rPr>
        <w:t xml:space="preserve"> činil</w:t>
      </w:r>
      <w:r w:rsidR="0041144C">
        <w:rPr>
          <w:b/>
        </w:rPr>
        <w:t xml:space="preserve"> v rámci Studie proveditelnosti:</w:t>
      </w:r>
    </w:p>
    <w:p w:rsidR="00036374" w:rsidRPr="0041144C" w:rsidRDefault="006764A3" w:rsidP="0041144C">
      <w:pPr>
        <w:jc w:val="center"/>
        <w:rPr>
          <w:b/>
        </w:rPr>
      </w:pPr>
      <w:r w:rsidRPr="0041144C">
        <w:rPr>
          <w:b/>
        </w:rPr>
        <w:t>FRR -5,</w:t>
      </w:r>
      <w:r w:rsidR="00B450BB" w:rsidRPr="0041144C">
        <w:rPr>
          <w:b/>
        </w:rPr>
        <w:t>46</w:t>
      </w:r>
      <w:r w:rsidRPr="0041144C">
        <w:rPr>
          <w:b/>
        </w:rPr>
        <w:t>%, FNP</w:t>
      </w:r>
      <w:r w:rsidR="00FA0061">
        <w:rPr>
          <w:b/>
        </w:rPr>
        <w:t>V</w:t>
      </w:r>
      <w:r w:rsidRPr="0041144C">
        <w:rPr>
          <w:b/>
        </w:rPr>
        <w:t xml:space="preserve"> -</w:t>
      </w:r>
      <w:r w:rsidR="00B450BB" w:rsidRPr="0041144C">
        <w:rPr>
          <w:b/>
        </w:rPr>
        <w:t>21 631 315</w:t>
      </w:r>
      <w:r w:rsidRPr="0041144C">
        <w:rPr>
          <w:b/>
        </w:rPr>
        <w:t xml:space="preserve"> tis. Kč.</w:t>
      </w:r>
    </w:p>
    <w:p w:rsidR="006764A3" w:rsidRDefault="006764A3" w:rsidP="006764A3">
      <w:pPr>
        <w:pStyle w:val="Nadpis2"/>
      </w:pPr>
      <w:bookmarkStart w:id="25" w:name="_Toc35357599"/>
      <w:r w:rsidRPr="006764A3">
        <w:t>Investiční náklady</w:t>
      </w:r>
      <w:bookmarkEnd w:id="25"/>
    </w:p>
    <w:p w:rsidR="00807D90" w:rsidRPr="00461425" w:rsidRDefault="00675CD8" w:rsidP="00DF1F35">
      <w:r>
        <w:t xml:space="preserve">V rámci studie proveditelnosti byly náklady všech staveb vyčísleny na 32,5 mld. Kč bez rezervy a DPH v cenové úrovni 2018. V rámci této aktualizace ekonomického hodnocení byly aktualizovány náklady v rámci celé tratě Brno - Přerov, celkové investiční náklady bez rezervy a DPH činí </w:t>
      </w:r>
      <w:r w:rsidR="00032BE4">
        <w:t>57,0</w:t>
      </w:r>
      <w:r w:rsidRPr="00461425">
        <w:t xml:space="preserve"> mld. Kč</w:t>
      </w:r>
      <w:r>
        <w:t xml:space="preserve"> (CÚ 20</w:t>
      </w:r>
      <w:r w:rsidR="00EE06CF">
        <w:t xml:space="preserve">20). </w:t>
      </w:r>
      <w:r w:rsidR="00DF1F35" w:rsidRPr="00461425">
        <w:t>Nárůst nákladů</w:t>
      </w:r>
      <w:r w:rsidR="00A3067F" w:rsidRPr="00461425">
        <w:t xml:space="preserve"> v CÚ 20</w:t>
      </w:r>
      <w:r w:rsidR="00EE06CF">
        <w:t>20</w:t>
      </w:r>
      <w:r w:rsidR="00DF1F35" w:rsidRPr="00461425">
        <w:t xml:space="preserve"> činí </w:t>
      </w:r>
      <w:r w:rsidR="002B04B2">
        <w:t>25,</w:t>
      </w:r>
      <w:r w:rsidR="00032BE4">
        <w:t>4</w:t>
      </w:r>
      <w:r w:rsidR="0031413E">
        <w:t xml:space="preserve"> </w:t>
      </w:r>
      <w:r w:rsidR="00DF1F35" w:rsidRPr="00461425">
        <w:t xml:space="preserve">mld. Kč, po odečtení rezervy činí tento rozdíl </w:t>
      </w:r>
      <w:r w:rsidR="002B04B2">
        <w:t>23,</w:t>
      </w:r>
      <w:r w:rsidR="00032BE4">
        <w:t>4</w:t>
      </w:r>
      <w:r w:rsidR="00DF1F35" w:rsidRPr="00461425">
        <w:t xml:space="preserve"> mld. Kč</w:t>
      </w:r>
    </w:p>
    <w:p w:rsidR="00807D90" w:rsidRDefault="00807D90" w:rsidP="00807D90">
      <w:pPr>
        <w:pStyle w:val="Titulek"/>
        <w:keepNext/>
      </w:pPr>
      <w:r>
        <w:t xml:space="preserve">Tabulka </w:t>
      </w:r>
      <w:r w:rsidR="00C60141">
        <w:rPr>
          <w:noProof/>
        </w:rPr>
        <w:fldChar w:fldCharType="begin"/>
      </w:r>
      <w:r w:rsidR="00C60141">
        <w:rPr>
          <w:noProof/>
        </w:rPr>
        <w:instrText xml:space="preserve"> SEQ Tabulka \* ARABIC </w:instrText>
      </w:r>
      <w:r w:rsidR="00C60141">
        <w:rPr>
          <w:noProof/>
        </w:rPr>
        <w:fldChar w:fldCharType="separate"/>
      </w:r>
      <w:r w:rsidR="00D422A7">
        <w:rPr>
          <w:noProof/>
        </w:rPr>
        <w:t>3</w:t>
      </w:r>
      <w:r w:rsidR="00C60141">
        <w:rPr>
          <w:noProof/>
        </w:rPr>
        <w:fldChar w:fldCharType="end"/>
      </w:r>
      <w:r>
        <w:t xml:space="preserve"> Přehled investičních nákladů Modernizace tratě Brno – Přerov v tis. Kč, </w:t>
      </w:r>
      <w:r w:rsidR="00EE06CF">
        <w:t>CÚ 2020</w:t>
      </w:r>
      <w:r>
        <w:t xml:space="preserve"> </w:t>
      </w:r>
    </w:p>
    <w:p w:rsidR="00DF1F35" w:rsidRDefault="00032BE4" w:rsidP="00DF1F35">
      <w:r w:rsidRPr="00032BE4">
        <w:rPr>
          <w:noProof/>
        </w:rPr>
        <w:drawing>
          <wp:inline distT="0" distB="0" distL="0" distR="0">
            <wp:extent cx="5760720" cy="1842135"/>
            <wp:effectExtent l="0" t="0" r="0" b="571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4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010" w:rsidRPr="00EA2D07" w:rsidRDefault="00675CD8" w:rsidP="00DA441F">
      <w:r>
        <w:t xml:space="preserve">Pro kalkulaci celkových nákladů 4 staveb (2. až 5. úsek) </w:t>
      </w:r>
      <w:r w:rsidR="00DF1F35">
        <w:t xml:space="preserve">byly využity náklady kalkulované v rámci </w:t>
      </w:r>
      <w:r w:rsidR="00F75A4E">
        <w:t>přípravných dokumentací, pro 1. stavbu v úseku Ponětovice – Blažovice byla využita kalkulace nákladů zpracovan</w:t>
      </w:r>
      <w:r w:rsidR="00DA441F">
        <w:t>á dle Sborníku pro oceňování železničních staveb ve stupni studie p</w:t>
      </w:r>
      <w:r w:rsidR="003678B3">
        <w:t>roveditelnosti a záměr projektu, a</w:t>
      </w:r>
      <w:r w:rsidR="00DA441F">
        <w:t>ktualizace 2019</w:t>
      </w:r>
      <w:r w:rsidR="003678B3">
        <w:t xml:space="preserve"> (SPOŽES)</w:t>
      </w:r>
      <w:r w:rsidR="00DF1F35">
        <w:t xml:space="preserve">. Aktualizovaný </w:t>
      </w:r>
      <w:r w:rsidR="00DF1F35" w:rsidRPr="00EA2D07">
        <w:t>harmonogram provádění staveb na rameni Brno – Přerov včetně investičních nákladů bez rezervy je uveden níže.</w:t>
      </w:r>
    </w:p>
    <w:p w:rsidR="00074010" w:rsidRPr="00EA2D07" w:rsidRDefault="00074010" w:rsidP="00074010">
      <w:pPr>
        <w:pStyle w:val="Titulek"/>
        <w:keepNext/>
      </w:pPr>
      <w:r w:rsidRPr="00EA2D07">
        <w:t xml:space="preserve">Tabulka </w:t>
      </w:r>
      <w:r w:rsidR="00C60141" w:rsidRPr="00EA2D07">
        <w:rPr>
          <w:noProof/>
        </w:rPr>
        <w:fldChar w:fldCharType="begin"/>
      </w:r>
      <w:r w:rsidR="00C60141" w:rsidRPr="00EA2D07">
        <w:rPr>
          <w:noProof/>
        </w:rPr>
        <w:instrText xml:space="preserve"> SEQ Tabulka \* ARABIC </w:instrText>
      </w:r>
      <w:r w:rsidR="00C60141" w:rsidRPr="00EA2D07">
        <w:rPr>
          <w:noProof/>
        </w:rPr>
        <w:fldChar w:fldCharType="separate"/>
      </w:r>
      <w:r w:rsidR="00D422A7">
        <w:rPr>
          <w:noProof/>
        </w:rPr>
        <w:t>4</w:t>
      </w:r>
      <w:r w:rsidR="00C60141" w:rsidRPr="00EA2D07">
        <w:rPr>
          <w:noProof/>
        </w:rPr>
        <w:fldChar w:fldCharType="end"/>
      </w:r>
      <w:r w:rsidRPr="00EA2D07">
        <w:t xml:space="preserve"> Přehled investičních nákladů</w:t>
      </w:r>
      <w:r w:rsidR="00DF1F35" w:rsidRPr="00EA2D07">
        <w:t xml:space="preserve"> bez rezervy</w:t>
      </w:r>
      <w:r w:rsidR="00377D7C" w:rsidRPr="00EA2D07">
        <w:t xml:space="preserve">, </w:t>
      </w:r>
      <w:r w:rsidR="00EE06CF">
        <w:t>CÚ 2020</w:t>
      </w:r>
      <w:r w:rsidR="00377D7C" w:rsidRPr="00EA2D07">
        <w:t>, v tis. Kč</w:t>
      </w:r>
    </w:p>
    <w:p w:rsidR="0016264A" w:rsidRDefault="00D77E1B" w:rsidP="00E62C53">
      <w:r w:rsidRPr="00D77E1B">
        <w:rPr>
          <w:noProof/>
        </w:rPr>
        <w:drawing>
          <wp:inline distT="0" distB="0" distL="0" distR="0">
            <wp:extent cx="5760720" cy="1059815"/>
            <wp:effectExtent l="0" t="0" r="0" b="698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5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680" w:rsidRDefault="0016264A" w:rsidP="00E62C53">
      <w:r>
        <w:t xml:space="preserve">Celkové náklady za celý řešený úsek včetně rezervy budou činit </w:t>
      </w:r>
      <w:r w:rsidR="00D77E1B">
        <w:t>62,0</w:t>
      </w:r>
      <w:r>
        <w:t xml:space="preserve"> mld. Kč</w:t>
      </w:r>
      <w:r w:rsidR="00A3067F">
        <w:t xml:space="preserve"> v </w:t>
      </w:r>
      <w:r w:rsidR="00EE06CF">
        <w:t>CÚ 2020</w:t>
      </w:r>
      <w:r>
        <w:t>.</w:t>
      </w:r>
    </w:p>
    <w:p w:rsidR="00AA1680" w:rsidRPr="00E403B2" w:rsidRDefault="00AA1680" w:rsidP="005D0D26">
      <w:pPr>
        <w:pStyle w:val="Nadpis2"/>
      </w:pPr>
      <w:bookmarkStart w:id="26" w:name="_Toc35357600"/>
      <w:r w:rsidRPr="00E403B2">
        <w:t>Náklady na údržbu a opravy železniční infrastruktury</w:t>
      </w:r>
      <w:bookmarkEnd w:id="26"/>
      <w:r w:rsidRPr="00E403B2">
        <w:t xml:space="preserve"> </w:t>
      </w:r>
    </w:p>
    <w:p w:rsidR="00611C67" w:rsidRDefault="00B450BB" w:rsidP="0041144C">
      <w:r>
        <w:t>Náklady na údržbu varianty bez projektu vycház</w:t>
      </w:r>
      <w:r w:rsidR="00E66080">
        <w:t>í</w:t>
      </w:r>
      <w:r w:rsidR="005146C2">
        <w:t xml:space="preserve"> </w:t>
      </w:r>
      <w:r>
        <w:t>z analýzy nákladů údržby let 2009-2013, náklady na opravy pak byly</w:t>
      </w:r>
      <w:r w:rsidR="003678B3">
        <w:t xml:space="preserve"> v rámci SP</w:t>
      </w:r>
      <w:r>
        <w:t xml:space="preserve"> sestaveny na základě podkladů správce infrastruktury.</w:t>
      </w:r>
      <w:r w:rsidR="00611C67" w:rsidRPr="00611C67">
        <w:t xml:space="preserve"> </w:t>
      </w:r>
      <w:r w:rsidR="00611C67">
        <w:t>Celkem náklady na provozuschopnost bezprojektové varianty činily</w:t>
      </w:r>
      <w:r w:rsidR="00387FC3">
        <w:t xml:space="preserve"> v letech 2018-2055</w:t>
      </w:r>
      <w:r w:rsidR="00611C67">
        <w:t xml:space="preserve"> 8,0 mld. Kč.</w:t>
      </w:r>
    </w:p>
    <w:p w:rsidR="00387FC3" w:rsidRPr="00394886" w:rsidRDefault="00387FC3" w:rsidP="0041144C">
      <w:r w:rsidRPr="00394886">
        <w:t>Do ná</w:t>
      </w:r>
      <w:r w:rsidR="00885CC6" w:rsidRPr="00394886">
        <w:t>kladů provozuschopnosti bezproj</w:t>
      </w:r>
      <w:r w:rsidRPr="00394886">
        <w:t>e</w:t>
      </w:r>
      <w:r w:rsidR="00885CC6" w:rsidRPr="00394886">
        <w:t>k</w:t>
      </w:r>
      <w:r w:rsidRPr="00394886">
        <w:t>tové varianty se v aktualizaci ekonomického hodnocení promítne zkrácení hodnotícího období a posun jeho začátku na rok 202</w:t>
      </w:r>
      <w:r w:rsidR="00403E45" w:rsidRPr="00394886">
        <w:t>4</w:t>
      </w:r>
      <w:r w:rsidRPr="00394886">
        <w:t>.</w:t>
      </w:r>
      <w:r w:rsidR="00EF351B" w:rsidRPr="00394886">
        <w:t xml:space="preserve"> </w:t>
      </w:r>
      <w:r w:rsidR="00697F6C" w:rsidRPr="00394886">
        <w:t>Oproti SP byly k nákladům varianty bez projektu přičteny i náklady na opravy technologických zařízení, jejichž životnost po první uvažované opravě skončí před koncem hodnotícího období</w:t>
      </w:r>
      <w:r w:rsidR="003678B3">
        <w:t xml:space="preserve">, současně byly opravy objektů a zařízení </w:t>
      </w:r>
      <w:r w:rsidR="003678B3">
        <w:lastRenderedPageBreak/>
        <w:t>přeceněny dle SPOŽES</w:t>
      </w:r>
      <w:r w:rsidR="00697F6C" w:rsidRPr="00394886">
        <w:t xml:space="preserve">. </w:t>
      </w:r>
      <w:r w:rsidR="00BC6310" w:rsidRPr="00394886">
        <w:t>Celkové náklady na provozuschopnost varianty bez projektu činí v letech 202</w:t>
      </w:r>
      <w:r w:rsidR="00403E45" w:rsidRPr="00394886">
        <w:t>4</w:t>
      </w:r>
      <w:r w:rsidR="00BC6310" w:rsidRPr="00394886">
        <w:t>-205</w:t>
      </w:r>
      <w:r w:rsidR="00403E45" w:rsidRPr="00394886">
        <w:t>3</w:t>
      </w:r>
      <w:r w:rsidR="00BC6310" w:rsidRPr="00394886">
        <w:t xml:space="preserve"> </w:t>
      </w:r>
      <w:r w:rsidR="00394886" w:rsidRPr="00394886">
        <w:t>14,</w:t>
      </w:r>
      <w:r w:rsidR="00CD3655">
        <w:t>3</w:t>
      </w:r>
      <w:r w:rsidR="00BC6310" w:rsidRPr="00394886">
        <w:t xml:space="preserve"> mld. Kč.</w:t>
      </w:r>
    </w:p>
    <w:p w:rsidR="007C57EA" w:rsidRDefault="007C57EA" w:rsidP="00E403B2">
      <w:r>
        <w:t xml:space="preserve">Náklady na provozuschopnost projektové varianty jsou součtem nákladů na údržbu a obnovu </w:t>
      </w:r>
      <w:r w:rsidR="006104C4">
        <w:t>infrastruktury</w:t>
      </w:r>
      <w:r>
        <w:t xml:space="preserve">. V rámci SP byly náklady na údržbu </w:t>
      </w:r>
      <w:r w:rsidR="006104C4">
        <w:t>stanoveny</w:t>
      </w:r>
      <w:r>
        <w:t xml:space="preserve"> na základě skutečných nákladů na údržbu </w:t>
      </w:r>
      <w:r w:rsidR="0041144C">
        <w:t xml:space="preserve">obdobné </w:t>
      </w:r>
      <w:r>
        <w:t>nově vybudované dvoukolejné elektrizované tratě</w:t>
      </w:r>
      <w:r w:rsidR="00611C67">
        <w:t>. N</w:t>
      </w:r>
      <w:r>
        <w:t xml:space="preserve">áklady na obnovu pak vycházely ze stavebních nákladů </w:t>
      </w:r>
      <w:r w:rsidR="006104C4">
        <w:t>objektů</w:t>
      </w:r>
      <w:r>
        <w:t xml:space="preserve"> a </w:t>
      </w:r>
      <w:r w:rsidR="006104C4">
        <w:t>zařízení, jež</w:t>
      </w:r>
      <w:r>
        <w:t xml:space="preserve"> bude třeba v průběhu 38letého hodnotícího </w:t>
      </w:r>
      <w:r w:rsidR="006104C4">
        <w:t>období</w:t>
      </w:r>
      <w:r>
        <w:t xml:space="preserve"> obnovit.</w:t>
      </w:r>
      <w:r w:rsidR="00611C67">
        <w:t xml:space="preserve"> Celkem náklady na provozuschopnost činily 5,7 mld. Kč.</w:t>
      </w:r>
    </w:p>
    <w:p w:rsidR="00FA029D" w:rsidRDefault="00FA029D" w:rsidP="00AA1680">
      <w:r>
        <w:t>V rámci aktualizace byly náklady</w:t>
      </w:r>
      <w:r w:rsidR="009D6E43">
        <w:t xml:space="preserve"> na údržbu</w:t>
      </w:r>
      <w:r w:rsidR="005146C2">
        <w:t xml:space="preserve"> </w:t>
      </w:r>
      <w:r w:rsidR="00403E45">
        <w:t>přepočteny na cenovou úroveň 20</w:t>
      </w:r>
      <w:r w:rsidR="006134A4">
        <w:t>20</w:t>
      </w:r>
      <w:r w:rsidR="00E66080" w:rsidRPr="00E66080">
        <w:t>, přičemž jediným rozdílem je rok uvedení do provozu projektové varianty</w:t>
      </w:r>
      <w:r w:rsidR="009D6E43" w:rsidRPr="00697F6C">
        <w:t xml:space="preserve"> a tedy i změna nákladů na údržbu, která byla původně uvažována </w:t>
      </w:r>
      <w:r w:rsidR="00C97BD9" w:rsidRPr="00697F6C">
        <w:t>v roce 2026 a nyní až v roce 203</w:t>
      </w:r>
      <w:r w:rsidR="007E05FE">
        <w:t>2</w:t>
      </w:r>
      <w:r w:rsidR="00EC3666" w:rsidRPr="00697F6C">
        <w:t xml:space="preserve"> (rok uvedení </w:t>
      </w:r>
      <w:r w:rsidR="00EC3666" w:rsidRPr="00A77A55">
        <w:t>všech stave</w:t>
      </w:r>
      <w:r w:rsidR="00403E45" w:rsidRPr="00A77A55">
        <w:t>b</w:t>
      </w:r>
      <w:r w:rsidR="00EC3666" w:rsidRPr="00A77A55">
        <w:t xml:space="preserve"> do provozu)</w:t>
      </w:r>
      <w:r w:rsidR="009D6E43" w:rsidRPr="00A77A55">
        <w:t xml:space="preserve">. Současně se změnou data dokončení jednotlivých staveb byly posunuty v čase i data reinvestic jednotlivých objektů a zařízení. </w:t>
      </w:r>
      <w:r w:rsidR="00394886" w:rsidRPr="00A77A55">
        <w:t>Stejně tak</w:t>
      </w:r>
      <w:r w:rsidR="009D6E43" w:rsidRPr="00A77A55">
        <w:t xml:space="preserve"> byly přepočteny náklady reinvestic dle současných investičních nákladů.</w:t>
      </w:r>
      <w:r w:rsidRPr="00A77A55">
        <w:t xml:space="preserve"> </w:t>
      </w:r>
      <w:r w:rsidR="001E5AAC" w:rsidRPr="00A77A55">
        <w:t xml:space="preserve">Celkové náklady na provozuschopnost projektové varianty budou činit </w:t>
      </w:r>
      <w:r w:rsidR="00403E45" w:rsidRPr="00A77A55">
        <w:t>3,</w:t>
      </w:r>
      <w:r w:rsidR="006134A4">
        <w:t>4</w:t>
      </w:r>
      <w:r w:rsidR="001E5AAC" w:rsidRPr="00A77A55">
        <w:t xml:space="preserve"> mld. Kč. </w:t>
      </w:r>
      <w:r w:rsidRPr="00A77A55">
        <w:t xml:space="preserve">Celková úspora nákladů provozuschopnosti </w:t>
      </w:r>
      <w:r w:rsidR="00A77A55">
        <w:t>bude činit</w:t>
      </w:r>
      <w:r w:rsidRPr="00A77A55">
        <w:t xml:space="preserve"> </w:t>
      </w:r>
      <w:r w:rsidR="00403E45" w:rsidRPr="00A77A55">
        <w:t>10,</w:t>
      </w:r>
      <w:r w:rsidR="006134A4">
        <w:t>9</w:t>
      </w:r>
      <w:r w:rsidRPr="00A77A55">
        <w:t xml:space="preserve"> mld. Kč</w:t>
      </w:r>
      <w:r w:rsidR="007B7531" w:rsidRPr="00A77A55">
        <w:t xml:space="preserve"> (náklady na provozuschopnost v letech jsou uvedeny v přiložených CBA </w:t>
      </w:r>
      <w:r w:rsidR="006104C4" w:rsidRPr="00A77A55">
        <w:t>tabulkách).</w:t>
      </w:r>
      <w:r w:rsidR="00EC3666" w:rsidRPr="00A77A55">
        <w:t xml:space="preserve"> Důvodem zvýšené </w:t>
      </w:r>
      <w:r w:rsidR="00EC3666" w:rsidRPr="00697F6C">
        <w:t>úspory nákladů na provozuschopnost je zkrácení hodnotícího období projektu. V SP uvažované 3</w:t>
      </w:r>
      <w:r w:rsidR="00EC3666">
        <w:t>8leté hodnotící období v sobě zahrnovalo v posledních letech nemalé reinvestice do vybraných objektů projektové varianty. Zkrácením hodnotícího období se tyto reinvestice posunuly mimo hodnotící období a nejsou tak do ekonomického hodnocení zahrnuty.</w:t>
      </w:r>
      <w:r w:rsidR="002F09AD">
        <w:t xml:space="preserve"> </w:t>
      </w:r>
      <w:r w:rsidR="00403E45">
        <w:t>Druhým důvodem</w:t>
      </w:r>
      <w:r w:rsidR="005D5F18">
        <w:t xml:space="preserve"> vyšší</w:t>
      </w:r>
      <w:r w:rsidR="00403E45">
        <w:t xml:space="preserve"> úspory</w:t>
      </w:r>
      <w:r w:rsidR="005D5F18">
        <w:t xml:space="preserve"> nákladů na provozuschopnost je aktualizace nákladů varianty bez projektu a jejich převedení na současnou cenovou úroveň</w:t>
      </w:r>
      <w:r w:rsidR="00403E45">
        <w:t>.</w:t>
      </w:r>
    </w:p>
    <w:p w:rsidR="00AA1680" w:rsidRPr="00167D3C" w:rsidRDefault="00AA1680" w:rsidP="005D0D26">
      <w:pPr>
        <w:pStyle w:val="Nadpis2"/>
      </w:pPr>
      <w:bookmarkStart w:id="27" w:name="_Toc35357601"/>
      <w:r w:rsidRPr="00167D3C">
        <w:t>Náklady na zaměstnance řízení dopravy</w:t>
      </w:r>
      <w:bookmarkEnd w:id="27"/>
      <w:r w:rsidRPr="00167D3C">
        <w:t xml:space="preserve"> </w:t>
      </w:r>
    </w:p>
    <w:p w:rsidR="00AA1680" w:rsidRDefault="00FA029D" w:rsidP="0041144C">
      <w:r>
        <w:t xml:space="preserve">Po dokončení modernizace celé tratě dojde ke snížení počtu pracovníků obsluhující dopravní cestu </w:t>
      </w:r>
      <w:r w:rsidR="006104C4">
        <w:t>z</w:t>
      </w:r>
      <w:r w:rsidR="005211D1">
        <w:t>e</w:t>
      </w:r>
      <w:r>
        <w:t xml:space="preserve"> </w:t>
      </w:r>
      <w:r w:rsidR="00FC67A9">
        <w:t>101</w:t>
      </w:r>
      <w:r>
        <w:t xml:space="preserve"> pracovníků (stav v roce 201</w:t>
      </w:r>
      <w:r w:rsidR="00FC67A9">
        <w:t>7</w:t>
      </w:r>
      <w:r>
        <w:t xml:space="preserve">) na 0, současně vyvstane potřeba obsadit CDP Přerov 27 pracovníky ve funkci výpravčí a 11 pracovníky ve funkci operátor (více </w:t>
      </w:r>
      <w:r w:rsidR="005211D1">
        <w:t xml:space="preserve">Příloha č. 1 SP - </w:t>
      </w:r>
      <w:r>
        <w:t xml:space="preserve">Dopravní technologie). Celková úspora bude činit </w:t>
      </w:r>
      <w:r w:rsidR="00FC67A9">
        <w:t>63</w:t>
      </w:r>
      <w:r>
        <w:t xml:space="preserve"> pracovníků.</w:t>
      </w:r>
    </w:p>
    <w:p w:rsidR="00AA1680" w:rsidRDefault="00AA1680" w:rsidP="00167D3C">
      <w:r>
        <w:t>Na základě počtu pracovníků a měrných nákladů na jednoho pracovníka byly vyčísleny ce</w:t>
      </w:r>
      <w:r w:rsidR="00167D3C">
        <w:t xml:space="preserve">lkové náklady na řízení dopravy, které v rámci SP činily pro variantu bez projektu </w:t>
      </w:r>
      <w:r w:rsidR="00FA029D">
        <w:t>3,4 mld</w:t>
      </w:r>
      <w:r w:rsidR="00167D3C">
        <w:t xml:space="preserve">. Kč a pro projektovou variantu </w:t>
      </w:r>
      <w:r w:rsidR="00FA029D">
        <w:t>1,7</w:t>
      </w:r>
      <w:r w:rsidR="00984E8C">
        <w:t xml:space="preserve"> </w:t>
      </w:r>
      <w:r w:rsidR="00FA029D">
        <w:t>mld</w:t>
      </w:r>
      <w:r w:rsidR="00167D3C">
        <w:t>. Kč. Vyjádřeno v CÚ 201</w:t>
      </w:r>
      <w:r w:rsidR="00FA029D">
        <w:t>8</w:t>
      </w:r>
      <w:r w:rsidR="00167D3C">
        <w:t xml:space="preserve"> pro hodnotící období </w:t>
      </w:r>
      <w:r w:rsidR="00FA029D">
        <w:t>2018-</w:t>
      </w:r>
      <w:r w:rsidR="00167D3C">
        <w:t>205</w:t>
      </w:r>
      <w:r w:rsidR="00FA029D">
        <w:t>5</w:t>
      </w:r>
      <w:r w:rsidR="00167D3C">
        <w:t>.</w:t>
      </w:r>
      <w:r w:rsidR="00291B24">
        <w:t xml:space="preserve"> Úspora proj</w:t>
      </w:r>
      <w:r w:rsidR="00167D3C">
        <w:t>e</w:t>
      </w:r>
      <w:r w:rsidR="00291B24">
        <w:t>k</w:t>
      </w:r>
      <w:r w:rsidR="00167D3C">
        <w:t xml:space="preserve">tové varianty činila </w:t>
      </w:r>
      <w:r w:rsidR="00FA029D">
        <w:t>1,7</w:t>
      </w:r>
      <w:r w:rsidR="00984E8C">
        <w:t xml:space="preserve"> </w:t>
      </w:r>
      <w:r w:rsidR="00FA029D">
        <w:t>mld</w:t>
      </w:r>
      <w:r w:rsidR="00167D3C">
        <w:t>. Kč</w:t>
      </w:r>
      <w:r w:rsidR="00FC67A9">
        <w:t>. V rámci SP byl výchozí stav počtu pracovníků z roku 2013, kdy celkový počet pracovníků obsluhy dopravní cesty činil v úseku od Rousínova až po Věžky 98,3 pracovníka. Celková personální úspora tedy byla nižší a činila 60,3 pracovníka po dokončení realizace všech staveb.</w:t>
      </w:r>
    </w:p>
    <w:p w:rsidR="00167D3C" w:rsidRDefault="00FC6535" w:rsidP="00167D3C">
      <w:r>
        <w:t xml:space="preserve">V rámci aktualizace byly využity aktuální nákladové sazby na jednotlivé profese </w:t>
      </w:r>
      <w:r w:rsidR="00167D3C">
        <w:t>a hodnotíc</w:t>
      </w:r>
      <w:r w:rsidR="00291B24">
        <w:t>í</w:t>
      </w:r>
      <w:r w:rsidR="00167D3C">
        <w:t xml:space="preserve"> období zkráceno na </w:t>
      </w:r>
      <w:r w:rsidR="00CE00DD">
        <w:t xml:space="preserve">roky </w:t>
      </w:r>
      <w:r w:rsidR="00167D3C">
        <w:t>20</w:t>
      </w:r>
      <w:r>
        <w:t>2</w:t>
      </w:r>
      <w:r w:rsidR="001265BF">
        <w:t>4</w:t>
      </w:r>
      <w:r w:rsidR="00167D3C">
        <w:t>-20</w:t>
      </w:r>
      <w:r w:rsidR="00FC67A9">
        <w:t>5</w:t>
      </w:r>
      <w:r w:rsidR="001265BF">
        <w:t>3</w:t>
      </w:r>
      <w:r w:rsidR="00167D3C">
        <w:t xml:space="preserve">. </w:t>
      </w:r>
      <w:r>
        <w:t xml:space="preserve">Současně byl aktualizován počet pracovníků </w:t>
      </w:r>
      <w:r w:rsidR="00FC67A9">
        <w:t>v řešeném úseku</w:t>
      </w:r>
      <w:r>
        <w:t>, který se mírně liš</w:t>
      </w:r>
      <w:r w:rsidR="006104C4">
        <w:t>í</w:t>
      </w:r>
      <w:r>
        <w:t xml:space="preserve"> od počtu uvedeného v SP. </w:t>
      </w:r>
      <w:r w:rsidR="00167D3C">
        <w:t xml:space="preserve">Výsledná úspora projektové varianty činí </w:t>
      </w:r>
      <w:r w:rsidR="006E6E8C">
        <w:t>1,</w:t>
      </w:r>
      <w:r w:rsidR="006134A4">
        <w:t>31</w:t>
      </w:r>
      <w:r w:rsidR="00984E8C">
        <w:t xml:space="preserve"> </w:t>
      </w:r>
      <w:r>
        <w:t>mld</w:t>
      </w:r>
      <w:r w:rsidR="00167D3C">
        <w:t>. Kč</w:t>
      </w:r>
      <w:r w:rsidR="000A0F63">
        <w:t>,</w:t>
      </w:r>
      <w:r w:rsidR="00984E8C">
        <w:t xml:space="preserve"> při celkových nákladech bezprojektové varianty </w:t>
      </w:r>
      <w:r w:rsidR="002D3A42">
        <w:t>2,</w:t>
      </w:r>
      <w:r w:rsidR="006134A4">
        <w:t>74</w:t>
      </w:r>
      <w:r>
        <w:t xml:space="preserve"> mld</w:t>
      </w:r>
      <w:r w:rsidR="00984E8C">
        <w:t xml:space="preserve">. Kč a nákladech projektové varianty </w:t>
      </w:r>
      <w:r w:rsidR="002D3A42">
        <w:t>1,</w:t>
      </w:r>
      <w:r w:rsidR="00106ACD">
        <w:t>4</w:t>
      </w:r>
      <w:r w:rsidR="006134A4">
        <w:t>4</w:t>
      </w:r>
      <w:r w:rsidR="00984E8C">
        <w:t xml:space="preserve"> m</w:t>
      </w:r>
      <w:r>
        <w:t>ld</w:t>
      </w:r>
      <w:r w:rsidR="00984E8C">
        <w:t>. Kč</w:t>
      </w:r>
      <w:r w:rsidR="00167D3C">
        <w:t xml:space="preserve"> (náklady na provozování v letech jsou uvedeny v přiložených CBA tabulkách)</w:t>
      </w:r>
      <w:r w:rsidR="00984E8C">
        <w:t>.</w:t>
      </w:r>
    </w:p>
    <w:p w:rsidR="00AA1680" w:rsidRPr="00291B24" w:rsidRDefault="00AA1680" w:rsidP="005D0D26">
      <w:pPr>
        <w:pStyle w:val="Nadpis2"/>
      </w:pPr>
      <w:bookmarkStart w:id="28" w:name="_Toc35357602"/>
      <w:r w:rsidRPr="00291B24">
        <w:t>Příjmy z poplatku za použití dopravní cesty</w:t>
      </w:r>
      <w:bookmarkEnd w:id="28"/>
      <w:r w:rsidRPr="00291B24">
        <w:t xml:space="preserve"> </w:t>
      </w:r>
    </w:p>
    <w:p w:rsidR="00291B24" w:rsidRDefault="00AA1680" w:rsidP="00291B24">
      <w:r>
        <w:t xml:space="preserve">Poplatek za použití dopravní cesty </w:t>
      </w:r>
      <w:r w:rsidR="003C6E63">
        <w:t>byl v minulosti</w:t>
      </w:r>
      <w:r>
        <w:t xml:space="preserve"> přímo závislý na dopravní</w:t>
      </w:r>
      <w:r w:rsidR="003C6E63">
        <w:t>ch</w:t>
      </w:r>
      <w:r>
        <w:t xml:space="preserve"> výkon</w:t>
      </w:r>
      <w:r w:rsidR="003C6E63">
        <w:t>ech</w:t>
      </w:r>
      <w:r>
        <w:t xml:space="preserve"> (počtu vlakových kilometrů a hrubých tunových kilometrů)</w:t>
      </w:r>
      <w:r w:rsidR="00CE00DD">
        <w:t xml:space="preserve"> a kategorii trati</w:t>
      </w:r>
      <w:r>
        <w:t xml:space="preserve">. </w:t>
      </w:r>
    </w:p>
    <w:p w:rsidR="00965A74" w:rsidRDefault="00965A74" w:rsidP="00291B24">
      <w:r>
        <w:t>V rámci SP činily příjmy projektové varianty za celé hodnotící období 2,4 mld. Kč a byly o 0,5 mld. Kč vyšší než ve stavu bez projektu.</w:t>
      </w:r>
    </w:p>
    <w:p w:rsidR="00965A74" w:rsidRDefault="00965A74" w:rsidP="00965A74">
      <w:r>
        <w:t>Nově je</w:t>
      </w:r>
      <w:r w:rsidR="00996137">
        <w:t xml:space="preserve"> v rámci aktualizace</w:t>
      </w:r>
      <w:r>
        <w:t xml:space="preserve"> výpočet příjmů provozovatele železniční infrastruktury vypočten na základě postupu uvedeného v „Prohlášení o dráze“. Celková roční částka je sumou příjmů vypočtených pro jednotlivé vlaky. Cena za užití dráhy je závislá na typu tratě, délky uvažovaného úseku a hmotnosti vlaku. Kalkulační vzore</w:t>
      </w:r>
      <w:r w:rsidR="00CA7110">
        <w:t>c</w:t>
      </w:r>
      <w:r>
        <w:t xml:space="preserve"> je uveden níže.</w:t>
      </w:r>
    </w:p>
    <w:p w:rsidR="00965A74" w:rsidRPr="00483B9E" w:rsidRDefault="00965A74" w:rsidP="00965A74">
      <w:pPr>
        <w:jc w:val="center"/>
        <w:rPr>
          <w:b/>
        </w:rPr>
      </w:pPr>
      <w:r w:rsidRPr="00483B9E">
        <w:rPr>
          <w:b/>
        </w:rPr>
        <w:t>C = L x Z x K x P x S</w:t>
      </w:r>
      <w:r w:rsidRPr="00483B9E">
        <w:rPr>
          <w:b/>
          <w:vertAlign w:val="subscript"/>
        </w:rPr>
        <w:t>1</w:t>
      </w:r>
      <w:r w:rsidRPr="00483B9E">
        <w:rPr>
          <w:b/>
        </w:rPr>
        <w:t xml:space="preserve"> x S</w:t>
      </w:r>
      <w:r w:rsidRPr="00483B9E">
        <w:rPr>
          <w:b/>
          <w:vertAlign w:val="subscript"/>
        </w:rPr>
        <w:t>2</w:t>
      </w:r>
      <w:r w:rsidRPr="00483B9E">
        <w:rPr>
          <w:b/>
        </w:rPr>
        <w:t>,</w:t>
      </w:r>
    </w:p>
    <w:p w:rsidR="00965A74" w:rsidRDefault="00965A74" w:rsidP="00965A74">
      <w:pPr>
        <w:spacing w:after="60"/>
        <w:ind w:firstLine="709"/>
      </w:pPr>
      <w:r>
        <w:t xml:space="preserve">kde: </w:t>
      </w:r>
      <w:r>
        <w:tab/>
        <w:t>C= cena za použití dráhy jízdou vlaku</w:t>
      </w:r>
    </w:p>
    <w:p w:rsidR="00965A74" w:rsidRDefault="00965A74" w:rsidP="00965A74">
      <w:pPr>
        <w:spacing w:after="60"/>
        <w:ind w:left="708" w:firstLine="709"/>
      </w:pPr>
      <w:r>
        <w:lastRenderedPageBreak/>
        <w:t>L= délka jízdy vlaku</w:t>
      </w:r>
    </w:p>
    <w:p w:rsidR="00965A74" w:rsidRDefault="00965A74" w:rsidP="00965A74">
      <w:pPr>
        <w:spacing w:after="60"/>
        <w:ind w:left="708" w:firstLine="709"/>
      </w:pPr>
      <w:r>
        <w:t>Z= základní cena</w:t>
      </w:r>
    </w:p>
    <w:p w:rsidR="00965A74" w:rsidRDefault="00965A74" w:rsidP="00965A74">
      <w:pPr>
        <w:spacing w:after="60"/>
        <w:ind w:left="708" w:firstLine="709"/>
      </w:pPr>
      <w:r>
        <w:t>K= koeficient kategorie tratě</w:t>
      </w:r>
    </w:p>
    <w:p w:rsidR="00965A74" w:rsidRDefault="00965A74" w:rsidP="00965A74">
      <w:pPr>
        <w:spacing w:after="60"/>
        <w:ind w:left="708" w:firstLine="709"/>
      </w:pPr>
      <w:r>
        <w:t>P= produktový faktor</w:t>
      </w:r>
    </w:p>
    <w:p w:rsidR="00965A74" w:rsidRDefault="00965A74" w:rsidP="00965A74">
      <w:pPr>
        <w:spacing w:after="60"/>
        <w:ind w:left="708" w:firstLine="709"/>
      </w:pPr>
      <w:r w:rsidRPr="00483B9E">
        <w:t>S</w:t>
      </w:r>
      <w:r w:rsidRPr="00483B9E">
        <w:rPr>
          <w:vertAlign w:val="subscript"/>
        </w:rPr>
        <w:t>1</w:t>
      </w:r>
      <w:r w:rsidRPr="00483B9E">
        <w:t xml:space="preserve"> x S</w:t>
      </w:r>
      <w:r w:rsidRPr="00483B9E">
        <w:rPr>
          <w:vertAlign w:val="subscript"/>
        </w:rPr>
        <w:t>2</w:t>
      </w:r>
      <w:r w:rsidRPr="00483B9E">
        <w:t>= specifické</w:t>
      </w:r>
      <w:r>
        <w:t xml:space="preserve"> faktory</w:t>
      </w:r>
    </w:p>
    <w:p w:rsidR="00CD0E52" w:rsidRDefault="00CD0E52" w:rsidP="00CD0E52">
      <w:pPr>
        <w:pStyle w:val="Titulek"/>
        <w:keepNext/>
      </w:pPr>
      <w:r>
        <w:t xml:space="preserve">Tabulka </w:t>
      </w:r>
      <w:r w:rsidR="00C60141">
        <w:rPr>
          <w:noProof/>
        </w:rPr>
        <w:fldChar w:fldCharType="begin"/>
      </w:r>
      <w:r w:rsidR="00C60141">
        <w:rPr>
          <w:noProof/>
        </w:rPr>
        <w:instrText xml:space="preserve"> SEQ Tabulka \* ARABIC </w:instrText>
      </w:r>
      <w:r w:rsidR="00C60141">
        <w:rPr>
          <w:noProof/>
        </w:rPr>
        <w:fldChar w:fldCharType="separate"/>
      </w:r>
      <w:r w:rsidR="00D422A7">
        <w:rPr>
          <w:noProof/>
        </w:rPr>
        <w:t>5</w:t>
      </w:r>
      <w:r w:rsidR="00C60141">
        <w:rPr>
          <w:noProof/>
        </w:rPr>
        <w:fldChar w:fldCharType="end"/>
      </w:r>
      <w:r>
        <w:t xml:space="preserve"> Srovnání příjmů provozovatele žel. infrastruktury SP vs. </w:t>
      </w:r>
      <w:r w:rsidR="00377D7C">
        <w:t>a</w:t>
      </w:r>
      <w:r>
        <w:t>ktualizace</w:t>
      </w:r>
      <w:r w:rsidR="006549E2">
        <w:t xml:space="preserve">, </w:t>
      </w:r>
      <w:r w:rsidR="00EE06CF">
        <w:t>CÚ 2020</w:t>
      </w:r>
      <w:r w:rsidR="00377D7C">
        <w:t>, v tis. Kč</w:t>
      </w:r>
    </w:p>
    <w:p w:rsidR="007D1DAE" w:rsidRDefault="00ED48B4" w:rsidP="00CD0E52">
      <w:r>
        <w:pict>
          <v:shape id="_x0000_i1026" type="#_x0000_t75" style="width:238.5pt;height:88.5pt">
            <v:imagedata r:id="rId13" o:title=""/>
            <o:lock v:ext="edit" aspectratio="f"/>
          </v:shape>
        </w:pict>
      </w:r>
    </w:p>
    <w:p w:rsidR="00291B24" w:rsidRDefault="002238BC" w:rsidP="00AA1680">
      <w:r>
        <w:t xml:space="preserve">Zvýšené příjmy projektové varianty činily ve studii proveditelnosti </w:t>
      </w:r>
      <w:r w:rsidR="00996137">
        <w:t>473 mil</w:t>
      </w:r>
      <w:r>
        <w:t xml:space="preserve">. Kč, aktualizované diferenční příjmy projektové varianty činí </w:t>
      </w:r>
      <w:r w:rsidR="00106ACD">
        <w:t>683</w:t>
      </w:r>
      <w:r w:rsidR="002515DE" w:rsidRPr="007D1DAE">
        <w:t xml:space="preserve"> </w:t>
      </w:r>
      <w:r>
        <w:t>mil. Kč</w:t>
      </w:r>
      <w:r w:rsidR="007D1DAE">
        <w:t xml:space="preserve">, při celkových příjmech projektové varianty </w:t>
      </w:r>
      <w:r w:rsidR="00E22CF1">
        <w:t>2,1</w:t>
      </w:r>
      <w:r w:rsidR="00106ACD">
        <w:t>4</w:t>
      </w:r>
      <w:r w:rsidR="007D1DAE">
        <w:t xml:space="preserve"> mld. Kč a celkových příjmech bezprojektové varianty 1,</w:t>
      </w:r>
      <w:r w:rsidR="00E22CF1">
        <w:t xml:space="preserve">46 </w:t>
      </w:r>
      <w:r w:rsidR="007D1DAE">
        <w:t>mld. Kč (výpočet poplatků za dopravní cestu je uveden v CBA tabulkách).</w:t>
      </w:r>
    </w:p>
    <w:p w:rsidR="00AA1680" w:rsidRDefault="00AA1680" w:rsidP="005D0D26">
      <w:pPr>
        <w:pStyle w:val="Nadpis2"/>
      </w:pPr>
      <w:bookmarkStart w:id="29" w:name="_Toc489357167"/>
      <w:bookmarkStart w:id="30" w:name="_Toc35357603"/>
      <w:r w:rsidRPr="002557F7">
        <w:t>Zůstatková hodnota</w:t>
      </w:r>
      <w:bookmarkEnd w:id="29"/>
      <w:bookmarkEnd w:id="30"/>
    </w:p>
    <w:p w:rsidR="002238BC" w:rsidRDefault="002238BC" w:rsidP="00AA1680">
      <w:r>
        <w:t xml:space="preserve">Zůstatková hodnota byla v rámci SP počítáno na základě </w:t>
      </w:r>
      <w:r w:rsidR="004D4960">
        <w:t>stavebních</w:t>
      </w:r>
      <w:r>
        <w:t xml:space="preserve"> nákladů stavebních objektů a provozních souborů a jejich ekonomické životnosti.</w:t>
      </w:r>
    </w:p>
    <w:p w:rsidR="00AA1680" w:rsidRPr="002557F7" w:rsidRDefault="002238BC" w:rsidP="00AA1680">
      <w:r>
        <w:t xml:space="preserve">Podle současně platné metodiky </w:t>
      </w:r>
      <w:r w:rsidR="00AA1680" w:rsidRPr="002557F7">
        <w:t>se zůstatková hodnota</w:t>
      </w:r>
      <w:r>
        <w:t xml:space="preserve"> určí</w:t>
      </w:r>
      <w:r w:rsidR="00AA1680" w:rsidRPr="002557F7">
        <w:t xml:space="preserve"> vypočtením čisté současné hodnoty peněžních toků ve zbývajících letech životnosti zařízení. Do výpočtu se zůstatková hodnota zahrne v posledním roce hodnocení. </w:t>
      </w:r>
    </w:p>
    <w:p w:rsidR="00AA1680" w:rsidRPr="002557F7" w:rsidRDefault="00AA1680" w:rsidP="00AA1680">
      <w:r w:rsidRPr="002557F7">
        <w:t>Peněžní toky po skončení referenčního období jsou uvažovány jako konstantní a jejich výši je třeba stanovit s ohledem na peněžní toky posledních let referenčního období. Skládají se z:</w:t>
      </w:r>
    </w:p>
    <w:p w:rsidR="00AA1680" w:rsidRPr="002557F7" w:rsidRDefault="00AA1680" w:rsidP="00387689">
      <w:pPr>
        <w:pStyle w:val="Odstavecseseznamem"/>
        <w:numPr>
          <w:ilvl w:val="0"/>
          <w:numId w:val="4"/>
        </w:numPr>
      </w:pPr>
      <w:r w:rsidRPr="002557F7">
        <w:t>nákladových peněžních toků (diferenční tok údržbových a provozních nákladů infrastruktury a vozidel</w:t>
      </w:r>
      <w:r w:rsidR="00DB70F0">
        <w:t xml:space="preserve"> (pouze ekonomická analýza)</w:t>
      </w:r>
      <w:r w:rsidRPr="002557F7">
        <w:t xml:space="preserve"> a finančních příjmů),</w:t>
      </w:r>
    </w:p>
    <w:p w:rsidR="00AA1680" w:rsidRPr="002557F7" w:rsidRDefault="00AA1680" w:rsidP="00387689">
      <w:pPr>
        <w:pStyle w:val="Odstavecseseznamem"/>
        <w:numPr>
          <w:ilvl w:val="0"/>
          <w:numId w:val="4"/>
        </w:numPr>
      </w:pPr>
      <w:r w:rsidRPr="002557F7">
        <w:t>přínosů (diferenční tok ekonomických přínosů v ekonomické analýze).</w:t>
      </w:r>
    </w:p>
    <w:p w:rsidR="00AA1680" w:rsidRPr="002557F7" w:rsidRDefault="00AA1680" w:rsidP="00AA1680">
      <w:r w:rsidRPr="002557F7">
        <w:t>Kvůli zohlednění vývoje cash-flow a mimořádných oprav včetně reinvestic po celou dobu hodnocení, se do výpočtu zůstatkové hodnoty zahrne při vyčíslení peněžních toků na konci hodnotícího období průměrný cash-flow za provozní fázi v případě nákladových a příjmových peněžních toků a cash-flow posledního roku provozní fáze v případě přínosů.</w:t>
      </w:r>
    </w:p>
    <w:p w:rsidR="00AA1680" w:rsidRPr="002557F7" w:rsidRDefault="00AA1680" w:rsidP="00AA1680">
      <w:r w:rsidRPr="002557F7">
        <w:t>Předpokládaná ekonomická životnost zařízení v rámci hodnocené investice je stanovena podle objektového složení jako vážený průměr podle výše investičních nákladů vynaložených na jednotlivé typy objektů a zařízení s příslušnou délkou životnosti. Zahájení životního cyklu investice je uvažováno v prvním roce provozní fáze po dokončení celé investice.</w:t>
      </w:r>
    </w:p>
    <w:p w:rsidR="007C27DD" w:rsidRDefault="007C27DD" w:rsidP="00C06D62">
      <w:pPr>
        <w:pStyle w:val="Titulek"/>
        <w:keepNext/>
      </w:pPr>
      <w:r>
        <w:lastRenderedPageBreak/>
        <w:t xml:space="preserve">Tabulka </w:t>
      </w:r>
      <w:r w:rsidR="00C60141">
        <w:rPr>
          <w:noProof/>
        </w:rPr>
        <w:fldChar w:fldCharType="begin"/>
      </w:r>
      <w:r w:rsidR="00C60141">
        <w:rPr>
          <w:noProof/>
        </w:rPr>
        <w:instrText xml:space="preserve"> SEQ Tabulka \* ARABIC </w:instrText>
      </w:r>
      <w:r w:rsidR="00C60141">
        <w:rPr>
          <w:noProof/>
        </w:rPr>
        <w:fldChar w:fldCharType="separate"/>
      </w:r>
      <w:r w:rsidR="00D422A7">
        <w:rPr>
          <w:noProof/>
        </w:rPr>
        <w:t>6</w:t>
      </w:r>
      <w:r w:rsidR="00C60141">
        <w:rPr>
          <w:noProof/>
        </w:rPr>
        <w:fldChar w:fldCharType="end"/>
      </w:r>
      <w:r>
        <w:t xml:space="preserve"> Stavební náklady na </w:t>
      </w:r>
      <w:r>
        <w:rPr>
          <w:noProof/>
        </w:rPr>
        <w:t>jednotlivé skupiny SO a PS v Kč</w:t>
      </w:r>
      <w:r w:rsidR="00377D7C">
        <w:t xml:space="preserve">, </w:t>
      </w:r>
      <w:r w:rsidR="00EE06CF">
        <w:t>CÚ 2020</w:t>
      </w:r>
      <w:r w:rsidR="00377D7C">
        <w:t>, v tis. Kč</w:t>
      </w:r>
    </w:p>
    <w:p w:rsidR="00074010" w:rsidRDefault="00ED48B4" w:rsidP="00E62C53">
      <w:r>
        <w:pict>
          <v:shape id="_x0000_i1027" type="#_x0000_t75" style="width:275.5pt;height:233.5pt">
            <v:imagedata r:id="rId14" o:title=""/>
            <o:lock v:ext="edit" aspectratio="f"/>
          </v:shape>
        </w:pict>
      </w:r>
    </w:p>
    <w:p w:rsidR="00FB2434" w:rsidRPr="009E74BE" w:rsidRDefault="00FB2434" w:rsidP="00E62C53">
      <w:r>
        <w:t xml:space="preserve">Finanční </w:t>
      </w:r>
      <w:r w:rsidRPr="009E74BE">
        <w:t xml:space="preserve">zůstatková hodnota investice činí </w:t>
      </w:r>
      <w:r w:rsidR="004D234A">
        <w:t>4,0</w:t>
      </w:r>
      <w:r w:rsidR="00460FD6" w:rsidRPr="009E74BE">
        <w:t xml:space="preserve"> mld</w:t>
      </w:r>
      <w:r w:rsidRPr="009E74BE">
        <w:t>. Kč</w:t>
      </w:r>
      <w:r w:rsidR="00460FD6" w:rsidRPr="009E74BE">
        <w:t xml:space="preserve">, ekonomická zůstatková hodnota </w:t>
      </w:r>
      <w:r w:rsidR="004D234A">
        <w:t>47,</w:t>
      </w:r>
      <w:r w:rsidR="00F93C55">
        <w:t>3</w:t>
      </w:r>
      <w:r w:rsidR="00460FD6" w:rsidRPr="009E74BE">
        <w:t xml:space="preserve"> mld. Kč.</w:t>
      </w:r>
    </w:p>
    <w:p w:rsidR="00FB2434" w:rsidRDefault="00FB2434" w:rsidP="005D0D26">
      <w:pPr>
        <w:pStyle w:val="Nadpis2"/>
      </w:pPr>
      <w:bookmarkStart w:id="31" w:name="_Toc35357604"/>
      <w:r>
        <w:lastRenderedPageBreak/>
        <w:t>Finanční analýza</w:t>
      </w:r>
      <w:bookmarkEnd w:id="31"/>
    </w:p>
    <w:p w:rsidR="005E7C54" w:rsidRDefault="005E7C54" w:rsidP="005E7C54">
      <w:pPr>
        <w:pStyle w:val="Titulek"/>
        <w:keepNext/>
      </w:pPr>
      <w:r>
        <w:t xml:space="preserve">Tabulka </w:t>
      </w:r>
      <w:r w:rsidR="00C60141">
        <w:rPr>
          <w:noProof/>
        </w:rPr>
        <w:fldChar w:fldCharType="begin"/>
      </w:r>
      <w:r w:rsidR="00C60141">
        <w:rPr>
          <w:noProof/>
        </w:rPr>
        <w:instrText xml:space="preserve"> SEQ Tabulka \* ARABIC </w:instrText>
      </w:r>
      <w:r w:rsidR="00C60141">
        <w:rPr>
          <w:noProof/>
        </w:rPr>
        <w:fldChar w:fldCharType="separate"/>
      </w:r>
      <w:r w:rsidR="00D422A7">
        <w:rPr>
          <w:noProof/>
        </w:rPr>
        <w:t>7</w:t>
      </w:r>
      <w:r w:rsidR="00C60141">
        <w:rPr>
          <w:noProof/>
        </w:rPr>
        <w:fldChar w:fldCharType="end"/>
      </w:r>
      <w:r>
        <w:t xml:space="preserve"> Sestava finanční analýzy</w:t>
      </w:r>
      <w:r w:rsidR="00377D7C">
        <w:t xml:space="preserve">, </w:t>
      </w:r>
      <w:r w:rsidR="00EE06CF">
        <w:t>CÚ 2020</w:t>
      </w:r>
      <w:r w:rsidR="00377D7C">
        <w:t>, v tis. Kč</w:t>
      </w:r>
    </w:p>
    <w:p w:rsidR="00FB2434" w:rsidRPr="00E62C53" w:rsidRDefault="00D77E1B" w:rsidP="00E62C53">
      <w:r w:rsidRPr="00D77E1B">
        <w:rPr>
          <w:noProof/>
        </w:rPr>
        <w:drawing>
          <wp:inline distT="0" distB="0" distL="0" distR="0">
            <wp:extent cx="5760720" cy="5902960"/>
            <wp:effectExtent l="0" t="0" r="0" b="254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0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5DE" w:rsidRDefault="002515DE" w:rsidP="00C06D62">
      <w:r>
        <w:br w:type="page"/>
      </w:r>
    </w:p>
    <w:p w:rsidR="006672FE" w:rsidRDefault="006672FE">
      <w:pPr>
        <w:pStyle w:val="Nadpis1"/>
      </w:pPr>
      <w:bookmarkStart w:id="32" w:name="_Toc35357605"/>
      <w:r w:rsidRPr="00D03253">
        <w:lastRenderedPageBreak/>
        <w:t>Ekonomická</w:t>
      </w:r>
      <w:r>
        <w:t xml:space="preserve"> analýza</w:t>
      </w:r>
      <w:bookmarkEnd w:id="32"/>
    </w:p>
    <w:p w:rsidR="005E7C54" w:rsidRPr="005E7C54" w:rsidRDefault="005E7C54" w:rsidP="003108C3">
      <w:r w:rsidRPr="005E7C54">
        <w:t xml:space="preserve">Do ekonomické analýzy vstupují: </w:t>
      </w:r>
    </w:p>
    <w:p w:rsidR="005E7C54" w:rsidRPr="005E7C54" w:rsidRDefault="005E7C54" w:rsidP="00387689">
      <w:pPr>
        <w:pStyle w:val="Odstavecseseznamem"/>
        <w:numPr>
          <w:ilvl w:val="0"/>
          <w:numId w:val="15"/>
        </w:numPr>
      </w:pPr>
      <w:r w:rsidRPr="005E7C54">
        <w:t xml:space="preserve">investiční náklady, </w:t>
      </w:r>
    </w:p>
    <w:p w:rsidR="005E7C54" w:rsidRPr="005E7C54" w:rsidRDefault="005E7C54" w:rsidP="00387689">
      <w:pPr>
        <w:pStyle w:val="Odstavecseseznamem"/>
        <w:numPr>
          <w:ilvl w:val="0"/>
          <w:numId w:val="15"/>
        </w:numPr>
      </w:pPr>
      <w:r w:rsidRPr="005E7C54">
        <w:t xml:space="preserve">provozní náklady železniční dopravy (náklady na údržbu a opravy železniční infrastruktury, náklady na zaměstnance řízení dopravy, náklady na provoz vlaků), </w:t>
      </w:r>
    </w:p>
    <w:p w:rsidR="005E7C54" w:rsidRPr="005E7C54" w:rsidRDefault="005E7C54" w:rsidP="00387689">
      <w:pPr>
        <w:pStyle w:val="Odstavecseseznamem"/>
        <w:numPr>
          <w:ilvl w:val="0"/>
          <w:numId w:val="15"/>
        </w:numPr>
      </w:pPr>
      <w:r w:rsidRPr="005E7C54">
        <w:t xml:space="preserve">provozní náklady silniční dopravy (náklady na údržbu a opravy silniční infrastruktury, náklady na provoz vozidel), </w:t>
      </w:r>
    </w:p>
    <w:p w:rsidR="005E7C54" w:rsidRPr="005E7C54" w:rsidRDefault="005E7C54" w:rsidP="00387689">
      <w:pPr>
        <w:pStyle w:val="Odstavecseseznamem"/>
        <w:numPr>
          <w:ilvl w:val="0"/>
          <w:numId w:val="15"/>
        </w:numPr>
      </w:pPr>
      <w:r w:rsidRPr="005E7C54">
        <w:t xml:space="preserve">efekty z úspory času, </w:t>
      </w:r>
    </w:p>
    <w:p w:rsidR="005E7C54" w:rsidRDefault="005E7C54" w:rsidP="00387689">
      <w:pPr>
        <w:pStyle w:val="Odstavecseseznamem"/>
        <w:numPr>
          <w:ilvl w:val="0"/>
          <w:numId w:val="15"/>
        </w:numPr>
      </w:pPr>
      <w:r w:rsidRPr="005E7C54">
        <w:t>vnější účinky dopravy</w:t>
      </w:r>
    </w:p>
    <w:p w:rsidR="00383A60" w:rsidRDefault="00383A60" w:rsidP="00387689">
      <w:pPr>
        <w:pStyle w:val="Odstavecseseznamem"/>
        <w:numPr>
          <w:ilvl w:val="0"/>
          <w:numId w:val="15"/>
        </w:numPr>
      </w:pPr>
      <w:r>
        <w:t>přínosy ze zvýšení bezpečnosti</w:t>
      </w:r>
    </w:p>
    <w:p w:rsidR="00620EC0" w:rsidRDefault="00620EC0" w:rsidP="00387689">
      <w:pPr>
        <w:pStyle w:val="Odstavecseseznamem"/>
        <w:numPr>
          <w:ilvl w:val="0"/>
          <w:numId w:val="15"/>
        </w:numPr>
      </w:pPr>
      <w:r>
        <w:t xml:space="preserve">ostatní přínosy </w:t>
      </w:r>
    </w:p>
    <w:p w:rsidR="00D422A7" w:rsidRPr="00D422A7" w:rsidRDefault="00D422A7" w:rsidP="00D422A7">
      <w:pPr>
        <w:jc w:val="left"/>
        <w:rPr>
          <w:b/>
          <w:bCs/>
        </w:rPr>
      </w:pPr>
      <w:r w:rsidRPr="00D422A7">
        <w:rPr>
          <w:b/>
          <w:bCs/>
        </w:rPr>
        <w:t xml:space="preserve">Výsledek </w:t>
      </w:r>
      <w:r>
        <w:rPr>
          <w:b/>
          <w:bCs/>
        </w:rPr>
        <w:t>ekonomické</w:t>
      </w:r>
      <w:r w:rsidRPr="00D422A7">
        <w:rPr>
          <w:b/>
          <w:bCs/>
        </w:rPr>
        <w:t xml:space="preserve"> analýzy varianty M2 činil v rámci Studie proveditelnosti:</w:t>
      </w:r>
    </w:p>
    <w:p w:rsidR="00D422A7" w:rsidRPr="005E7C54" w:rsidRDefault="00D422A7" w:rsidP="00D422A7">
      <w:pPr>
        <w:jc w:val="center"/>
      </w:pPr>
      <w:r>
        <w:rPr>
          <w:b/>
          <w:bCs/>
        </w:rPr>
        <w:t>E</w:t>
      </w:r>
      <w:r w:rsidRPr="00D422A7">
        <w:rPr>
          <w:b/>
          <w:bCs/>
        </w:rPr>
        <w:t xml:space="preserve">RR </w:t>
      </w:r>
      <w:r>
        <w:rPr>
          <w:b/>
          <w:bCs/>
        </w:rPr>
        <w:t>8,770</w:t>
      </w:r>
      <w:r w:rsidRPr="00D422A7">
        <w:rPr>
          <w:b/>
          <w:bCs/>
        </w:rPr>
        <w:t xml:space="preserve">%, </w:t>
      </w:r>
      <w:r>
        <w:rPr>
          <w:b/>
          <w:bCs/>
        </w:rPr>
        <w:t>E</w:t>
      </w:r>
      <w:r w:rsidRPr="00D422A7">
        <w:rPr>
          <w:b/>
          <w:bCs/>
        </w:rPr>
        <w:t xml:space="preserve">NPV </w:t>
      </w:r>
      <w:r>
        <w:rPr>
          <w:b/>
          <w:bCs/>
        </w:rPr>
        <w:t>11 967 777</w:t>
      </w:r>
      <w:r w:rsidRPr="00D422A7">
        <w:rPr>
          <w:b/>
          <w:bCs/>
        </w:rPr>
        <w:t xml:space="preserve"> tis. Kč.</w:t>
      </w:r>
    </w:p>
    <w:p w:rsidR="005E7C54" w:rsidRPr="002557F7" w:rsidRDefault="005E7C54" w:rsidP="005D0D26">
      <w:pPr>
        <w:pStyle w:val="Nadpis2"/>
      </w:pPr>
      <w:bookmarkStart w:id="33" w:name="_Toc423334448"/>
      <w:bookmarkStart w:id="34" w:name="_Toc489357186"/>
      <w:bookmarkStart w:id="35" w:name="_Toc35357606"/>
      <w:r w:rsidRPr="002557F7">
        <w:t>Fiskální úpravy</w:t>
      </w:r>
      <w:bookmarkEnd w:id="33"/>
      <w:bookmarkEnd w:id="34"/>
      <w:bookmarkEnd w:id="35"/>
      <w:r w:rsidRPr="002557F7">
        <w:t xml:space="preserve"> </w:t>
      </w:r>
    </w:p>
    <w:p w:rsidR="005E7C54" w:rsidRDefault="005E7C54" w:rsidP="003108C3">
      <w:r w:rsidRPr="00D03108">
        <w:t xml:space="preserve">Fiskálními úpravami se rozumí úpravy kapitálových nákladů na ekonomické náklady. Úpravy se používají z důvodu odstranění daní a poplatků z dalších výpočtů. Tato fiskální úprava se týká investičních nákladů, nákladů na údržbu a opravy infrastruktury, nákladů na řízení dopravy a nákladů na provoz vlaků. </w:t>
      </w:r>
      <w:r w:rsidR="00E03D9A">
        <w:t>V rámci rezortní metodiky došlo k úpravě fiskálních korektorů, jejichž porovnání je uvedeno v tabulce níže.</w:t>
      </w:r>
    </w:p>
    <w:p w:rsidR="00700A5F" w:rsidRDefault="00700A5F" w:rsidP="00700A5F">
      <w:pPr>
        <w:pStyle w:val="Titulek"/>
        <w:keepNext/>
      </w:pPr>
      <w:r>
        <w:t xml:space="preserve">Tabulka </w:t>
      </w:r>
      <w:r w:rsidR="00C60141">
        <w:rPr>
          <w:noProof/>
        </w:rPr>
        <w:fldChar w:fldCharType="begin"/>
      </w:r>
      <w:r w:rsidR="00C60141">
        <w:rPr>
          <w:noProof/>
        </w:rPr>
        <w:instrText xml:space="preserve"> SEQ Tabulka \* ARABIC </w:instrText>
      </w:r>
      <w:r w:rsidR="00C60141">
        <w:rPr>
          <w:noProof/>
        </w:rPr>
        <w:fldChar w:fldCharType="separate"/>
      </w:r>
      <w:r w:rsidR="00D422A7">
        <w:rPr>
          <w:noProof/>
        </w:rPr>
        <w:t>8</w:t>
      </w:r>
      <w:r w:rsidR="00C60141">
        <w:rPr>
          <w:noProof/>
        </w:rPr>
        <w:fldChar w:fldCharType="end"/>
      </w:r>
      <w:r>
        <w:t xml:space="preserve"> Porovnání fiskálních korektorů Metodika 2013 vs. Rezortní metodika</w:t>
      </w:r>
    </w:p>
    <w:p w:rsidR="00620EC0" w:rsidRDefault="00ED48B4" w:rsidP="005E7C54">
      <w:r>
        <w:pict>
          <v:shape id="_x0000_i1028" type="#_x0000_t75" style="width:4in;height:86.5pt">
            <v:imagedata r:id="rId16" o:title=""/>
            <o:lock v:ext="edit" aspectratio="f"/>
          </v:shape>
        </w:pict>
      </w:r>
    </w:p>
    <w:p w:rsidR="00E03D9A" w:rsidRDefault="00E03D9A" w:rsidP="003108C3">
      <w:r>
        <w:rPr>
          <w:rStyle w:val="normaltextrun"/>
          <w:rFonts w:ascii="Calibri" w:hAnsi="Calibri"/>
        </w:rPr>
        <w:t xml:space="preserve">V případě </w:t>
      </w:r>
      <w:r w:rsidR="006B3AFD">
        <w:rPr>
          <w:rStyle w:val="normaltextrun"/>
          <w:rFonts w:ascii="Calibri" w:hAnsi="Calibri"/>
        </w:rPr>
        <w:t xml:space="preserve">takřka </w:t>
      </w:r>
      <w:r>
        <w:rPr>
          <w:rStyle w:val="normaltextrun"/>
          <w:rFonts w:ascii="Calibri" w:hAnsi="Calibri"/>
        </w:rPr>
        <w:t xml:space="preserve">všech konverzních faktorů došlo v rámci Rezortní metodiky k poklesu. To znamená, že do ekonomické analýzy budou vstupovat investiční náklady s menší vahou. Stejně tak i přínosy z úspory </w:t>
      </w:r>
      <w:r w:rsidR="006B3AFD">
        <w:rPr>
          <w:rStyle w:val="normaltextrun"/>
          <w:rFonts w:ascii="Calibri" w:hAnsi="Calibri"/>
        </w:rPr>
        <w:t>p</w:t>
      </w:r>
      <w:r>
        <w:rPr>
          <w:rStyle w:val="normaltextrun"/>
          <w:rFonts w:ascii="Calibri" w:hAnsi="Calibri"/>
        </w:rPr>
        <w:t>rovoz</w:t>
      </w:r>
      <w:r w:rsidR="006B3AFD">
        <w:rPr>
          <w:rStyle w:val="normaltextrun"/>
          <w:rFonts w:ascii="Calibri" w:hAnsi="Calibri"/>
        </w:rPr>
        <w:t>ních</w:t>
      </w:r>
      <w:r>
        <w:rPr>
          <w:rStyle w:val="normaltextrun"/>
          <w:rFonts w:ascii="Calibri" w:hAnsi="Calibri"/>
        </w:rPr>
        <w:t xml:space="preserve"> nákladů železniční infrastruktury budou v rámci ekonomické analýzy nižší.</w:t>
      </w:r>
      <w:r w:rsidR="006B3AFD">
        <w:rPr>
          <w:rStyle w:val="normaltextrun"/>
          <w:rFonts w:ascii="Calibri" w:hAnsi="Calibri"/>
        </w:rPr>
        <w:t xml:space="preserve"> Pouze v případě úspory nákladů na provozování bude přínos do ekonomické analýzy vyšší oproti SP.</w:t>
      </w:r>
    </w:p>
    <w:p w:rsidR="00A445F4" w:rsidRDefault="00A445F4" w:rsidP="005D0D26">
      <w:pPr>
        <w:pStyle w:val="Nadpis2"/>
      </w:pPr>
      <w:bookmarkStart w:id="36" w:name="_Toc35357607"/>
      <w:r>
        <w:t>Náklady na provoz vlaků</w:t>
      </w:r>
      <w:bookmarkEnd w:id="36"/>
    </w:p>
    <w:p w:rsidR="00F468A6" w:rsidRDefault="0096505E" w:rsidP="00383A60">
      <w:r>
        <w:t>Vzhledem k tomu, že bylo ve všech projektových variantách počítáno s nárůstem objemu osobní dopravy</w:t>
      </w:r>
      <w:r w:rsidR="00891194">
        <w:t>,</w:t>
      </w:r>
      <w:r>
        <w:t xml:space="preserve"> dojde oproti stavu bez projektu k navýšení nákladů na provoz osobních vlaků. V segmentu nákladní dopravy nedojde k nárůstu poptávky a objem přepravených tun nákladu zůstane ve všech variantách stejný. Přesto dojde i v nákladní dopravě ke změně objemu vlakových hodin vlivem zkrácení jízdních dob a úpravy trasování tratě. </w:t>
      </w:r>
      <w:r w:rsidR="00F468A6">
        <w:t xml:space="preserve">V rámci SP byly náklady na provoz vlaků vypočteny na základě jednotkových cen a dopravních výkonů vyjádřených ve vlakových hodinách. </w:t>
      </w:r>
    </w:p>
    <w:p w:rsidR="00F468A6" w:rsidRDefault="00F468A6" w:rsidP="00B01DEE">
      <w:pPr>
        <w:pStyle w:val="Titulek"/>
        <w:keepNext/>
      </w:pPr>
      <w:r>
        <w:t xml:space="preserve">Tabulka </w:t>
      </w:r>
      <w:r w:rsidR="00C60141">
        <w:rPr>
          <w:noProof/>
        </w:rPr>
        <w:fldChar w:fldCharType="begin"/>
      </w:r>
      <w:r w:rsidR="00C60141">
        <w:rPr>
          <w:noProof/>
        </w:rPr>
        <w:instrText xml:space="preserve"> SEQ Tabulka \* ARABIC </w:instrText>
      </w:r>
      <w:r w:rsidR="00C60141">
        <w:rPr>
          <w:noProof/>
        </w:rPr>
        <w:fldChar w:fldCharType="separate"/>
      </w:r>
      <w:r w:rsidR="00D422A7">
        <w:rPr>
          <w:noProof/>
        </w:rPr>
        <w:t>9</w:t>
      </w:r>
      <w:r w:rsidR="00C60141">
        <w:rPr>
          <w:noProof/>
        </w:rPr>
        <w:fldChar w:fldCharType="end"/>
      </w:r>
      <w:r>
        <w:t xml:space="preserve"> Sazby pro výpočet nákladů na provoz vlaků ze SP</w:t>
      </w:r>
      <w:r w:rsidR="00377D7C">
        <w:t>, CÚ 2018</w:t>
      </w:r>
    </w:p>
    <w:p w:rsidR="00F468A6" w:rsidRDefault="0096505E" w:rsidP="00A445F4">
      <w:r w:rsidRPr="0096505E">
        <w:rPr>
          <w:noProof/>
          <w:lang w:eastAsia="cs-CZ"/>
        </w:rPr>
        <w:drawing>
          <wp:inline distT="0" distB="0" distL="0" distR="0">
            <wp:extent cx="2647950" cy="1152525"/>
            <wp:effectExtent l="0" t="0" r="0" b="952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DEE" w:rsidRDefault="0096505E" w:rsidP="00383A60">
      <w:r>
        <w:lastRenderedPageBreak/>
        <w:t>Zvýšené náklady na provoz osobní dopravy činily za celé hodnotící období 57</w:t>
      </w:r>
      <w:r w:rsidR="008D5669">
        <w:t>4</w:t>
      </w:r>
      <w:r>
        <w:t xml:space="preserve"> mil. Kč, úspora provozních nákladů nákladní dopravy činila 204 mil. Kč. Celkově tedy došla k navýšení nákladů na provoz vlaků o 370 mil. Kč. Vyjádřeno v ekonomických cenách tento náklad činil 303 mil. Kč.</w:t>
      </w:r>
    </w:p>
    <w:p w:rsidR="00B01DEE" w:rsidRDefault="00B01DEE" w:rsidP="00383A60">
      <w:r>
        <w:t>V aktualizaci ekonomického hodnocení byla pro výpočet nákladů na provoz vlaků „M</w:t>
      </w:r>
      <w:r w:rsidRPr="0048062E">
        <w:t>etodika stanovení nákladů na provoz vlaků vstupujících do CBA železničních projektů</w:t>
      </w:r>
      <w:r>
        <w:t xml:space="preserve"> „. Na jejím základě byly vypočteny průměrné sazby na provoz vlaků definované dvěma složkami vztažený</w:t>
      </w:r>
      <w:r w:rsidR="00675CD8">
        <w:t>mi</w:t>
      </w:r>
      <w:r>
        <w:t xml:space="preserve"> k vlakovým hodinám a vlakovým kilometrům. </w:t>
      </w:r>
      <w:r w:rsidR="00663A71">
        <w:t>Pro osobní dopravu byly nákladové sazby vypočteny zvlášť pro variantu s projektem a variantu bez projektu. Důvodem je rozdílná skladba nabídky osobní dopravy v obou variantách a rozdílné jízdní doby jednotlivých linek, které ovlivňují časové využití vlakových souprav v rámci linkového vedení.</w:t>
      </w:r>
      <w:r w:rsidR="00BA3151" w:rsidRPr="00BA3151">
        <w:t xml:space="preserve"> </w:t>
      </w:r>
      <w:r w:rsidR="00BA3151">
        <w:t>Nákladové sazby byly vypočteny na základě jednotkových nákladů na provoz vlaků vypočtených dle uvedené metodiky a poměrného zastoupení jednotlivých linek v segmentu regionální a dálkové dopravy.</w:t>
      </w:r>
    </w:p>
    <w:p w:rsidR="005A237B" w:rsidRDefault="005A237B" w:rsidP="00C06D62">
      <w:pPr>
        <w:pStyle w:val="Titulek"/>
        <w:keepNext/>
      </w:pPr>
      <w:r>
        <w:t xml:space="preserve">Tabulka </w:t>
      </w:r>
      <w:r w:rsidR="00C60141">
        <w:rPr>
          <w:noProof/>
        </w:rPr>
        <w:fldChar w:fldCharType="begin"/>
      </w:r>
      <w:r w:rsidR="00C60141">
        <w:rPr>
          <w:noProof/>
        </w:rPr>
        <w:instrText xml:space="preserve"> SEQ Tabulka \* ARABIC </w:instrText>
      </w:r>
      <w:r w:rsidR="00C60141">
        <w:rPr>
          <w:noProof/>
        </w:rPr>
        <w:fldChar w:fldCharType="separate"/>
      </w:r>
      <w:r w:rsidR="00D422A7">
        <w:rPr>
          <w:noProof/>
        </w:rPr>
        <w:t>10</w:t>
      </w:r>
      <w:r w:rsidR="00C60141">
        <w:rPr>
          <w:noProof/>
        </w:rPr>
        <w:fldChar w:fldCharType="end"/>
      </w:r>
      <w:r>
        <w:t xml:space="preserve"> </w:t>
      </w:r>
      <w:r w:rsidRPr="00AB496D">
        <w:t>Měrné náklady na provoz vlaků</w:t>
      </w:r>
      <w:r w:rsidR="00F610B7">
        <w:t xml:space="preserve"> – varianta s projektem, </w:t>
      </w:r>
      <w:r w:rsidR="00EE06CF">
        <w:t>CÚ 2020</w:t>
      </w:r>
    </w:p>
    <w:p w:rsidR="0096505E" w:rsidRDefault="00ED48B4" w:rsidP="00A445F4">
      <w:r>
        <w:pict>
          <v:shape id="_x0000_i1029" type="#_x0000_t75" style="width:454pt;height:252pt">
            <v:imagedata r:id="rId18" o:title=""/>
          </v:shape>
        </w:pict>
      </w:r>
    </w:p>
    <w:p w:rsidR="00F610B7" w:rsidRDefault="00F610B7" w:rsidP="00F610B7">
      <w:pPr>
        <w:pStyle w:val="Titulek"/>
        <w:keepNext/>
      </w:pPr>
      <w:r>
        <w:t xml:space="preserve">Tabulka </w:t>
      </w:r>
      <w:r w:rsidR="00C60141">
        <w:rPr>
          <w:noProof/>
        </w:rPr>
        <w:fldChar w:fldCharType="begin"/>
      </w:r>
      <w:r w:rsidR="00C60141">
        <w:rPr>
          <w:noProof/>
        </w:rPr>
        <w:instrText xml:space="preserve"> SEQ Tabulka \* ARABIC </w:instrText>
      </w:r>
      <w:r w:rsidR="00C60141">
        <w:rPr>
          <w:noProof/>
        </w:rPr>
        <w:fldChar w:fldCharType="separate"/>
      </w:r>
      <w:r w:rsidR="00D422A7">
        <w:rPr>
          <w:noProof/>
        </w:rPr>
        <w:t>11</w:t>
      </w:r>
      <w:r w:rsidR="00C60141">
        <w:rPr>
          <w:noProof/>
        </w:rPr>
        <w:fldChar w:fldCharType="end"/>
      </w:r>
      <w:r>
        <w:t xml:space="preserve"> </w:t>
      </w:r>
      <w:r w:rsidRPr="00022A5F">
        <w:t>Měrné nákl</w:t>
      </w:r>
      <w:r>
        <w:t>ady na provoz vlaků – varianta bez projektu</w:t>
      </w:r>
      <w:r w:rsidR="006549E2">
        <w:t xml:space="preserve">, </w:t>
      </w:r>
      <w:r w:rsidR="00EE06CF">
        <w:t>CÚ 2020</w:t>
      </w:r>
    </w:p>
    <w:p w:rsidR="00D62B54" w:rsidRDefault="00ED48B4" w:rsidP="00A445F4">
      <w:r>
        <w:pict>
          <v:shape id="_x0000_i1030" type="#_x0000_t75" style="width:452.5pt;height:126pt;mso-position-vertical:absolute">
            <v:imagedata r:id="rId19" o:title=""/>
            <o:lock v:ext="edit" aspectratio="f"/>
          </v:shape>
        </w:pict>
      </w:r>
    </w:p>
    <w:p w:rsidR="00F610B7" w:rsidRDefault="00FC0CD2" w:rsidP="00A445F4">
      <w:r w:rsidRPr="00A17713">
        <w:rPr>
          <w:b/>
          <w:u w:val="single"/>
        </w:rPr>
        <w:t xml:space="preserve">Legenda k tabulkám </w:t>
      </w:r>
      <w:r w:rsidR="006549E2">
        <w:rPr>
          <w:b/>
          <w:u w:val="single"/>
        </w:rPr>
        <w:t>10</w:t>
      </w:r>
      <w:r w:rsidRPr="00A17713">
        <w:rPr>
          <w:b/>
          <w:u w:val="single"/>
        </w:rPr>
        <w:t xml:space="preserve"> a 1</w:t>
      </w:r>
      <w:r w:rsidR="006549E2">
        <w:rPr>
          <w:b/>
          <w:u w:val="single"/>
        </w:rPr>
        <w:t>1</w:t>
      </w:r>
      <w:r w:rsidRPr="00A17713">
        <w:rPr>
          <w:b/>
          <w:u w:val="single"/>
        </w:rPr>
        <w:t>:</w:t>
      </w:r>
    </w:p>
    <w:p w:rsidR="00BA029B" w:rsidRDefault="00BA029B" w:rsidP="00387689">
      <w:pPr>
        <w:pStyle w:val="Odstavecseseznamem"/>
        <w:numPr>
          <w:ilvl w:val="0"/>
          <w:numId w:val="17"/>
        </w:numPr>
        <w:ind w:left="426" w:hanging="284"/>
      </w:pPr>
      <w:r>
        <w:t>Km jízdy – udávají počet kilometrů, které linka ujede v řešeném úseku Ponětovice - Přerov na trati Brno – Přerov</w:t>
      </w:r>
    </w:p>
    <w:p w:rsidR="00BA029B" w:rsidRDefault="00BA029B" w:rsidP="00387689">
      <w:pPr>
        <w:pStyle w:val="Odstavecseseznamem"/>
        <w:numPr>
          <w:ilvl w:val="0"/>
          <w:numId w:val="17"/>
        </w:numPr>
        <w:ind w:left="426" w:hanging="284"/>
      </w:pPr>
      <w:r>
        <w:t xml:space="preserve">Min jízdy – udávají délku jízdy v minutách, které linka stráví jízdou v řešeném úseku Ponětovice - Přerov </w:t>
      </w:r>
    </w:p>
    <w:p w:rsidR="00BA029B" w:rsidRDefault="00BA029B" w:rsidP="00387689">
      <w:pPr>
        <w:pStyle w:val="Odstavecseseznamem"/>
        <w:numPr>
          <w:ilvl w:val="0"/>
          <w:numId w:val="17"/>
        </w:numPr>
        <w:ind w:left="426" w:hanging="284"/>
      </w:pPr>
      <w:r>
        <w:t>Počet vlaků – udává počet vlaků dané linky za pracovní den</w:t>
      </w:r>
    </w:p>
    <w:p w:rsidR="00BA029B" w:rsidRDefault="00BA029B" w:rsidP="00387689">
      <w:pPr>
        <w:pStyle w:val="Odstavecseseznamem"/>
        <w:numPr>
          <w:ilvl w:val="0"/>
          <w:numId w:val="17"/>
        </w:numPr>
        <w:ind w:left="426" w:hanging="284"/>
      </w:pPr>
      <w:r>
        <w:t>Vlkm / linka – udává počet vlakokilometrů ujetý všemi vlaky dané linky za pracovní den</w:t>
      </w:r>
    </w:p>
    <w:p w:rsidR="00BA029B" w:rsidRDefault="00BA029B" w:rsidP="00387689">
      <w:pPr>
        <w:pStyle w:val="Odstavecseseznamem"/>
        <w:numPr>
          <w:ilvl w:val="0"/>
          <w:numId w:val="17"/>
        </w:numPr>
        <w:ind w:left="426" w:hanging="284"/>
      </w:pPr>
      <w:r>
        <w:lastRenderedPageBreak/>
        <w:t>% vlkm linky – udává podíl linky na celkových vlakových kilometrech regionální nebo dálkové dopravy</w:t>
      </w:r>
    </w:p>
    <w:p w:rsidR="00BA029B" w:rsidRDefault="00BA029B" w:rsidP="00387689">
      <w:pPr>
        <w:pStyle w:val="Odstavecseseznamem"/>
        <w:numPr>
          <w:ilvl w:val="0"/>
          <w:numId w:val="17"/>
        </w:numPr>
        <w:ind w:left="426" w:hanging="284"/>
      </w:pPr>
      <w:r>
        <w:t>Kč / vlkm – nákladová sazba v Kč na vlakový kilometr vypočtená na základě vozové skladby linky</w:t>
      </w:r>
    </w:p>
    <w:p w:rsidR="00BA029B" w:rsidRDefault="00BA029B" w:rsidP="00387689">
      <w:pPr>
        <w:pStyle w:val="Odstavecseseznamem"/>
        <w:numPr>
          <w:ilvl w:val="0"/>
          <w:numId w:val="17"/>
        </w:numPr>
        <w:ind w:left="426" w:hanging="284"/>
      </w:pPr>
      <w:r>
        <w:t>Vlhod / linka - udává počet vlakovýc</w:t>
      </w:r>
      <w:r w:rsidR="0022228E">
        <w:t>h hodin strávených v řešeném ús</w:t>
      </w:r>
      <w:r>
        <w:t>e</w:t>
      </w:r>
      <w:r w:rsidR="0022228E">
        <w:t>k</w:t>
      </w:r>
      <w:r>
        <w:t>u všemi vlaky dané linky za pracovní den</w:t>
      </w:r>
    </w:p>
    <w:p w:rsidR="00FC0CD2" w:rsidRDefault="00BA029B" w:rsidP="00387689">
      <w:pPr>
        <w:pStyle w:val="Odstavecseseznamem"/>
        <w:numPr>
          <w:ilvl w:val="0"/>
          <w:numId w:val="17"/>
        </w:numPr>
        <w:ind w:left="426" w:hanging="284"/>
      </w:pPr>
      <w:r>
        <w:t>% vlhod linky – udává podíl linky na celkových vlakových hodinách regionální nebo dálkové dopravy</w:t>
      </w:r>
    </w:p>
    <w:p w:rsidR="00BA029B" w:rsidRDefault="00BA029B" w:rsidP="00387689">
      <w:pPr>
        <w:pStyle w:val="Odstavecseseznamem"/>
        <w:numPr>
          <w:ilvl w:val="0"/>
          <w:numId w:val="17"/>
        </w:numPr>
        <w:ind w:left="426" w:hanging="284"/>
      </w:pPr>
      <w:r>
        <w:t>Kč / vlhod – nákladová sazba v Kč na vlakovou hodinu vypočtená na základě vozové skladby linky</w:t>
      </w:r>
    </w:p>
    <w:p w:rsidR="00BA029B" w:rsidRDefault="00BA029B" w:rsidP="00A445F4">
      <w:r>
        <w:t>Kalkulace</w:t>
      </w:r>
      <w:r w:rsidR="00103722">
        <w:t xml:space="preserve"> nákladových sazeb projektové a bezprojektové varianty je předmětem přílohy 3 a 4 aktualizace ekonomického hodnocení</w:t>
      </w:r>
      <w:r w:rsidR="00BA3151">
        <w:t>.</w:t>
      </w:r>
    </w:p>
    <w:p w:rsidR="008A27E1" w:rsidRDefault="008A27E1" w:rsidP="008A27E1">
      <w:pPr>
        <w:pStyle w:val="Titulek"/>
        <w:keepNext/>
      </w:pPr>
      <w:r>
        <w:t xml:space="preserve">Tabulka </w:t>
      </w:r>
      <w:r w:rsidR="00C60141">
        <w:rPr>
          <w:noProof/>
        </w:rPr>
        <w:fldChar w:fldCharType="begin"/>
      </w:r>
      <w:r w:rsidR="00C60141">
        <w:rPr>
          <w:noProof/>
        </w:rPr>
        <w:instrText xml:space="preserve"> SEQ Tabulka \* ARABIC </w:instrText>
      </w:r>
      <w:r w:rsidR="00C60141">
        <w:rPr>
          <w:noProof/>
        </w:rPr>
        <w:fldChar w:fldCharType="separate"/>
      </w:r>
      <w:r w:rsidR="00D422A7">
        <w:rPr>
          <w:noProof/>
        </w:rPr>
        <w:t>12</w:t>
      </w:r>
      <w:r w:rsidR="00C60141">
        <w:rPr>
          <w:noProof/>
        </w:rPr>
        <w:fldChar w:fldCharType="end"/>
      </w:r>
      <w:r>
        <w:t xml:space="preserve"> Porovnání nákladů na provoz vozidel SP vs. aktualizace SP, </w:t>
      </w:r>
      <w:r w:rsidR="00EE06CF">
        <w:t>CÚ 2020</w:t>
      </w:r>
      <w:r w:rsidR="00377D7C">
        <w:t>, v tis. Kč</w:t>
      </w:r>
    </w:p>
    <w:p w:rsidR="00700A5F" w:rsidRDefault="00ED48B4" w:rsidP="00A445F4">
      <w:r>
        <w:pict>
          <v:shape id="_x0000_i1031" type="#_x0000_t75" style="width:276pt;height:90pt">
            <v:imagedata r:id="rId20" o:title=""/>
            <o:lock v:ext="edit" aspectratio="f"/>
          </v:shape>
        </w:pict>
      </w:r>
    </w:p>
    <w:p w:rsidR="00824280" w:rsidRDefault="00891194" w:rsidP="00383A60">
      <w:r>
        <w:t>Zvýšené náklady na provoz vlaků osobní dopravy budou činit 2,</w:t>
      </w:r>
      <w:r w:rsidR="00F93C55">
        <w:t>3</w:t>
      </w:r>
      <w:r>
        <w:t xml:space="preserve"> mld. Kč za celé hodnotící období, úspora nákladů na provoz nákladních vlaků pak bude činit </w:t>
      </w:r>
      <w:r w:rsidR="00946C5C">
        <w:t>9</w:t>
      </w:r>
      <w:r w:rsidR="00F93C55">
        <w:t>3</w:t>
      </w:r>
      <w:r>
        <w:t xml:space="preserve"> mil. Kč za celé hodnotící období. </w:t>
      </w:r>
      <w:r w:rsidR="00824280">
        <w:t>Celkov</w:t>
      </w:r>
      <w:r w:rsidR="00116375">
        <w:t>ý</w:t>
      </w:r>
      <w:r>
        <w:t xml:space="preserve"> nárůst nákladů bude činit 2</w:t>
      </w:r>
      <w:r w:rsidR="00116375">
        <w:t>,</w:t>
      </w:r>
      <w:r w:rsidR="00F93C55">
        <w:t>2</w:t>
      </w:r>
      <w:r w:rsidR="002B0795">
        <w:t xml:space="preserve"> </w:t>
      </w:r>
      <w:r>
        <w:t xml:space="preserve">mld. Kč, vyjádřeno v ekonomických cenách </w:t>
      </w:r>
      <w:r w:rsidR="00946C5C">
        <w:t>1,</w:t>
      </w:r>
      <w:r w:rsidR="00F93C55">
        <w:t>8</w:t>
      </w:r>
      <w:r w:rsidR="008A7D33">
        <w:t xml:space="preserve"> </w:t>
      </w:r>
      <w:r>
        <w:t>mld. Kč</w:t>
      </w:r>
      <w:r w:rsidR="005A237B">
        <w:t>.</w:t>
      </w:r>
    </w:p>
    <w:p w:rsidR="00824280" w:rsidRPr="00D97E47" w:rsidRDefault="00824280" w:rsidP="005D0D26">
      <w:pPr>
        <w:pStyle w:val="Nadpis2"/>
      </w:pPr>
      <w:bookmarkStart w:id="37" w:name="_Toc35357608"/>
      <w:r w:rsidRPr="00D97E47">
        <w:t>Úspory provozních nákladů silniční dopravy</w:t>
      </w:r>
      <w:bookmarkEnd w:id="37"/>
    </w:p>
    <w:p w:rsidR="00D97E47" w:rsidRPr="00D97E47" w:rsidRDefault="00D97E47" w:rsidP="00D97E47">
      <w:r w:rsidRPr="00D97E47">
        <w:t xml:space="preserve">Realizací projektu dojde k převedení části osobní dopravy ze silnice na železnici. Převedením dopravy dochází k následujícím úsporám nákladů silniční dopravy: </w:t>
      </w:r>
    </w:p>
    <w:p w:rsidR="00D97E47" w:rsidRPr="00D97E47" w:rsidRDefault="00D97E47" w:rsidP="00387689">
      <w:pPr>
        <w:pStyle w:val="Odstavecseseznamem"/>
        <w:numPr>
          <w:ilvl w:val="0"/>
          <w:numId w:val="5"/>
        </w:numPr>
      </w:pPr>
      <w:r w:rsidRPr="00D97E47">
        <w:t xml:space="preserve">úspory nákladů na údržbě a opravách silniční infrastruktury, </w:t>
      </w:r>
    </w:p>
    <w:p w:rsidR="00D97E47" w:rsidRPr="00D97E47" w:rsidRDefault="00D97E47" w:rsidP="00387689">
      <w:pPr>
        <w:pStyle w:val="Odstavecseseznamem"/>
        <w:numPr>
          <w:ilvl w:val="0"/>
          <w:numId w:val="5"/>
        </w:numPr>
      </w:pPr>
      <w:r w:rsidRPr="00D97E47">
        <w:t xml:space="preserve">úspory nákladů potřebných na provoz a údržbu vozidel. </w:t>
      </w:r>
    </w:p>
    <w:p w:rsidR="00D97E47" w:rsidRDefault="00D97E47" w:rsidP="00D97E47">
      <w:r w:rsidRPr="00D97E47">
        <w:t>Ke vzniku převedené dopravy dochází díky zkrácení cestovních dob v železniční dopravě</w:t>
      </w:r>
      <w:r>
        <w:t xml:space="preserve"> a</w:t>
      </w:r>
      <w:r w:rsidRPr="00D97E47">
        <w:t xml:space="preserve"> také vlivem navýšení počtu vlaků oproti variantě bez projektu. </w:t>
      </w:r>
    </w:p>
    <w:p w:rsidR="00B203D8" w:rsidRDefault="00B203D8" w:rsidP="00D97E47">
      <w:r>
        <w:t>V rámci SP byly tyto přínosy oceněny pomocí níže uvedených sazeb.</w:t>
      </w:r>
    </w:p>
    <w:p w:rsidR="00B203D8" w:rsidRDefault="00B203D8" w:rsidP="00B203D8">
      <w:pPr>
        <w:pStyle w:val="Titulek"/>
        <w:keepNext/>
      </w:pPr>
      <w:r>
        <w:t xml:space="preserve">Tabulka </w:t>
      </w:r>
      <w:r w:rsidR="00C60141">
        <w:rPr>
          <w:noProof/>
        </w:rPr>
        <w:fldChar w:fldCharType="begin"/>
      </w:r>
      <w:r w:rsidR="00C60141">
        <w:rPr>
          <w:noProof/>
        </w:rPr>
        <w:instrText xml:space="preserve"> SEQ Tabulka \* ARABIC </w:instrText>
      </w:r>
      <w:r w:rsidR="00C60141">
        <w:rPr>
          <w:noProof/>
        </w:rPr>
        <w:fldChar w:fldCharType="separate"/>
      </w:r>
      <w:r w:rsidR="00D422A7">
        <w:rPr>
          <w:noProof/>
        </w:rPr>
        <w:t>13</w:t>
      </w:r>
      <w:r w:rsidR="00C60141">
        <w:rPr>
          <w:noProof/>
        </w:rPr>
        <w:fldChar w:fldCharType="end"/>
      </w:r>
      <w:r>
        <w:t xml:space="preserve"> Sazby pro výpočet přínosů z převedené dopravy dle SP</w:t>
      </w:r>
      <w:r w:rsidR="00377D7C">
        <w:t>, CÚ 2018</w:t>
      </w:r>
    </w:p>
    <w:p w:rsidR="00B203D8" w:rsidRDefault="00ED48B4" w:rsidP="00D97E47">
      <w:r>
        <w:pict>
          <v:shape id="_x0000_i1032" type="#_x0000_t75" style="width:180pt;height:43.5pt">
            <v:imagedata r:id="rId21" o:title=""/>
            <o:lock v:ext="edit" aspectratio="f"/>
          </v:shape>
        </w:pict>
      </w:r>
    </w:p>
    <w:p w:rsidR="00B203D8" w:rsidRDefault="00B203D8" w:rsidP="00D97E47">
      <w:r>
        <w:t>Celková úspora nákladů silniční dopravy z převedené dopravy činila za celé hodnotící období 20,8 mld. Kč, přičemž dominantním přínosem byla úspora provozních nákladů na osobní vozidla, která činila 18,2 mld. Kč.</w:t>
      </w:r>
    </w:p>
    <w:p w:rsidR="006D47FD" w:rsidRDefault="006D47FD" w:rsidP="00D97E47">
      <w:r>
        <w:t>V rámci rezortní metodiky došlo k úpravě sazeb pro potřeby výpočtu, přičemž u nákladů na údržbu došlo k rozdělení sazby pro individuální a hromadnou dopravu. Současně s tím už tento náklad není vyjádřen k přepravním</w:t>
      </w:r>
      <w:r w:rsidR="0050528C">
        <w:t>u</w:t>
      </w:r>
      <w:r>
        <w:t xml:space="preserve"> výkonu 1000oskm, ale k dopravnímu výkonu 1000 vozkm. Při průměrné obsazenosti 1,6 osob/IAD a 40 osob/BUS dochází k mírnému růstu nákladové sazby. </w:t>
      </w:r>
      <w:r w:rsidR="00675CD8">
        <w:t>Průměrná obsazenost vozidel je převzata z dopravního modelu</w:t>
      </w:r>
      <w:r w:rsidR="003358FD">
        <w:t xml:space="preserve"> zpracovaného v rámci SP</w:t>
      </w:r>
      <w:r w:rsidR="00675CD8">
        <w:t xml:space="preserve">. </w:t>
      </w:r>
      <w:r>
        <w:t xml:space="preserve">Jednotkové náklady na provoz vozidel naopak poklesly, což </w:t>
      </w:r>
      <w:r w:rsidR="007910BC">
        <w:t>má</w:t>
      </w:r>
      <w:r>
        <w:t xml:space="preserve"> za následek snížení tohoto příjmu.</w:t>
      </w:r>
    </w:p>
    <w:p w:rsidR="00B203D8" w:rsidRDefault="00B203D8" w:rsidP="00B203D8">
      <w:pPr>
        <w:pStyle w:val="Titulek"/>
        <w:keepNext/>
      </w:pPr>
      <w:r>
        <w:lastRenderedPageBreak/>
        <w:t xml:space="preserve">Tabulka </w:t>
      </w:r>
      <w:r w:rsidR="00C60141">
        <w:rPr>
          <w:noProof/>
        </w:rPr>
        <w:fldChar w:fldCharType="begin"/>
      </w:r>
      <w:r w:rsidR="00C60141">
        <w:rPr>
          <w:noProof/>
        </w:rPr>
        <w:instrText xml:space="preserve"> SEQ Tabulka \* ARABIC </w:instrText>
      </w:r>
      <w:r w:rsidR="00C60141">
        <w:rPr>
          <w:noProof/>
        </w:rPr>
        <w:fldChar w:fldCharType="separate"/>
      </w:r>
      <w:r w:rsidR="00D422A7">
        <w:rPr>
          <w:noProof/>
        </w:rPr>
        <w:t>14</w:t>
      </w:r>
      <w:r w:rsidR="00C60141">
        <w:rPr>
          <w:noProof/>
        </w:rPr>
        <w:fldChar w:fldCharType="end"/>
      </w:r>
      <w:r>
        <w:t xml:space="preserve"> </w:t>
      </w:r>
      <w:r w:rsidRPr="00391A1C">
        <w:t xml:space="preserve">Sazby pro výpočet přínosů z převedené dopravy dle </w:t>
      </w:r>
      <w:r>
        <w:t>Rezortní metodiky</w:t>
      </w:r>
      <w:r w:rsidR="00377D7C">
        <w:t xml:space="preserve">, </w:t>
      </w:r>
      <w:r w:rsidR="00EE06CF">
        <w:t>CÚ 2020</w:t>
      </w:r>
    </w:p>
    <w:p w:rsidR="00B203D8" w:rsidRPr="00D97E47" w:rsidRDefault="00C5377B" w:rsidP="00D97E47">
      <w:r w:rsidRPr="00C5377B">
        <w:rPr>
          <w:noProof/>
          <w:lang w:eastAsia="cs-CZ"/>
        </w:rPr>
        <w:drawing>
          <wp:inline distT="0" distB="0" distL="0" distR="0">
            <wp:extent cx="2800350" cy="790575"/>
            <wp:effectExtent l="0" t="0" r="0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7E1" w:rsidRDefault="008A27E1" w:rsidP="008A27E1">
      <w:pPr>
        <w:pStyle w:val="Titulek"/>
        <w:keepNext/>
      </w:pPr>
      <w:r>
        <w:t xml:space="preserve">Tabulka </w:t>
      </w:r>
      <w:r w:rsidR="00C60141">
        <w:rPr>
          <w:noProof/>
        </w:rPr>
        <w:fldChar w:fldCharType="begin"/>
      </w:r>
      <w:r w:rsidR="00C60141">
        <w:rPr>
          <w:noProof/>
        </w:rPr>
        <w:instrText xml:space="preserve"> SEQ Tabulka \* ARABIC </w:instrText>
      </w:r>
      <w:r w:rsidR="00C60141">
        <w:rPr>
          <w:noProof/>
        </w:rPr>
        <w:fldChar w:fldCharType="separate"/>
      </w:r>
      <w:r w:rsidR="00D422A7">
        <w:rPr>
          <w:noProof/>
        </w:rPr>
        <w:t>15</w:t>
      </w:r>
      <w:r w:rsidR="00C60141">
        <w:rPr>
          <w:noProof/>
        </w:rPr>
        <w:fldChar w:fldCharType="end"/>
      </w:r>
      <w:r>
        <w:t xml:space="preserve"> Porovnání úspor silničního provozu v</w:t>
      </w:r>
      <w:r w:rsidR="00DD0D31">
        <w:t> </w:t>
      </w:r>
      <w:r>
        <w:t>SP</w:t>
      </w:r>
      <w:r w:rsidR="00DD0D31">
        <w:t xml:space="preserve"> (CÚ 2018)</w:t>
      </w:r>
      <w:r>
        <w:t xml:space="preserve"> a aktualizaci SP</w:t>
      </w:r>
      <w:r w:rsidR="00377D7C">
        <w:t xml:space="preserve">, </w:t>
      </w:r>
      <w:r w:rsidR="00EE06CF">
        <w:t>CÚ 2020</w:t>
      </w:r>
      <w:r w:rsidR="00377D7C">
        <w:t>, v tis. Kč</w:t>
      </w:r>
    </w:p>
    <w:p w:rsidR="008A27E1" w:rsidRDefault="00ED48B4" w:rsidP="00D97E47">
      <w:r>
        <w:pict>
          <v:shape id="_x0000_i1033" type="#_x0000_t75" style="width:286.5pt;height:88.5pt">
            <v:imagedata r:id="rId23" o:title=""/>
            <o:lock v:ext="edit" aspectratio="f"/>
          </v:shape>
        </w:pict>
      </w:r>
    </w:p>
    <w:p w:rsidR="00D97E47" w:rsidRDefault="00D97E47" w:rsidP="00D97E47">
      <w:r>
        <w:t xml:space="preserve">Celková úspora provozních nákladů silniční dopravy činí </w:t>
      </w:r>
      <w:r w:rsidR="00C5377B">
        <w:t>15,2</w:t>
      </w:r>
      <w:r w:rsidR="002618FA">
        <w:t xml:space="preserve"> </w:t>
      </w:r>
      <w:r>
        <w:t>m</w:t>
      </w:r>
      <w:r w:rsidR="00BA72FD">
        <w:t>ld</w:t>
      </w:r>
      <w:r>
        <w:t xml:space="preserve">. Kč, </w:t>
      </w:r>
      <w:r w:rsidR="002A7CA7">
        <w:t xml:space="preserve">oproti SP tak došlo k poklesu o </w:t>
      </w:r>
      <w:r w:rsidR="00DD0D31">
        <w:t>5,</w:t>
      </w:r>
      <w:r w:rsidR="00C5377B">
        <w:t>64</w:t>
      </w:r>
      <w:r w:rsidR="002A7CA7">
        <w:t xml:space="preserve"> m</w:t>
      </w:r>
      <w:r w:rsidR="00E04FB0">
        <w:t>ld</w:t>
      </w:r>
      <w:r w:rsidR="002A7CA7">
        <w:t>. Kč a to z důvodu nižších jednotkových cen přínosů a</w:t>
      </w:r>
      <w:r w:rsidR="00E04FB0">
        <w:t xml:space="preserve"> zejména</w:t>
      </w:r>
      <w:r w:rsidR="002A7CA7">
        <w:t xml:space="preserve"> zkrácením hodnotícího období. </w:t>
      </w:r>
      <w:r w:rsidR="00E04FB0">
        <w:t>Nárůst</w:t>
      </w:r>
      <w:r w:rsidR="002A7CA7">
        <w:t xml:space="preserve"> v položce úspor nákladů na údržbu silniční infrastruktury činí </w:t>
      </w:r>
      <w:r w:rsidR="00C5377B">
        <w:t>17,</w:t>
      </w:r>
      <w:r w:rsidR="00F93C55">
        <w:t>6</w:t>
      </w:r>
      <w:r w:rsidR="002A7CA7">
        <w:t xml:space="preserve"> mil. Kč, pokles úspory provozních nákladů vozidel činí </w:t>
      </w:r>
      <w:r w:rsidR="00DD0D31">
        <w:t>5,</w:t>
      </w:r>
      <w:r w:rsidR="00C5377B">
        <w:t>6</w:t>
      </w:r>
      <w:r w:rsidR="00F93C55">
        <w:t>5</w:t>
      </w:r>
      <w:r w:rsidR="00E273E6">
        <w:t xml:space="preserve"> </w:t>
      </w:r>
      <w:r w:rsidR="002A7CA7">
        <w:t>m</w:t>
      </w:r>
      <w:r w:rsidR="00E04FB0">
        <w:t>ld</w:t>
      </w:r>
      <w:r w:rsidR="002A7CA7">
        <w:t>. Kč.</w:t>
      </w:r>
    </w:p>
    <w:p w:rsidR="00D97E47" w:rsidRPr="00D97E47" w:rsidRDefault="00D97E47" w:rsidP="005D0D26">
      <w:pPr>
        <w:pStyle w:val="Nadpis2"/>
      </w:pPr>
      <w:bookmarkStart w:id="38" w:name="_Toc35357609"/>
      <w:r w:rsidRPr="00D97E47">
        <w:t>Úspory času</w:t>
      </w:r>
      <w:bookmarkEnd w:id="38"/>
    </w:p>
    <w:p w:rsidR="0069298A" w:rsidRDefault="0069298A" w:rsidP="0017101E">
      <w:pPr>
        <w:pStyle w:val="Nadpis3"/>
      </w:pPr>
      <w:bookmarkStart w:id="39" w:name="_Toc35357610"/>
      <w:r>
        <w:t>Osobní doprava</w:t>
      </w:r>
      <w:bookmarkEnd w:id="39"/>
    </w:p>
    <w:p w:rsidR="00D97E47" w:rsidRDefault="00D97E47" w:rsidP="00774B57">
      <w:r>
        <w:t xml:space="preserve">Realizace projektu </w:t>
      </w:r>
      <w:r w:rsidR="00774B57">
        <w:t>povede k úspoře času jak stávající, tak převedené a indukované dopravy. Tyto úspory jsou důsledkem výrazného zkrácení jízdních dob na železnici a zahuštění dopravní nabídky železniční dopravy.</w:t>
      </w:r>
    </w:p>
    <w:p w:rsidR="00774B57" w:rsidRDefault="00774B57" w:rsidP="00FC30C0">
      <w:r>
        <w:t>Časové úspory byly v rámci SP oceněny dle tehdy platných sazeb hodnoty času. Celkový přínos z úspory času činil za celé hodnotící období 4</w:t>
      </w:r>
      <w:r w:rsidR="00C928D9">
        <w:t>9</w:t>
      </w:r>
      <w:r>
        <w:t xml:space="preserve"> mld. Kč.</w:t>
      </w:r>
    </w:p>
    <w:p w:rsidR="00FC30C0" w:rsidRDefault="00774B57" w:rsidP="00FC30C0">
      <w:r>
        <w:t>Rezortní metodik</w:t>
      </w:r>
      <w:r w:rsidR="001051EA">
        <w:t>a</w:t>
      </w:r>
      <w:r>
        <w:t xml:space="preserve"> aktualizovala </w:t>
      </w:r>
      <w:r w:rsidR="001051EA">
        <w:t xml:space="preserve">měrné </w:t>
      </w:r>
      <w:r>
        <w:t>hodnoty</w:t>
      </w:r>
      <w:r w:rsidR="001051EA">
        <w:t xml:space="preserve"> uspořeného</w:t>
      </w:r>
      <w:r>
        <w:t xml:space="preserve"> času, což vedlo k jejich poklesu průměrně o cca 34%. Tato skutečnost společně se zkrácením hodnotícího období má za následek pokles přínosů z úspory času na </w:t>
      </w:r>
      <w:r w:rsidR="00C5377B">
        <w:t>27,3</w:t>
      </w:r>
      <w:r>
        <w:t xml:space="preserve"> mld. Kč za celé hodnotící období. Výpočet časových úspor v rozdělení na stávající, převedenou a indukovanou dopravu je uveden níže.</w:t>
      </w:r>
    </w:p>
    <w:p w:rsidR="0069298A" w:rsidRDefault="0069298A" w:rsidP="0017101E">
      <w:pPr>
        <w:pStyle w:val="Nadpis3"/>
      </w:pPr>
      <w:bookmarkStart w:id="40" w:name="_Toc35357611"/>
      <w:r>
        <w:t>Nákladní doprava</w:t>
      </w:r>
      <w:bookmarkEnd w:id="40"/>
    </w:p>
    <w:p w:rsidR="0069298A" w:rsidRDefault="0069298A" w:rsidP="0069298A">
      <w:r>
        <w:t xml:space="preserve">V rámci segmentu nákladní dopravy dojde rovněž k úspoře času, která je v rámci přepravních prognózy vyjádřena poklesem tunových hodin v rámci projektových variant oproti stavu bez projektu při zachování stejného množství přepraveného zboží. </w:t>
      </w:r>
    </w:p>
    <w:p w:rsidR="0069298A" w:rsidRDefault="0069298A" w:rsidP="0069298A">
      <w:r>
        <w:t xml:space="preserve">Hodnota času nákladní dopravy činila v SP 46,91 Kč/tunhod (CÚ 2018), v rámci rezortní metodiky činí hodnota uspořeného času nákladní dopravy </w:t>
      </w:r>
      <w:r w:rsidR="003F5458">
        <w:t>37,93</w:t>
      </w:r>
      <w:r>
        <w:t xml:space="preserve"> Kč/tunhod (</w:t>
      </w:r>
      <w:r w:rsidR="00EE06CF">
        <w:t>CÚ 2020</w:t>
      </w:r>
      <w:r>
        <w:t>).</w:t>
      </w:r>
    </w:p>
    <w:p w:rsidR="00573A5B" w:rsidRDefault="00573A5B" w:rsidP="0069298A">
      <w:r>
        <w:t xml:space="preserve">Přínosy z úspory času nákladní dopravy činily v SP za celé hodnotící období </w:t>
      </w:r>
      <w:r w:rsidR="00804B2C">
        <w:t xml:space="preserve">900 mil. Kč, v rámci aktualizace tyto přínosy vlivem nižší hodnoty času a zkráceného hodnotícího období poklesly na </w:t>
      </w:r>
      <w:r w:rsidR="00C5377B">
        <w:t>566</w:t>
      </w:r>
      <w:r w:rsidR="00804B2C">
        <w:t xml:space="preserve"> mil. Kč.</w:t>
      </w:r>
    </w:p>
    <w:p w:rsidR="0069298A" w:rsidRDefault="0069298A" w:rsidP="0069298A"/>
    <w:p w:rsidR="00D60A72" w:rsidRDefault="00D60A72" w:rsidP="00C06D62">
      <w:pPr>
        <w:pStyle w:val="Titulek"/>
        <w:keepNext/>
      </w:pPr>
      <w:r>
        <w:lastRenderedPageBreak/>
        <w:t xml:space="preserve">Tabulka </w:t>
      </w:r>
      <w:r w:rsidR="00C60141">
        <w:rPr>
          <w:noProof/>
        </w:rPr>
        <w:fldChar w:fldCharType="begin"/>
      </w:r>
      <w:r w:rsidR="00C60141">
        <w:rPr>
          <w:noProof/>
        </w:rPr>
        <w:instrText xml:space="preserve"> SEQ Tabulka \* ARABIC </w:instrText>
      </w:r>
      <w:r w:rsidR="00C60141">
        <w:rPr>
          <w:noProof/>
        </w:rPr>
        <w:fldChar w:fldCharType="separate"/>
      </w:r>
      <w:r w:rsidR="00D422A7">
        <w:rPr>
          <w:noProof/>
        </w:rPr>
        <w:t>16</w:t>
      </w:r>
      <w:r w:rsidR="00C60141">
        <w:rPr>
          <w:noProof/>
        </w:rPr>
        <w:fldChar w:fldCharType="end"/>
      </w:r>
      <w:r>
        <w:t xml:space="preserve"> </w:t>
      </w:r>
      <w:r w:rsidRPr="00CC4DEB">
        <w:t xml:space="preserve">Výpočet přínosů z úspory času v tis. Kč, </w:t>
      </w:r>
      <w:r w:rsidR="00EE06CF">
        <w:t>CÚ 2020</w:t>
      </w:r>
    </w:p>
    <w:p w:rsidR="000C036D" w:rsidRDefault="00ED48B4" w:rsidP="00D60A72">
      <w:pPr>
        <w:pStyle w:val="Titulek"/>
      </w:pPr>
      <w:r>
        <w:pict>
          <v:shape id="_x0000_i1034" type="#_x0000_t75" style="width:423pt;height:360.5pt">
            <v:imagedata r:id="rId24" o:title=""/>
            <o:lock v:ext="edit" aspectratio="f"/>
          </v:shape>
        </w:pict>
      </w:r>
    </w:p>
    <w:p w:rsidR="000C036D" w:rsidRDefault="000C036D" w:rsidP="000C036D"/>
    <w:p w:rsidR="00D97E47" w:rsidRPr="00D97E47" w:rsidRDefault="00D97E47" w:rsidP="005D0D26">
      <w:pPr>
        <w:pStyle w:val="Nadpis2"/>
      </w:pPr>
      <w:bookmarkStart w:id="41" w:name="_Toc35357612"/>
      <w:r w:rsidRPr="00D97E47">
        <w:t>Přínosy z úspor vnějších účinků dopravy</w:t>
      </w:r>
      <w:bookmarkEnd w:id="41"/>
      <w:r w:rsidRPr="00D97E47">
        <w:t xml:space="preserve"> </w:t>
      </w:r>
    </w:p>
    <w:p w:rsidR="00D97E47" w:rsidRDefault="00D97E47" w:rsidP="00D97E47">
      <w:r>
        <w:t xml:space="preserve">V ekonomickém hodnocení je zohledněn dopad realizace projektu na náklady související s vedlejšími negativními účinky dopravy. </w:t>
      </w:r>
      <w:r w:rsidR="00C06D62">
        <w:t xml:space="preserve">Ty vznikají při přesunu cestujících z jednoho </w:t>
      </w:r>
      <w:r w:rsidR="006104C4">
        <w:t>dopravního</w:t>
      </w:r>
      <w:r w:rsidR="00C06D62">
        <w:t xml:space="preserve"> </w:t>
      </w:r>
      <w:r w:rsidR="006104C4">
        <w:t>módu</w:t>
      </w:r>
      <w:r w:rsidR="00C06D62">
        <w:t xml:space="preserve"> na jiný či indukcí cestujících. Po </w:t>
      </w:r>
      <w:r w:rsidR="006104C4">
        <w:t>dokončení</w:t>
      </w:r>
      <w:r w:rsidR="00C06D62">
        <w:t xml:space="preserve"> modernizace tratě bude docházet k oběma těmto jevům.</w:t>
      </w:r>
    </w:p>
    <w:p w:rsidR="00D97E47" w:rsidRDefault="00D97E47" w:rsidP="00D97E47">
      <w:r>
        <w:t xml:space="preserve">Tyto účinky zahrnují: </w:t>
      </w:r>
    </w:p>
    <w:p w:rsidR="00D97E47" w:rsidRDefault="00D97E47" w:rsidP="00387689">
      <w:pPr>
        <w:pStyle w:val="Odstavecseseznamem"/>
        <w:numPr>
          <w:ilvl w:val="0"/>
          <w:numId w:val="6"/>
        </w:numPr>
      </w:pPr>
      <w:r>
        <w:t xml:space="preserve">nehodovost v dopravě, </w:t>
      </w:r>
    </w:p>
    <w:p w:rsidR="00D97E47" w:rsidRDefault="00D97E47" w:rsidP="00387689">
      <w:pPr>
        <w:pStyle w:val="Odstavecseseznamem"/>
        <w:numPr>
          <w:ilvl w:val="0"/>
          <w:numId w:val="6"/>
        </w:numPr>
      </w:pPr>
      <w:r>
        <w:t xml:space="preserve">hlučnost z dopravy, </w:t>
      </w:r>
    </w:p>
    <w:p w:rsidR="00D97E47" w:rsidRDefault="00D97E47" w:rsidP="00387689">
      <w:pPr>
        <w:pStyle w:val="Odstavecseseznamem"/>
        <w:numPr>
          <w:ilvl w:val="0"/>
          <w:numId w:val="6"/>
        </w:numPr>
      </w:pPr>
      <w:r>
        <w:t xml:space="preserve">emise z dopravy, </w:t>
      </w:r>
    </w:p>
    <w:p w:rsidR="00D97E47" w:rsidRDefault="00D97E47" w:rsidP="00387689">
      <w:pPr>
        <w:pStyle w:val="Odstavecseseznamem"/>
        <w:numPr>
          <w:ilvl w:val="0"/>
          <w:numId w:val="6"/>
        </w:numPr>
      </w:pPr>
      <w:r>
        <w:t xml:space="preserve">změny klimatu. </w:t>
      </w:r>
    </w:p>
    <w:p w:rsidR="008B3793" w:rsidRDefault="008B3793" w:rsidP="00D97E47">
      <w:r>
        <w:t xml:space="preserve">V SP byla úspora těchto negativních externalit oceněna na základě Prováděcích pokynů z roku 2013. Jednotlivé externality byly oceněny na základě množství </w:t>
      </w:r>
      <w:r w:rsidR="006104C4">
        <w:t>převedených</w:t>
      </w:r>
      <w:r>
        <w:t xml:space="preserve"> </w:t>
      </w:r>
      <w:r w:rsidR="00C06D62">
        <w:t xml:space="preserve">a indukovaných </w:t>
      </w:r>
      <w:r>
        <w:t>osobových kilometrů a nákladových sazeb vztažených k oskm. Celkové přínosy z úspory externalit činily za celé hodnotící období 31,4 mld. Kč.</w:t>
      </w:r>
    </w:p>
    <w:p w:rsidR="008B3793" w:rsidRDefault="008B3793" w:rsidP="008B3793">
      <w:r>
        <w:t xml:space="preserve">Nově rezortní metodika mění postup pro ocenění těchto přínosů. V případě snížení nehodovosti a hluku tato změna spočívá ve změně nákladové sazby, přičemž v obou případech dochází ke snížení této sazby. V rámci vyčíslení dopadů plynoucích z emise skleníkových a znečištění životního prostředí rezortní metodika zavádí odlišný přístup k výpočtu. Výpočet je </w:t>
      </w:r>
      <w:r w:rsidR="007C5DF2">
        <w:t>proveden</w:t>
      </w:r>
      <w:r>
        <w:t xml:space="preserve"> ve třech krocích (1. </w:t>
      </w:r>
      <w:r w:rsidR="007C5DF2">
        <w:t>stanovení</w:t>
      </w:r>
      <w:r>
        <w:t xml:space="preserve"> dopravních výkonů v jednotlivých segmentech dopravy</w:t>
      </w:r>
      <w:r w:rsidR="001051EA">
        <w:t>;</w:t>
      </w:r>
      <w:r>
        <w:t xml:space="preserve"> 2. stanovení množství emitovaných</w:t>
      </w:r>
      <w:r w:rsidR="001051EA">
        <w:t xml:space="preserve"> </w:t>
      </w:r>
      <w:r>
        <w:t>/</w:t>
      </w:r>
      <w:r w:rsidR="001051EA">
        <w:t xml:space="preserve"> </w:t>
      </w:r>
      <w:r>
        <w:t>ušetřených tun polutantů</w:t>
      </w:r>
      <w:r w:rsidR="001051EA">
        <w:t>;</w:t>
      </w:r>
      <w:r w:rsidR="007C5DF2">
        <w:t xml:space="preserve"> CO</w:t>
      </w:r>
      <w:r w:rsidR="007C5DF2" w:rsidRPr="007C5DF2">
        <w:rPr>
          <w:vertAlign w:val="subscript"/>
        </w:rPr>
        <w:t>2</w:t>
      </w:r>
      <w:r>
        <w:t xml:space="preserve"> a 3. ocenění polutantů</w:t>
      </w:r>
      <w:r w:rsidR="007C5DF2">
        <w:t>, CO</w:t>
      </w:r>
      <w:r w:rsidR="007C5DF2" w:rsidRPr="007C5DF2">
        <w:rPr>
          <w:vertAlign w:val="subscript"/>
        </w:rPr>
        <w:t>2</w:t>
      </w:r>
      <w:r>
        <w:t xml:space="preserve"> pomocí jednotkových nákladů </w:t>
      </w:r>
      <w:r w:rsidR="007C5DF2">
        <w:t xml:space="preserve">na tunu). </w:t>
      </w:r>
      <w:r w:rsidR="007C5DF2">
        <w:lastRenderedPageBreak/>
        <w:t>V rámci výpočtu tak dochází nejen k ocenění samotné externality, ale rovněž i k výpočtu množství emitovaných polutantů a skleníkových plynů.</w:t>
      </w:r>
    </w:p>
    <w:p w:rsidR="00D362F5" w:rsidRDefault="00D97E47" w:rsidP="00D97E47">
      <w:r>
        <w:t>V nákladní dopravě jsou přínosy dány pouze zkrácením trasy vlaků</w:t>
      </w:r>
      <w:r w:rsidR="006104C4">
        <w:t>,</w:t>
      </w:r>
      <w:r>
        <w:t xml:space="preserve"> </w:t>
      </w:r>
      <w:r w:rsidR="007C5DF2">
        <w:t>z čehož vyplývá menší zátěž životního prostředí</w:t>
      </w:r>
      <w:r w:rsidR="006104C4">
        <w:t>,</w:t>
      </w:r>
      <w:r w:rsidR="007C5DF2">
        <w:t xml:space="preserve"> při stejném množství přepraveného nákladu</w:t>
      </w:r>
      <w:r>
        <w:t xml:space="preserve">. </w:t>
      </w:r>
    </w:p>
    <w:p w:rsidR="00D362F5" w:rsidRDefault="00D362F5" w:rsidP="00D362F5">
      <w:r>
        <w:t xml:space="preserve">Celkové přínosy z úspory externalit činí </w:t>
      </w:r>
      <w:r w:rsidR="00C5377B">
        <w:t>13,1</w:t>
      </w:r>
      <w:r w:rsidR="002E3F0B">
        <w:t>mld.</w:t>
      </w:r>
      <w:r>
        <w:t xml:space="preserve"> Kč, oproti SP tak došlo k poklesu o </w:t>
      </w:r>
      <w:r w:rsidR="00D576CD">
        <w:t>18,</w:t>
      </w:r>
      <w:r w:rsidR="00C5377B">
        <w:t>3</w:t>
      </w:r>
      <w:r w:rsidR="002E3F0B">
        <w:t xml:space="preserve"> mld</w:t>
      </w:r>
      <w:r>
        <w:t>. Kč a to zejména z důvodu zkrácení hodnotícího období a druhotně změnou měrných nákladů externalit.</w:t>
      </w:r>
    </w:p>
    <w:p w:rsidR="003E172D" w:rsidRDefault="003E172D" w:rsidP="00C06D62">
      <w:pPr>
        <w:pStyle w:val="Titulek"/>
        <w:keepNext/>
      </w:pPr>
      <w:r>
        <w:t xml:space="preserve">Tabulka </w:t>
      </w:r>
      <w:r w:rsidR="00C60141">
        <w:rPr>
          <w:noProof/>
        </w:rPr>
        <w:fldChar w:fldCharType="begin"/>
      </w:r>
      <w:r w:rsidR="00C60141">
        <w:rPr>
          <w:noProof/>
        </w:rPr>
        <w:instrText xml:space="preserve"> SEQ Tabulka \* ARABIC </w:instrText>
      </w:r>
      <w:r w:rsidR="00C60141">
        <w:rPr>
          <w:noProof/>
        </w:rPr>
        <w:fldChar w:fldCharType="separate"/>
      </w:r>
      <w:r w:rsidR="00D422A7">
        <w:rPr>
          <w:noProof/>
        </w:rPr>
        <w:t>17</w:t>
      </w:r>
      <w:r w:rsidR="00C60141">
        <w:rPr>
          <w:noProof/>
        </w:rPr>
        <w:fldChar w:fldCharType="end"/>
      </w:r>
      <w:r>
        <w:t xml:space="preserve"> </w:t>
      </w:r>
      <w:r w:rsidRPr="002F23FF">
        <w:t xml:space="preserve">Přínosy z úspory externalit dopravy v tis. Kč, </w:t>
      </w:r>
      <w:r w:rsidR="00EE06CF">
        <w:t>CÚ 2020</w:t>
      </w:r>
    </w:p>
    <w:p w:rsidR="00D362F5" w:rsidRDefault="00ED48B4" w:rsidP="003E172D">
      <w:pPr>
        <w:pStyle w:val="Titulek"/>
      </w:pPr>
      <w:r>
        <w:pict>
          <v:shape id="_x0000_i1035" type="#_x0000_t75" style="width:446pt;height:376pt">
            <v:imagedata r:id="rId25" o:title=""/>
            <o:lock v:ext="edit" aspectratio="f"/>
          </v:shape>
        </w:pict>
      </w:r>
    </w:p>
    <w:p w:rsidR="009E7E66" w:rsidRPr="009E7E66" w:rsidRDefault="009E7E66" w:rsidP="009E7E66">
      <w:pPr>
        <w:sectPr w:rsidR="009E7E66" w:rsidRPr="009E7E66" w:rsidSect="0034798B">
          <w:headerReference w:type="default" r:id="rId26"/>
          <w:footerReference w:type="default" r:id="rId2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832A8" w:rsidRDefault="00F75563" w:rsidP="00C06D62">
      <w:pPr>
        <w:pStyle w:val="Nadpis2"/>
      </w:pPr>
      <w:bookmarkStart w:id="42" w:name="_Toc35357613"/>
      <w:r>
        <w:lastRenderedPageBreak/>
        <w:t>Bezpečnost</w:t>
      </w:r>
      <w:bookmarkEnd w:id="42"/>
    </w:p>
    <w:p w:rsidR="00DB2AB6" w:rsidRPr="001C5964" w:rsidRDefault="00DB2AB6" w:rsidP="00DB2AB6">
      <w:r w:rsidRPr="0030766B">
        <w:t>Přínos ze zvýšení bezpečnosti tohoto projektu je vyjádřen snížením počtu úmrtí a zranění uživatelů silniční a drážní dopravy, snížení škod správců infrastruktury, dopravců a ostatních účastníků silničního provozu. Tyto přínosy se vypočítají jako rozdíl mezi ekonomicky vyjádřenou hodnotou nákladů z nehod</w:t>
      </w:r>
      <w:r w:rsidRPr="001C5964">
        <w:t xml:space="preserve"> ve variant</w:t>
      </w:r>
      <w:r>
        <w:t>ě</w:t>
      </w:r>
      <w:r w:rsidRPr="001C5964">
        <w:t xml:space="preserve"> s projektem a bez projektu.</w:t>
      </w:r>
    </w:p>
    <w:p w:rsidR="00DB2AB6" w:rsidRDefault="00DB2AB6" w:rsidP="00DB2AB6">
      <w:r w:rsidRPr="00686364">
        <w:t xml:space="preserve">Ekonomický přínos ze zvýšení bezpečnosti dopravy je vypočítán </w:t>
      </w:r>
      <w:r>
        <w:t xml:space="preserve">na </w:t>
      </w:r>
      <w:r w:rsidRPr="00686364">
        <w:t>základě doporuč</w:t>
      </w:r>
      <w:r>
        <w:t>e</w:t>
      </w:r>
      <w:r w:rsidRPr="00686364">
        <w:t xml:space="preserve">ní z dokumentu </w:t>
      </w:r>
      <w:r w:rsidRPr="00056AF1">
        <w:rPr>
          <w:i/>
        </w:rPr>
        <w:t>„</w:t>
      </w:r>
      <w:r w:rsidRPr="000832EA">
        <w:rPr>
          <w:i/>
        </w:rPr>
        <w:t>Stanovení přínosů ze zvýšení zabezpečení železničních přejezdů či jejich zrušení</w:t>
      </w:r>
      <w:r w:rsidRPr="00056AF1">
        <w:rPr>
          <w:i/>
        </w:rPr>
        <w:t>“</w:t>
      </w:r>
      <w:r>
        <w:t>. Pro vyčíslení ekonomického přínosu ze zavedení vyššího stupně zabezpečení na přejezdech jsou potřeba jako jeden ze vstupů p</w:t>
      </w:r>
      <w:r w:rsidRPr="005657A9">
        <w:t>růměrné roční monetizované náklady úmrtí a zranění + hmotné škody připadající na jeden přejezd</w:t>
      </w:r>
      <w:r>
        <w:t>, ty jsou uvedeny v tabulce č. 18.</w:t>
      </w:r>
    </w:p>
    <w:p w:rsidR="00DB2AB6" w:rsidRDefault="00DB2AB6" w:rsidP="00DB2AB6">
      <w:pPr>
        <w:pStyle w:val="Titulek"/>
        <w:keepNext/>
      </w:pPr>
      <w:r>
        <w:t xml:space="preserve">Tabulka </w:t>
      </w:r>
      <w:r>
        <w:rPr>
          <w:noProof/>
        </w:rPr>
        <w:fldChar w:fldCharType="begin"/>
      </w:r>
      <w:r>
        <w:rPr>
          <w:noProof/>
        </w:rPr>
        <w:instrText xml:space="preserve"> SEQ Tabulka \* ARABIC </w:instrText>
      </w:r>
      <w:r>
        <w:rPr>
          <w:noProof/>
        </w:rPr>
        <w:fldChar w:fldCharType="separate"/>
      </w:r>
      <w:r w:rsidR="00D422A7">
        <w:rPr>
          <w:noProof/>
        </w:rPr>
        <w:t>18</w:t>
      </w:r>
      <w:r>
        <w:rPr>
          <w:noProof/>
        </w:rPr>
        <w:fldChar w:fldCharType="end"/>
      </w:r>
      <w:r>
        <w:t xml:space="preserve"> P</w:t>
      </w:r>
      <w:r w:rsidRPr="005657A9">
        <w:t>růměrné roční monetizované náklady úmrtí a zranění + hmotné škody</w:t>
      </w:r>
      <w:r>
        <w:t xml:space="preserve"> v Kč, </w:t>
      </w:r>
      <w:r w:rsidR="00EE06CF">
        <w:t>CÚ 2020</w:t>
      </w:r>
    </w:p>
    <w:p w:rsidR="00DB2AB6" w:rsidRDefault="00C5377B" w:rsidP="00DB2AB6">
      <w:r w:rsidRPr="00C5377B">
        <w:rPr>
          <w:noProof/>
          <w:lang w:eastAsia="cs-CZ"/>
        </w:rPr>
        <w:drawing>
          <wp:inline distT="0" distB="0" distL="0" distR="0">
            <wp:extent cx="5038725" cy="1152525"/>
            <wp:effectExtent l="0" t="0" r="9525" b="952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AB6" w:rsidRDefault="00DB2AB6" w:rsidP="00DB2AB6">
      <w:pPr>
        <w:pStyle w:val="Titulek"/>
        <w:keepNext/>
      </w:pPr>
      <w:r>
        <w:t xml:space="preserve">Tabulka </w:t>
      </w:r>
      <w:r>
        <w:rPr>
          <w:noProof/>
        </w:rPr>
        <w:fldChar w:fldCharType="begin"/>
      </w:r>
      <w:r>
        <w:rPr>
          <w:noProof/>
        </w:rPr>
        <w:instrText xml:space="preserve"> SEQ Tabulka \* ARABIC </w:instrText>
      </w:r>
      <w:r>
        <w:rPr>
          <w:noProof/>
        </w:rPr>
        <w:fldChar w:fldCharType="separate"/>
      </w:r>
      <w:r w:rsidR="00D422A7">
        <w:rPr>
          <w:noProof/>
        </w:rPr>
        <w:t>19</w:t>
      </w:r>
      <w:r>
        <w:rPr>
          <w:noProof/>
        </w:rPr>
        <w:fldChar w:fldCharType="end"/>
      </w:r>
      <w:r>
        <w:t xml:space="preserve"> Přínosy ze zabránění zraněním a úmrtím na přejezdech, </w:t>
      </w:r>
      <w:r w:rsidR="00EE06CF">
        <w:t>CÚ 2020</w:t>
      </w:r>
      <w:r>
        <w:t>, v tis. Kč</w:t>
      </w:r>
    </w:p>
    <w:p w:rsidR="00DB2AB6" w:rsidRDefault="00ED48B4" w:rsidP="00DB2AB6">
      <w:r>
        <w:pict>
          <v:shape id="_x0000_i1036" type="#_x0000_t75" style="width:444pt;height:364.5pt">
            <v:imagedata r:id="rId29" o:title=""/>
            <o:lock v:ext="edit" aspectratio="f"/>
          </v:shape>
        </w:pict>
      </w:r>
    </w:p>
    <w:p w:rsidR="00DB2AB6" w:rsidRDefault="00DB2AB6" w:rsidP="00DB2AB6">
      <w:pPr>
        <w:pStyle w:val="Titulek"/>
        <w:keepNext/>
      </w:pPr>
      <w:r>
        <w:lastRenderedPageBreak/>
        <w:t xml:space="preserve">Tabulka </w:t>
      </w:r>
      <w:r>
        <w:rPr>
          <w:noProof/>
        </w:rPr>
        <w:fldChar w:fldCharType="begin"/>
      </w:r>
      <w:r>
        <w:rPr>
          <w:noProof/>
        </w:rPr>
        <w:instrText xml:space="preserve"> SEQ Tabulka \* ARABIC </w:instrText>
      </w:r>
      <w:r>
        <w:rPr>
          <w:noProof/>
        </w:rPr>
        <w:fldChar w:fldCharType="separate"/>
      </w:r>
      <w:r w:rsidR="00D422A7">
        <w:rPr>
          <w:noProof/>
        </w:rPr>
        <w:t>20</w:t>
      </w:r>
      <w:r>
        <w:rPr>
          <w:noProof/>
        </w:rPr>
        <w:fldChar w:fldCharType="end"/>
      </w:r>
      <w:r>
        <w:t xml:space="preserve"> Přínosy ze snížení hmotných škod na přejezdech</w:t>
      </w:r>
      <w:r w:rsidRPr="002A0697">
        <w:t xml:space="preserve">, </w:t>
      </w:r>
      <w:r w:rsidR="00EE06CF">
        <w:t>CÚ 2020</w:t>
      </w:r>
      <w:r w:rsidRPr="002A0697">
        <w:t>, v tis. Kč</w:t>
      </w:r>
    </w:p>
    <w:p w:rsidR="00DB2AB6" w:rsidRDefault="00ED48B4" w:rsidP="00DB2AB6">
      <w:r>
        <w:pict>
          <v:shape id="_x0000_i1037" type="#_x0000_t75" style="width:444.5pt;height:353.5pt">
            <v:imagedata r:id="rId30" o:title=""/>
            <o:lock v:ext="edit" aspectratio="f"/>
          </v:shape>
        </w:pict>
      </w:r>
    </w:p>
    <w:p w:rsidR="00DB2AB6" w:rsidRDefault="00DB2AB6" w:rsidP="00DB2AB6">
      <w:r>
        <w:t>Každá mimořádná událost na přejezdech vyvolá dopravní omezení, ze kterého vyplývá zpoždění osobní dopravy. Velikost úspory v osobohodinách zabráněním mimořádným událostem na přejezdech je vpočtena níže.</w:t>
      </w:r>
    </w:p>
    <w:p w:rsidR="00DB2AB6" w:rsidRDefault="00DB2AB6" w:rsidP="00DB2AB6">
      <w:pPr>
        <w:pStyle w:val="Titulek"/>
        <w:keepNext/>
      </w:pPr>
      <w:r>
        <w:lastRenderedPageBreak/>
        <w:t xml:space="preserve">Tabulka </w:t>
      </w:r>
      <w:r>
        <w:rPr>
          <w:noProof/>
        </w:rPr>
        <w:fldChar w:fldCharType="begin"/>
      </w:r>
      <w:r>
        <w:rPr>
          <w:noProof/>
        </w:rPr>
        <w:instrText xml:space="preserve"> SEQ Tabulka \* ARABIC </w:instrText>
      </w:r>
      <w:r>
        <w:rPr>
          <w:noProof/>
        </w:rPr>
        <w:fldChar w:fldCharType="separate"/>
      </w:r>
      <w:r w:rsidR="00D422A7">
        <w:rPr>
          <w:noProof/>
        </w:rPr>
        <w:t>21</w:t>
      </w:r>
      <w:r>
        <w:rPr>
          <w:noProof/>
        </w:rPr>
        <w:fldChar w:fldCharType="end"/>
      </w:r>
      <w:r>
        <w:t xml:space="preserve"> </w:t>
      </w:r>
      <w:r w:rsidRPr="005D2122">
        <w:t>Přínosy ze sníž</w:t>
      </w:r>
      <w:r>
        <w:t>ení dopravních omezení na přejezdech v oshod</w:t>
      </w:r>
    </w:p>
    <w:p w:rsidR="00DB2AB6" w:rsidRDefault="00ED48B4" w:rsidP="00DB2AB6">
      <w:r>
        <w:pict>
          <v:shape id="_x0000_i1038" type="#_x0000_t75" style="width:446.5pt;height:569pt">
            <v:imagedata r:id="rId31" o:title=""/>
            <o:lock v:ext="edit" aspectratio="f"/>
          </v:shape>
        </w:pict>
      </w:r>
    </w:p>
    <w:p w:rsidR="00D422A7" w:rsidRDefault="00BF1B99" w:rsidP="00F75563">
      <w:r>
        <w:t xml:space="preserve">Oproti SP dochází k nárůstu přínosu </w:t>
      </w:r>
      <w:r w:rsidR="00014F5E">
        <w:t>z původních</w:t>
      </w:r>
      <w:r>
        <w:t xml:space="preserve"> </w:t>
      </w:r>
      <w:r w:rsidR="00014F5E">
        <w:t xml:space="preserve">209 mil. Kč v SP na </w:t>
      </w:r>
      <w:r w:rsidR="00DB2AB6">
        <w:t>4</w:t>
      </w:r>
      <w:r w:rsidR="00C5377B">
        <w:t>43</w:t>
      </w:r>
      <w:r w:rsidR="00591F32">
        <w:t xml:space="preserve"> </w:t>
      </w:r>
      <w:r w:rsidR="00014F5E">
        <w:t xml:space="preserve">mil. Kč. </w:t>
      </w:r>
      <w:r w:rsidR="006104C4">
        <w:t>Důvodem</w:t>
      </w:r>
      <w:r w:rsidR="00014F5E">
        <w:t xml:space="preserve"> je započítání růstu ekonomických nákladů na mimořádnosti na </w:t>
      </w:r>
      <w:r w:rsidR="00DD0741">
        <w:t>přejezdech</w:t>
      </w:r>
      <w:r w:rsidR="00DB2AB6">
        <w:t xml:space="preserve"> a úprava metodického pokynu pro jejich výpočet</w:t>
      </w:r>
      <w:r w:rsidR="00DD0741">
        <w:t>.</w:t>
      </w:r>
      <w:r w:rsidR="00D422A7">
        <w:br w:type="page"/>
      </w:r>
    </w:p>
    <w:p w:rsidR="00DD0741" w:rsidRDefault="00DD0741" w:rsidP="00DD0741">
      <w:pPr>
        <w:pStyle w:val="Nadpis2"/>
        <w:keepNext w:val="0"/>
        <w:keepLines w:val="0"/>
        <w:tabs>
          <w:tab w:val="num" w:pos="958"/>
        </w:tabs>
        <w:spacing w:after="240"/>
        <w:ind w:left="709" w:hanging="709"/>
        <w:jc w:val="left"/>
      </w:pPr>
      <w:bookmarkStart w:id="43" w:name="_Toc423334454"/>
      <w:bookmarkStart w:id="44" w:name="_Toc35357614"/>
      <w:r>
        <w:lastRenderedPageBreak/>
        <w:t>Ostatní přínosy</w:t>
      </w:r>
      <w:bookmarkEnd w:id="43"/>
      <w:bookmarkEnd w:id="44"/>
    </w:p>
    <w:p w:rsidR="00DD0741" w:rsidRDefault="00DD0741" w:rsidP="00DD0741">
      <w:pPr>
        <w:pStyle w:val="Nadpis3"/>
      </w:pPr>
      <w:bookmarkStart w:id="45" w:name="_Toc423334455"/>
      <w:bookmarkStart w:id="46" w:name="_Toc35357615"/>
      <w:r>
        <w:t>Úspora času v automobilové dopravě</w:t>
      </w:r>
      <w:bookmarkEnd w:id="45"/>
      <w:bookmarkEnd w:id="46"/>
    </w:p>
    <w:p w:rsidR="004C27DB" w:rsidRDefault="00DD0741" w:rsidP="00DD0741">
      <w:r>
        <w:t xml:space="preserve">Modernizací přejezdových zabezpečovacích zařízení (PZZ), resp. nahrazením přejezdů mimoúrovňovým křížením dojde k úsporám času na straně automobilové dopravy. </w:t>
      </w:r>
    </w:p>
    <w:p w:rsidR="00DD0741" w:rsidRDefault="00DD0741" w:rsidP="00DD0741">
      <w:r w:rsidRPr="007F4916">
        <w:t xml:space="preserve">Celkový přínos ze zvýšení maximální rychlosti automobilů na přejezdech </w:t>
      </w:r>
      <w:r w:rsidR="004C27DB">
        <w:t>činil ve variantě</w:t>
      </w:r>
      <w:r w:rsidRPr="007F4916">
        <w:t xml:space="preserve"> M2</w:t>
      </w:r>
      <w:r w:rsidR="004C27DB">
        <w:t> </w:t>
      </w:r>
      <w:r w:rsidR="009E7E66">
        <w:t>125</w:t>
      </w:r>
      <w:r w:rsidR="004C27DB">
        <w:t xml:space="preserve"> mil. Kč za celé hodnotící období. V rámci aktualizace došlo ke změně jednotkové ceny času a zkrácení hodnotícího období,</w:t>
      </w:r>
      <w:r w:rsidR="00DB2AB6">
        <w:t xml:space="preserve"> současně byly aktualizovány počty automobilů na přejezdech dle výsledků sčítání automobilové dopravy z roku 2016. Výsledkem je nárůst </w:t>
      </w:r>
      <w:r w:rsidR="004C27DB">
        <w:t>tohoto pří</w:t>
      </w:r>
      <w:r w:rsidR="00DB2AB6">
        <w:t>nosu</w:t>
      </w:r>
      <w:r w:rsidR="004C27DB">
        <w:t xml:space="preserve"> na </w:t>
      </w:r>
      <w:r w:rsidR="00591F32">
        <w:t>479,5</w:t>
      </w:r>
      <w:r w:rsidR="004C27DB">
        <w:t xml:space="preserve"> mil. Kč za </w:t>
      </w:r>
      <w:r w:rsidR="00DB2AB6">
        <w:t xml:space="preserve">celé </w:t>
      </w:r>
      <w:r w:rsidR="004C27DB">
        <w:t>hodnotící období.</w:t>
      </w:r>
    </w:p>
    <w:p w:rsidR="00DD0741" w:rsidRDefault="00DD0741" w:rsidP="00DD0741">
      <w:pPr>
        <w:pStyle w:val="Nadpis3"/>
      </w:pPr>
      <w:bookmarkStart w:id="47" w:name="_Toc423334456"/>
      <w:bookmarkStart w:id="48" w:name="_Toc35357616"/>
      <w:r w:rsidRPr="00383CD1">
        <w:t>Úspora nákladů na pohonné hmoty v automobilové</w:t>
      </w:r>
      <w:r w:rsidRPr="00383CD1">
        <w:rPr>
          <w:i/>
          <w:iCs/>
        </w:rPr>
        <w:t xml:space="preserve"> </w:t>
      </w:r>
      <w:r w:rsidRPr="00DB2AB6">
        <w:t>dopravě</w:t>
      </w:r>
      <w:bookmarkEnd w:id="47"/>
      <w:bookmarkEnd w:id="48"/>
    </w:p>
    <w:p w:rsidR="00DD0741" w:rsidRDefault="00DD0741" w:rsidP="00DD0741">
      <w:r>
        <w:t xml:space="preserve">Modernizací </w:t>
      </w:r>
      <w:r w:rsidRPr="00DB4367">
        <w:t>PZZ nedojde pouze k úspoře času uživatelů silničních komunikací, ale rovněž k úspoře ve spotřebě paliva odstraněním potřeby brzdění a opětovného rozjíždění</w:t>
      </w:r>
      <w:r w:rsidR="004C27DB">
        <w:t>.</w:t>
      </w:r>
    </w:p>
    <w:p w:rsidR="004C27DB" w:rsidRDefault="004C27DB" w:rsidP="004C27DB">
      <w:r w:rsidRPr="007F4916">
        <w:t xml:space="preserve">Celkový přínos ze zvýšení maximální rychlosti automobilů na přejezdech </w:t>
      </w:r>
      <w:r>
        <w:t>činil ve variantě</w:t>
      </w:r>
      <w:r w:rsidRPr="007F4916">
        <w:t xml:space="preserve"> M2</w:t>
      </w:r>
      <w:r>
        <w:t xml:space="preserve"> 34 mil. Kč za celé hodnotící období. V rámci aktualizace byly aktualizovány ekonomické ceny pohonných hmot a zkráceno hodnotící období, což má za následek pokles přínosu na </w:t>
      </w:r>
      <w:r w:rsidR="00B0136E">
        <w:t>7,</w:t>
      </w:r>
      <w:r w:rsidR="00675CD8">
        <w:t>6</w:t>
      </w:r>
      <w:r>
        <w:t xml:space="preserve"> mil. Kč za celé hodnotící období.</w:t>
      </w:r>
    </w:p>
    <w:p w:rsidR="00612DF3" w:rsidRPr="00612DF3" w:rsidRDefault="00612DF3" w:rsidP="00612DF3">
      <w:pPr>
        <w:pStyle w:val="Nadpis3"/>
      </w:pPr>
      <w:bookmarkStart w:id="49" w:name="_Toc35357617"/>
      <w:r w:rsidRPr="00063E5A">
        <w:t>P</w:t>
      </w:r>
      <w:r w:rsidR="00D422A7">
        <w:t>řínosy realizace</w:t>
      </w:r>
      <w:r w:rsidRPr="00063E5A">
        <w:t xml:space="preserve"> žel. most</w:t>
      </w:r>
      <w:r w:rsidR="00D422A7">
        <w:t>u</w:t>
      </w:r>
      <w:r w:rsidRPr="00063E5A">
        <w:t xml:space="preserve"> v ev. km 42,631</w:t>
      </w:r>
      <w:bookmarkEnd w:id="49"/>
    </w:p>
    <w:p w:rsidR="001F1B4A" w:rsidRPr="007107EE" w:rsidRDefault="00612DF3" w:rsidP="00612DF3">
      <w:pPr>
        <w:rPr>
          <w:rFonts w:asciiTheme="majorHAnsi" w:eastAsiaTheme="majorEastAsia" w:hAnsiTheme="majorHAnsi" w:cstheme="majorBidi"/>
          <w:b/>
          <w:noProof/>
          <w:sz w:val="24"/>
          <w:szCs w:val="24"/>
          <w:lang w:eastAsia="cs-CZ"/>
        </w:rPr>
      </w:pPr>
      <w:r>
        <w:t>V rámci stavby Modernizace trati Brno - Přerov, 2. stavba Blažovice – Vyškov</w:t>
      </w:r>
      <w:r w:rsidR="00C82901">
        <w:t xml:space="preserve"> se</w:t>
      </w:r>
      <w:r>
        <w:t xml:space="preserve"> bude odstraňovat stávající žel. těleso v úseku nová odbočka Rousínov – stáv. žst. Komořany u Vyškova a to vč. žel. mostu v ev. km 42,631 (SO 06-19-102). Tento most díky nízké podjezdné výšce neumožňuje průjezd pro těžkou nákladní dopravu. Ta musí do areálu firmy Industry </w:t>
      </w:r>
      <w:r w:rsidRPr="007107EE">
        <w:t xml:space="preserve">park Rousínov s.r.o. jezdit přes obydlenou část Rousínova (přes Tománkovu ulici). </w:t>
      </w:r>
      <w:r w:rsidR="00C82901" w:rsidRPr="007107EE">
        <w:t>Benefitem</w:t>
      </w:r>
      <w:r w:rsidRPr="007107EE">
        <w:t xml:space="preserve"> stavby </w:t>
      </w:r>
      <w:r w:rsidR="00C82901" w:rsidRPr="007107EE">
        <w:t>budou pozitiva spojená s přetrasováním nákladní dopravy, což povede kromě odvedení těžké nákladní dopravy z města ke zkrácení přepravních vzdáleností, úspoře času a externalit silniční dopravy. Níže je uvedeno schéma vedení nákladní dopravy před a po realizaci stavby</w:t>
      </w:r>
      <w:r w:rsidR="007107EE" w:rsidRPr="007107EE">
        <w:t>.</w:t>
      </w:r>
    </w:p>
    <w:p w:rsidR="00C82901" w:rsidRDefault="00C82901" w:rsidP="00C82901">
      <w:pPr>
        <w:pStyle w:val="Titulek"/>
        <w:keepNext/>
      </w:pPr>
      <w:r>
        <w:lastRenderedPageBreak/>
        <w:t xml:space="preserve">Obrázek </w:t>
      </w:r>
      <w:r w:rsidR="009F567E">
        <w:rPr>
          <w:noProof/>
        </w:rPr>
        <w:fldChar w:fldCharType="begin"/>
      </w:r>
      <w:r w:rsidR="009F567E">
        <w:rPr>
          <w:noProof/>
        </w:rPr>
        <w:instrText xml:space="preserve"> SEQ Obrázek \* ARABIC </w:instrText>
      </w:r>
      <w:r w:rsidR="009F567E">
        <w:rPr>
          <w:noProof/>
        </w:rPr>
        <w:fldChar w:fldCharType="separate"/>
      </w:r>
      <w:r w:rsidR="00D422A7">
        <w:rPr>
          <w:noProof/>
        </w:rPr>
        <w:t>3</w:t>
      </w:r>
      <w:r w:rsidR="009F567E">
        <w:rPr>
          <w:noProof/>
        </w:rPr>
        <w:fldChar w:fldCharType="end"/>
      </w:r>
      <w:r>
        <w:t xml:space="preserve"> Schéma vedení tras nákladní automobilové dopravy před a po realizaci stavby</w:t>
      </w:r>
    </w:p>
    <w:p w:rsidR="00612DF3" w:rsidRDefault="00A64739" w:rsidP="00612DF3">
      <w:r>
        <w:rPr>
          <w:noProof/>
          <w:lang w:eastAsia="cs-CZ"/>
        </w:rPr>
        <w:drawing>
          <wp:inline distT="0" distB="0" distL="0" distR="0">
            <wp:extent cx="5422605" cy="4301263"/>
            <wp:effectExtent l="0" t="0" r="6985" b="4445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apa-Implicitní-000.jpg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3581" cy="4325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4739" w:rsidRDefault="007107EE" w:rsidP="00612DF3">
      <w:r>
        <w:t xml:space="preserve">Přehled diferenčních dopravních a přepravních výkonů před a po realizaci stavby je uveden v následující tabulce. </w:t>
      </w:r>
    </w:p>
    <w:p w:rsidR="007107EE" w:rsidRDefault="007107EE" w:rsidP="007107EE">
      <w:pPr>
        <w:pStyle w:val="Titulek"/>
        <w:keepNext/>
      </w:pPr>
      <w:r>
        <w:t xml:space="preserve">Tabulka </w:t>
      </w:r>
      <w:r w:rsidR="009F567E">
        <w:rPr>
          <w:noProof/>
        </w:rPr>
        <w:fldChar w:fldCharType="begin"/>
      </w:r>
      <w:r w:rsidR="009F567E">
        <w:rPr>
          <w:noProof/>
        </w:rPr>
        <w:instrText xml:space="preserve"> SEQ Tabulka \* ARABIC </w:instrText>
      </w:r>
      <w:r w:rsidR="009F567E">
        <w:rPr>
          <w:noProof/>
        </w:rPr>
        <w:fldChar w:fldCharType="separate"/>
      </w:r>
      <w:r w:rsidR="00D422A7">
        <w:rPr>
          <w:noProof/>
        </w:rPr>
        <w:t>22</w:t>
      </w:r>
      <w:r w:rsidR="009F567E">
        <w:rPr>
          <w:noProof/>
        </w:rPr>
        <w:fldChar w:fldCharType="end"/>
      </w:r>
      <w:r>
        <w:t xml:space="preserve"> </w:t>
      </w:r>
      <w:r w:rsidRPr="00F0382D">
        <w:t>Přehled diferenčních dopravních a přepravních výkonů</w:t>
      </w:r>
      <w:r>
        <w:t xml:space="preserve"> ve stavu s projektem a bez projektu</w:t>
      </w:r>
    </w:p>
    <w:p w:rsidR="0061226F" w:rsidRDefault="00ED48B4" w:rsidP="00612DF3">
      <w:r>
        <w:pict>
          <v:shape id="_x0000_i1039" type="#_x0000_t75" style="width:424.5pt;height:93.5pt">
            <v:imagedata r:id="rId33" o:title=""/>
            <o:lock v:ext="edit" aspectratio="f"/>
          </v:shape>
        </w:pict>
      </w:r>
    </w:p>
    <w:p w:rsidR="008F3F8C" w:rsidRDefault="007107EE" w:rsidP="00612DF3">
      <w:r>
        <w:t>Celospolečenské přínosy vstupující do ekonomického hodnocení jsou uvedeny níže a zahrnují úsporu času, externalit silniční dopravy a v neposlední řadě i úsporu nákladů na údržbu silniční infrastruktury.</w:t>
      </w:r>
    </w:p>
    <w:p w:rsidR="007107EE" w:rsidRDefault="007107EE" w:rsidP="007107EE">
      <w:pPr>
        <w:pStyle w:val="Titulek"/>
        <w:keepNext/>
      </w:pPr>
      <w:r>
        <w:t xml:space="preserve">Tabulka </w:t>
      </w:r>
      <w:r w:rsidR="009F567E">
        <w:rPr>
          <w:noProof/>
        </w:rPr>
        <w:fldChar w:fldCharType="begin"/>
      </w:r>
      <w:r w:rsidR="009F567E">
        <w:rPr>
          <w:noProof/>
        </w:rPr>
        <w:instrText xml:space="preserve"> SEQ Tabulka \* ARABIC </w:instrText>
      </w:r>
      <w:r w:rsidR="009F567E">
        <w:rPr>
          <w:noProof/>
        </w:rPr>
        <w:fldChar w:fldCharType="separate"/>
      </w:r>
      <w:r w:rsidR="00D422A7">
        <w:rPr>
          <w:noProof/>
        </w:rPr>
        <w:t>23</w:t>
      </w:r>
      <w:r w:rsidR="009F567E">
        <w:rPr>
          <w:noProof/>
        </w:rPr>
        <w:fldChar w:fldCharType="end"/>
      </w:r>
      <w:r>
        <w:t xml:space="preserve"> </w:t>
      </w:r>
      <w:r w:rsidR="00D422A7">
        <w:t>Ekonomic</w:t>
      </w:r>
      <w:r>
        <w:t>k</w:t>
      </w:r>
      <w:r w:rsidR="00D422A7">
        <w:t>é</w:t>
      </w:r>
      <w:r>
        <w:t xml:space="preserve"> přínos</w:t>
      </w:r>
      <w:r w:rsidR="00D422A7">
        <w:t xml:space="preserve">y realizace </w:t>
      </w:r>
      <w:r w:rsidR="00D422A7" w:rsidRPr="00063E5A">
        <w:t>žel. most</w:t>
      </w:r>
      <w:r w:rsidR="00D422A7">
        <w:t>u</w:t>
      </w:r>
      <w:r w:rsidR="00D422A7" w:rsidRPr="00063E5A">
        <w:t xml:space="preserve"> v ev. km 42,631</w:t>
      </w:r>
      <w:r w:rsidR="00D422A7">
        <w:t>,</w:t>
      </w:r>
      <w:r>
        <w:t xml:space="preserve"> </w:t>
      </w:r>
      <w:r w:rsidR="00EE06CF">
        <w:t>CÚ 2020</w:t>
      </w:r>
    </w:p>
    <w:p w:rsidR="008F3F8C" w:rsidRDefault="00ED48B4" w:rsidP="00612DF3">
      <w:r>
        <w:pict>
          <v:shape id="_x0000_i1040" type="#_x0000_t75" style="width:248.5pt;height:112.5pt">
            <v:imagedata r:id="rId34" o:title=""/>
            <o:lock v:ext="edit" aspectratio="f"/>
          </v:shape>
        </w:pict>
      </w:r>
    </w:p>
    <w:p w:rsidR="00DD0741" w:rsidRDefault="00DD0741" w:rsidP="00DD0741"/>
    <w:p w:rsidR="00F75563" w:rsidRDefault="00F75563" w:rsidP="00D97E47">
      <w:pPr>
        <w:sectPr w:rsidR="00F7556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97E47" w:rsidRDefault="00D97E47" w:rsidP="005D0D26">
      <w:pPr>
        <w:pStyle w:val="Nadpis2"/>
      </w:pPr>
      <w:bookmarkStart w:id="50" w:name="_Toc35357618"/>
      <w:r>
        <w:lastRenderedPageBreak/>
        <w:t>Sestava ekonomické analýzy</w:t>
      </w:r>
      <w:bookmarkEnd w:id="50"/>
    </w:p>
    <w:p w:rsidR="003E172D" w:rsidRDefault="003E172D" w:rsidP="00C06D62">
      <w:pPr>
        <w:pStyle w:val="Titulek"/>
        <w:keepNext/>
      </w:pPr>
      <w:r>
        <w:t xml:space="preserve">Tabulka </w:t>
      </w:r>
      <w:r w:rsidR="00C60141">
        <w:rPr>
          <w:noProof/>
        </w:rPr>
        <w:fldChar w:fldCharType="begin"/>
      </w:r>
      <w:r w:rsidR="00C60141">
        <w:rPr>
          <w:noProof/>
        </w:rPr>
        <w:instrText xml:space="preserve"> SEQ Tabulka \* ARABIC </w:instrText>
      </w:r>
      <w:r w:rsidR="00C60141">
        <w:rPr>
          <w:noProof/>
        </w:rPr>
        <w:fldChar w:fldCharType="separate"/>
      </w:r>
      <w:r w:rsidR="00D422A7">
        <w:rPr>
          <w:noProof/>
        </w:rPr>
        <w:t>24</w:t>
      </w:r>
      <w:r w:rsidR="00C60141">
        <w:rPr>
          <w:noProof/>
        </w:rPr>
        <w:fldChar w:fldCharType="end"/>
      </w:r>
      <w:r>
        <w:t xml:space="preserve"> Výpočet ekonomické efektivnosti v tis. Kč, </w:t>
      </w:r>
      <w:r w:rsidR="00EE06CF">
        <w:t>CÚ 2020</w:t>
      </w:r>
    </w:p>
    <w:p w:rsidR="00562983" w:rsidRDefault="00D77E1B" w:rsidP="00D97E47">
      <w:r w:rsidRPr="00D77E1B">
        <w:rPr>
          <w:noProof/>
        </w:rPr>
        <w:drawing>
          <wp:inline distT="0" distB="0" distL="0" distR="0">
            <wp:extent cx="7766050" cy="5226528"/>
            <wp:effectExtent l="0" t="0" r="635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6050" cy="5226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2A8" w:rsidRDefault="00B832A8" w:rsidP="00D97E47">
      <w:pPr>
        <w:sectPr w:rsidR="00B832A8" w:rsidSect="00B832A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D97E47" w:rsidRDefault="00D97E47" w:rsidP="005D0D26">
      <w:pPr>
        <w:pStyle w:val="Nadpis1"/>
      </w:pPr>
      <w:bookmarkStart w:id="51" w:name="_Toc35357619"/>
      <w:r>
        <w:lastRenderedPageBreak/>
        <w:t>Shrnutí výsledků finanční a ekonomické analýzy</w:t>
      </w:r>
      <w:bookmarkEnd w:id="51"/>
    </w:p>
    <w:p w:rsidR="00157B0C" w:rsidRDefault="00157B0C" w:rsidP="00D97E47">
      <w:r>
        <w:t>Oproti SP dochází u ekonomické analýzy ke změně diskontní sazby z 5,5% na 5,0% a u finanční analýzy z 5,0% na 4,0%, což vede k vyšší hodnotě ukazatele čisté současné hodnoty.</w:t>
      </w:r>
    </w:p>
    <w:p w:rsidR="00371BAF" w:rsidRDefault="00371BAF" w:rsidP="00C06D62">
      <w:pPr>
        <w:pStyle w:val="Titulek"/>
        <w:keepNext/>
      </w:pPr>
      <w:r>
        <w:t xml:space="preserve">Tabulka </w:t>
      </w:r>
      <w:r w:rsidR="00C60141">
        <w:rPr>
          <w:noProof/>
        </w:rPr>
        <w:fldChar w:fldCharType="begin"/>
      </w:r>
      <w:r w:rsidR="00C60141">
        <w:rPr>
          <w:noProof/>
        </w:rPr>
        <w:instrText xml:space="preserve"> SEQ Tabulka \* ARABIC </w:instrText>
      </w:r>
      <w:r w:rsidR="00C60141">
        <w:rPr>
          <w:noProof/>
        </w:rPr>
        <w:fldChar w:fldCharType="separate"/>
      </w:r>
      <w:r w:rsidR="00D422A7">
        <w:rPr>
          <w:noProof/>
        </w:rPr>
        <w:t>25</w:t>
      </w:r>
      <w:r w:rsidR="00C60141">
        <w:rPr>
          <w:noProof/>
        </w:rPr>
        <w:fldChar w:fldCharType="end"/>
      </w:r>
      <w:r>
        <w:t xml:space="preserve"> Výsledky ekonomického hodnocení</w:t>
      </w:r>
      <w:r w:rsidR="00FB581E">
        <w:t>, v tis, Kč</w:t>
      </w:r>
    </w:p>
    <w:p w:rsidR="00F60251" w:rsidRDefault="00AF2308" w:rsidP="00D97E47">
      <w:r w:rsidRPr="00AF2308">
        <w:rPr>
          <w:noProof/>
        </w:rPr>
        <w:drawing>
          <wp:inline distT="0" distB="0" distL="0" distR="0">
            <wp:extent cx="4019550" cy="787400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DF4" w:rsidRDefault="00D87DF4" w:rsidP="002318F2"/>
    <w:p w:rsidR="00D87DF4" w:rsidRDefault="00AE03D4" w:rsidP="002318F2">
      <w:r>
        <w:t xml:space="preserve">Oproti výsledkům ekonomického hodnocení zpracovaného ve studii proveditelnosti </w:t>
      </w:r>
      <w:r w:rsidR="00580114">
        <w:t>došlo k poklesu ukazatelů finanční a ekonomické efektivit</w:t>
      </w:r>
      <w:r w:rsidR="00FA0061">
        <w:t>y</w:t>
      </w:r>
      <w:r w:rsidR="00580114">
        <w:t xml:space="preserve"> projektu. Nejvýrazněji se na změnách ekonomického </w:t>
      </w:r>
      <w:r w:rsidR="00F36CF9">
        <w:t>hodnocení</w:t>
      </w:r>
      <w:r w:rsidR="00580114">
        <w:t xml:space="preserve"> podílí</w:t>
      </w:r>
      <w:r w:rsidR="00D87DF4">
        <w:t>:</w:t>
      </w:r>
    </w:p>
    <w:p w:rsidR="00D87DF4" w:rsidRDefault="002318F2" w:rsidP="00387689">
      <w:pPr>
        <w:pStyle w:val="Odstavecseseznamem"/>
        <w:numPr>
          <w:ilvl w:val="0"/>
          <w:numId w:val="19"/>
        </w:numPr>
      </w:pPr>
      <w:r>
        <w:t xml:space="preserve">zkrácení hodnotícího období </w:t>
      </w:r>
      <w:r w:rsidR="00580114">
        <w:t xml:space="preserve">a tím i zkrácená provozní fáze projektu, po kterou jsou započítávány přínosy z jeho </w:t>
      </w:r>
      <w:r w:rsidR="00F36CF9">
        <w:t>realizace</w:t>
      </w:r>
      <w:r w:rsidR="00580114">
        <w:t xml:space="preserve"> </w:t>
      </w:r>
    </w:p>
    <w:p w:rsidR="00580114" w:rsidRPr="00FF63B5" w:rsidRDefault="00580114" w:rsidP="00387689">
      <w:pPr>
        <w:pStyle w:val="Odstavecseseznamem"/>
        <w:numPr>
          <w:ilvl w:val="0"/>
          <w:numId w:val="19"/>
        </w:numPr>
      </w:pPr>
      <w:r>
        <w:t xml:space="preserve">navýšení investičních nákladů </w:t>
      </w:r>
      <w:r w:rsidR="00F36CF9" w:rsidRPr="00FF63B5">
        <w:t>projektu</w:t>
      </w:r>
      <w:r w:rsidRPr="00FF63B5">
        <w:t xml:space="preserve"> o </w:t>
      </w:r>
      <w:r w:rsidR="003A55A3">
        <w:t>25,</w:t>
      </w:r>
      <w:r w:rsidR="00AF2308">
        <w:t>4</w:t>
      </w:r>
      <w:r w:rsidRPr="00FF63B5">
        <w:t xml:space="preserve"> mld. Kč včetně rezervy</w:t>
      </w:r>
      <w:r w:rsidR="003A55A3">
        <w:t>, vyjádřeno v CÚ 2020</w:t>
      </w:r>
    </w:p>
    <w:p w:rsidR="00580114" w:rsidRDefault="00580114" w:rsidP="00387689">
      <w:pPr>
        <w:pStyle w:val="Odstavecseseznamem"/>
        <w:numPr>
          <w:ilvl w:val="0"/>
          <w:numId w:val="19"/>
        </w:numPr>
      </w:pPr>
      <w:r w:rsidRPr="00FF63B5">
        <w:t xml:space="preserve">změna harmonogramu realizace stavby, kdy v původním </w:t>
      </w:r>
      <w:r>
        <w:t xml:space="preserve">ekonomickém hodnocení bylo uvažováno s prostavěním 28% z celkových investičních </w:t>
      </w:r>
      <w:r w:rsidR="00F36CF9">
        <w:t>nákladů</w:t>
      </w:r>
      <w:r>
        <w:t xml:space="preserve"> v prvních 4 letech výstavby. V rámci aktualizace je uvažováno s prostavěním </w:t>
      </w:r>
      <w:r w:rsidR="003A55A3">
        <w:t>4</w:t>
      </w:r>
      <w:r w:rsidR="00AF2308">
        <w:t>9</w:t>
      </w:r>
      <w:r>
        <w:t>% z celkových nákladů stavby v prvních 4 letech výstavby. Tato změna se díky diskontování negativně projeví do finanční a ekonomické efektivity stavby</w:t>
      </w:r>
    </w:p>
    <w:p w:rsidR="00F36CF9" w:rsidRDefault="00F36CF9" w:rsidP="00387689">
      <w:pPr>
        <w:pStyle w:val="Odstavecseseznamem"/>
        <w:numPr>
          <w:ilvl w:val="0"/>
          <w:numId w:val="19"/>
        </w:numPr>
      </w:pPr>
      <w:r>
        <w:t xml:space="preserve">pokles </w:t>
      </w:r>
      <w:r w:rsidR="008C5B7B">
        <w:t xml:space="preserve">měrné </w:t>
      </w:r>
      <w:r>
        <w:t>hodnoty uspořeného času</w:t>
      </w:r>
    </w:p>
    <w:p w:rsidR="00580114" w:rsidRDefault="00580114" w:rsidP="00387689">
      <w:pPr>
        <w:pStyle w:val="Odstavecseseznamem"/>
        <w:numPr>
          <w:ilvl w:val="0"/>
          <w:numId w:val="19"/>
        </w:numPr>
      </w:pPr>
      <w:r>
        <w:t xml:space="preserve">pokles </w:t>
      </w:r>
      <w:r w:rsidR="008C5B7B">
        <w:t xml:space="preserve">měrné </w:t>
      </w:r>
      <w:r>
        <w:t xml:space="preserve">hodnoty </w:t>
      </w:r>
      <w:r w:rsidR="00F36CF9">
        <w:t>uspořených</w:t>
      </w:r>
      <w:r>
        <w:t xml:space="preserve"> externalit a změna způsobu jejich výpočtu</w:t>
      </w:r>
    </w:p>
    <w:p w:rsidR="00580114" w:rsidRDefault="00580114" w:rsidP="00387689">
      <w:pPr>
        <w:pStyle w:val="Odstavecseseznamem"/>
        <w:numPr>
          <w:ilvl w:val="0"/>
          <w:numId w:val="19"/>
        </w:numPr>
      </w:pPr>
      <w:r>
        <w:t xml:space="preserve">pokles konverzních faktorů, který má za následek pokles ekonomické </w:t>
      </w:r>
      <w:r w:rsidR="00F36CF9">
        <w:t>hodnoty</w:t>
      </w:r>
      <w:r>
        <w:t xml:space="preserve"> některých přínosů projektu</w:t>
      </w:r>
    </w:p>
    <w:p w:rsidR="00580114" w:rsidRDefault="003B2037" w:rsidP="00387689">
      <w:pPr>
        <w:pStyle w:val="Odstavecseseznamem"/>
        <w:numPr>
          <w:ilvl w:val="0"/>
          <w:numId w:val="19"/>
        </w:numPr>
      </w:pPr>
      <w:r>
        <w:t xml:space="preserve">změna </w:t>
      </w:r>
      <w:r w:rsidR="00F36CF9">
        <w:t>metodiky</w:t>
      </w:r>
      <w:r>
        <w:t xml:space="preserve"> výpočtu nákladů na provoz vlaků</w:t>
      </w:r>
    </w:p>
    <w:p w:rsidR="003B2037" w:rsidRDefault="003B2037" w:rsidP="002318F2">
      <w:r>
        <w:t>Ne všechny změny, které byly provedeny ať už z metodických či technických důvodů jsou negativní. Kladně se do ekonomické efektivity stavby promítly tyto změny:</w:t>
      </w:r>
    </w:p>
    <w:p w:rsidR="003B2037" w:rsidRDefault="003B2037" w:rsidP="00387689">
      <w:pPr>
        <w:pStyle w:val="Odstavecseseznamem"/>
        <w:numPr>
          <w:ilvl w:val="0"/>
          <w:numId w:val="19"/>
        </w:numPr>
      </w:pPr>
      <w:r>
        <w:t xml:space="preserve">Zkrácení </w:t>
      </w:r>
      <w:r w:rsidR="008C5B7B">
        <w:t>hodnotícího období</w:t>
      </w:r>
      <w:r>
        <w:t xml:space="preserve"> mělo kromě negativního dopadu v</w:t>
      </w:r>
      <w:r w:rsidR="008C5B7B">
        <w:t xml:space="preserve">e zkrácení doby pro započítání </w:t>
      </w:r>
      <w:r>
        <w:t>přínosů stavby též kladný dopad v omezení potřeby reinvestic projektové varianty</w:t>
      </w:r>
    </w:p>
    <w:p w:rsidR="003B2037" w:rsidRDefault="003B2037" w:rsidP="00387689">
      <w:pPr>
        <w:pStyle w:val="Odstavecseseznamem"/>
        <w:numPr>
          <w:ilvl w:val="0"/>
          <w:numId w:val="19"/>
        </w:numPr>
      </w:pPr>
      <w:r>
        <w:t xml:space="preserve">změna konverzních faktorů se stejně jako zkrácení hodnotícího období projeví i kladně a to v případě konverze investičních </w:t>
      </w:r>
      <w:r w:rsidR="00F36CF9">
        <w:t>nákladů</w:t>
      </w:r>
      <w:r>
        <w:t>, které budou díky nižšímu konverznímu faktoru</w:t>
      </w:r>
      <w:r w:rsidR="005670D8">
        <w:t xml:space="preserve"> vstupovat do ekonomické analýzy s nižší hodnotou</w:t>
      </w:r>
    </w:p>
    <w:p w:rsidR="005670D8" w:rsidRDefault="005670D8" w:rsidP="00387689">
      <w:pPr>
        <w:pStyle w:val="Odstavecseseznamem"/>
        <w:numPr>
          <w:ilvl w:val="0"/>
          <w:numId w:val="19"/>
        </w:numPr>
      </w:pPr>
      <w:r>
        <w:t xml:space="preserve">změna výpočtu </w:t>
      </w:r>
      <w:r w:rsidR="00F36CF9">
        <w:t>příjmů</w:t>
      </w:r>
      <w:r>
        <w:t xml:space="preserve"> z poplatku za dopravní cestu by pak měla mít za následek vyšší </w:t>
      </w:r>
      <w:r w:rsidR="00F36CF9">
        <w:t>příjmy</w:t>
      </w:r>
      <w:r>
        <w:t xml:space="preserve"> provozovatele </w:t>
      </w:r>
      <w:r w:rsidR="00F36CF9">
        <w:t>infrastruktury, než</w:t>
      </w:r>
      <w:r>
        <w:t xml:space="preserve"> bylo uvažováno v původní SP</w:t>
      </w:r>
    </w:p>
    <w:p w:rsidR="005670D8" w:rsidRDefault="007939F6" w:rsidP="00CC15AA">
      <w:pPr>
        <w:pStyle w:val="Odstavecseseznamem"/>
        <w:numPr>
          <w:ilvl w:val="0"/>
          <w:numId w:val="19"/>
        </w:numPr>
      </w:pPr>
      <w:r>
        <w:t xml:space="preserve">pokles diskontních sazeb finanční a ekonomické analýzy se sice neprojevuje změnou ekonomické efektivity vyjádřené mírou návratnosti (RR), nicméně díky nižší hodnotě diskontní sazby dosahuje investice lepších výsledků v ukazateli čisté současné hodnoty (NPV), než by dosahovala s v minulosti platnou diskontní sazbou 5,5%. To bude znamenat vyšší přepínací hodnotu ekonomické efektivity stavby a tedy i vyšší stabilitu projektu z hlediska zachování absolutní ekonomické efektivity vyjádřené požadavkem ENPV &gt; 0. </w:t>
      </w:r>
      <w:r w:rsidR="005670D8">
        <w:t xml:space="preserve"> </w:t>
      </w:r>
    </w:p>
    <w:p w:rsidR="002318F2" w:rsidRDefault="00F36CF9" w:rsidP="00D97E47">
      <w:r>
        <w:t xml:space="preserve">Porovnání ekonomické efektivity varianty M2 v původní SP a aktualizované verze dle Rezortní metodiky a aktualizovaných nákladů stavby a harmonogramu výstavby je uvedeno níže. </w:t>
      </w:r>
    </w:p>
    <w:p w:rsidR="00371BAF" w:rsidRDefault="00371BAF" w:rsidP="00C06D62">
      <w:pPr>
        <w:pStyle w:val="Titulek"/>
        <w:keepNext/>
      </w:pPr>
      <w:r>
        <w:lastRenderedPageBreak/>
        <w:t xml:space="preserve">Tabulka </w:t>
      </w:r>
      <w:r w:rsidR="00C60141">
        <w:rPr>
          <w:noProof/>
        </w:rPr>
        <w:fldChar w:fldCharType="begin"/>
      </w:r>
      <w:r w:rsidR="00C60141">
        <w:rPr>
          <w:noProof/>
        </w:rPr>
        <w:instrText xml:space="preserve"> SEQ Tabulka \* ARABIC </w:instrText>
      </w:r>
      <w:r w:rsidR="00C60141">
        <w:rPr>
          <w:noProof/>
        </w:rPr>
        <w:fldChar w:fldCharType="separate"/>
      </w:r>
      <w:r w:rsidR="00D422A7">
        <w:rPr>
          <w:noProof/>
        </w:rPr>
        <w:t>26</w:t>
      </w:r>
      <w:r w:rsidR="00C60141">
        <w:rPr>
          <w:noProof/>
        </w:rPr>
        <w:fldChar w:fldCharType="end"/>
      </w:r>
      <w:r>
        <w:t xml:space="preserve"> Shrnutí výsledků ekonomické analýzy</w:t>
      </w:r>
      <w:r w:rsidR="00FB581E">
        <w:t>, diskontované hodnoty, v tis. Kč</w:t>
      </w:r>
    </w:p>
    <w:p w:rsidR="00F60251" w:rsidRDefault="0045088F" w:rsidP="00D97E47">
      <w:r w:rsidRPr="0045088F">
        <w:drawing>
          <wp:inline distT="0" distB="0" distL="0" distR="0">
            <wp:extent cx="5524500" cy="2857500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65A" w:rsidRDefault="00FF63B5" w:rsidP="00D97E47">
      <w:r>
        <w:t xml:space="preserve">Z porovnání vyplývá, že čistá současná hodnota přínosů staveb na trati Brno – Přerov </w:t>
      </w:r>
      <w:r w:rsidR="0075665A">
        <w:t>oproti původní</w:t>
      </w:r>
      <w:r w:rsidR="00B63A42">
        <w:t xml:space="preserve"> studii proveditelnosti</w:t>
      </w:r>
      <w:r w:rsidR="0075665A">
        <w:t xml:space="preserve"> narostla a to zejména ve složkách úspory provozních nákladů železniční infrastruktury a zůstatkové hodnotě</w:t>
      </w:r>
      <w:r w:rsidR="00B63A42">
        <w:t>.</w:t>
      </w:r>
      <w:r w:rsidR="0075665A">
        <w:t xml:space="preserve"> Současně došlo k poklesu hodnoty celospolečenských přínosů úspory času a externalit.</w:t>
      </w:r>
    </w:p>
    <w:p w:rsidR="00FF63B5" w:rsidRPr="00824280" w:rsidRDefault="00B63A42" w:rsidP="00D97E47">
      <w:r>
        <w:t xml:space="preserve">Důvodem </w:t>
      </w:r>
      <w:r w:rsidR="002C5564">
        <w:t>nižšího</w:t>
      </w:r>
      <w:r>
        <w:t xml:space="preserve"> výsledků ekonomické efektivity</w:t>
      </w:r>
      <w:r w:rsidR="0075665A">
        <w:t xml:space="preserve"> posuzovaného</w:t>
      </w:r>
      <w:r>
        <w:t xml:space="preserve"> souboru staveb je výrazné navýšení investičních nákladů, které dosahuje </w:t>
      </w:r>
      <w:r w:rsidR="003A55A3">
        <w:t>25,</w:t>
      </w:r>
      <w:r w:rsidR="0045088F">
        <w:t>4</w:t>
      </w:r>
      <w:r>
        <w:t xml:space="preserve"> mld. Kč (</w:t>
      </w:r>
      <w:r w:rsidR="003A55A3">
        <w:t xml:space="preserve">vyjádřeno v CÚ 2020 </w:t>
      </w:r>
      <w:r>
        <w:t xml:space="preserve">včetně rezervy bez DPH), tedy navýšení o </w:t>
      </w:r>
      <w:r w:rsidR="003A55A3">
        <w:t>6</w:t>
      </w:r>
      <w:r w:rsidR="0045088F">
        <w:t>9,4</w:t>
      </w:r>
      <w:r>
        <w:t>% oproti CIN uvažovaným v původní SP.</w:t>
      </w:r>
    </w:p>
    <w:p w:rsidR="006672FE" w:rsidRDefault="001151BC" w:rsidP="006764A3">
      <w:pPr>
        <w:pStyle w:val="Nadpis1"/>
      </w:pPr>
      <w:bookmarkStart w:id="52" w:name="_Toc35357620"/>
      <w:r>
        <w:t xml:space="preserve">Analýza </w:t>
      </w:r>
      <w:r w:rsidR="006672FE">
        <w:t>citlivosti</w:t>
      </w:r>
      <w:bookmarkEnd w:id="52"/>
    </w:p>
    <w:p w:rsidR="001E4CBC" w:rsidRPr="002557F7" w:rsidRDefault="001E4CBC" w:rsidP="001E4CBC">
      <w:r w:rsidRPr="002557F7">
        <w:t xml:space="preserve">Cash-flow finanční a ekonomické analýzy je tvořeno několika peněžními toky, z nichž každý má vliv na výsledek ekonomického hodnocení. Velikost tohoto vlivu je udávána elasticitou konkrétního toku – nezávislé proměnné. </w:t>
      </w:r>
    </w:p>
    <w:p w:rsidR="001E4CBC" w:rsidRPr="002557F7" w:rsidRDefault="001E4CBC" w:rsidP="00F60251">
      <w:bookmarkStart w:id="53" w:name="_Toc489357252"/>
      <w:r w:rsidRPr="002557F7">
        <w:t>Stanovení kritických proměnných</w:t>
      </w:r>
      <w:bookmarkEnd w:id="53"/>
    </w:p>
    <w:p w:rsidR="00DD1B8F" w:rsidRDefault="00DD1B8F" w:rsidP="00387689">
      <w:pPr>
        <w:numPr>
          <w:ilvl w:val="0"/>
          <w:numId w:val="16"/>
        </w:numPr>
        <w:tabs>
          <w:tab w:val="clear" w:pos="1684"/>
          <w:tab w:val="num" w:pos="1260"/>
        </w:tabs>
        <w:spacing w:before="120" w:after="60"/>
        <w:ind w:left="1260"/>
      </w:pPr>
      <w:r>
        <w:t>Investiční náklady</w:t>
      </w:r>
    </w:p>
    <w:p w:rsidR="00DD1B8F" w:rsidRDefault="00DD1B8F" w:rsidP="00387689">
      <w:pPr>
        <w:numPr>
          <w:ilvl w:val="0"/>
          <w:numId w:val="16"/>
        </w:numPr>
        <w:tabs>
          <w:tab w:val="clear" w:pos="1684"/>
          <w:tab w:val="num" w:pos="1260"/>
        </w:tabs>
        <w:spacing w:before="120" w:after="60"/>
        <w:ind w:left="1260"/>
      </w:pPr>
      <w:r>
        <w:t>Náklady na provozuschopnost (opravy a údržba)</w:t>
      </w:r>
    </w:p>
    <w:p w:rsidR="00DD1B8F" w:rsidRDefault="00DD1B8F" w:rsidP="00387689">
      <w:pPr>
        <w:numPr>
          <w:ilvl w:val="0"/>
          <w:numId w:val="16"/>
        </w:numPr>
        <w:tabs>
          <w:tab w:val="clear" w:pos="1684"/>
          <w:tab w:val="num" w:pos="1260"/>
        </w:tabs>
        <w:spacing w:before="120" w:after="60"/>
        <w:ind w:left="1260"/>
      </w:pPr>
      <w:r>
        <w:t>Doba výstavby</w:t>
      </w:r>
    </w:p>
    <w:p w:rsidR="00DD1B8F" w:rsidRDefault="00DD1B8F" w:rsidP="00387689">
      <w:pPr>
        <w:numPr>
          <w:ilvl w:val="0"/>
          <w:numId w:val="16"/>
        </w:numPr>
        <w:tabs>
          <w:tab w:val="clear" w:pos="1684"/>
          <w:tab w:val="num" w:pos="1260"/>
        </w:tabs>
        <w:spacing w:before="120" w:after="60"/>
        <w:ind w:left="1260"/>
      </w:pPr>
      <w:r>
        <w:t>Prognóza přepravních výkonů osobní dopravy</w:t>
      </w:r>
    </w:p>
    <w:p w:rsidR="001051EA" w:rsidRDefault="001051EA" w:rsidP="001051EA">
      <w:pPr>
        <w:pStyle w:val="Titulek"/>
        <w:keepNext/>
      </w:pPr>
      <w:r>
        <w:t xml:space="preserve">Tabulka </w:t>
      </w:r>
      <w:r w:rsidR="00C60141">
        <w:rPr>
          <w:noProof/>
        </w:rPr>
        <w:fldChar w:fldCharType="begin"/>
      </w:r>
      <w:r w:rsidR="00C60141">
        <w:rPr>
          <w:noProof/>
        </w:rPr>
        <w:instrText xml:space="preserve"> SEQ Tabulka \* ARABIC </w:instrText>
      </w:r>
      <w:r w:rsidR="00C60141">
        <w:rPr>
          <w:noProof/>
        </w:rPr>
        <w:fldChar w:fldCharType="separate"/>
      </w:r>
      <w:r w:rsidR="00D422A7">
        <w:rPr>
          <w:noProof/>
        </w:rPr>
        <w:t>27</w:t>
      </w:r>
      <w:r w:rsidR="00C60141">
        <w:rPr>
          <w:noProof/>
        </w:rPr>
        <w:fldChar w:fldCharType="end"/>
      </w:r>
      <w:r>
        <w:t xml:space="preserve"> Přehled citlivosti proměnných na výsledky FA a EA</w:t>
      </w:r>
    </w:p>
    <w:p w:rsidR="005D0D26" w:rsidRDefault="00105F90" w:rsidP="001E4CBC">
      <w:r w:rsidRPr="00105F90">
        <w:drawing>
          <wp:inline distT="0" distB="0" distL="0" distR="0">
            <wp:extent cx="4222750" cy="1162050"/>
            <wp:effectExtent l="0" t="0" r="635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CBC" w:rsidRDefault="00C208D0" w:rsidP="00C208D0">
      <w:r>
        <w:t xml:space="preserve">Z výsledků je patrné, že za kritické proměnné lze považovat </w:t>
      </w:r>
      <w:r w:rsidR="003F5458">
        <w:t>zejména</w:t>
      </w:r>
      <w:r>
        <w:t xml:space="preserve"> investiční náklady a vývoj přepravních výkonů v osobní dopravě. Doba předpokládané realizace projektu a náklady na provozuschopnost nevykazují vysokou míru elasticity k výsledkům ekonomické analýzy a jejich případná změna tak na výsledky ekonomického hodnocení nebude mít významný vliv.</w:t>
      </w:r>
    </w:p>
    <w:p w:rsidR="00C208D0" w:rsidRDefault="00C208D0" w:rsidP="00C208D0">
      <w:r>
        <w:lastRenderedPageBreak/>
        <w:t xml:space="preserve">V citlivostní analýze budou projektovány změny zjištěných kritických proměnných – investičních nákladů a prognózy přepravních výkonů osobní dopravy do výsledků finanční a ekonomické analýzy. </w:t>
      </w:r>
      <w:r w:rsidRPr="007A7424">
        <w:t xml:space="preserve">V případě investičních nákladů to bude změna o </w:t>
      </w:r>
      <w:smartTag w:uri="urn:schemas-microsoft-com:office:smarttags" w:element="metricconverter">
        <w:smartTagPr>
          <w:attr w:name="ProductID" w:val="10 a"/>
        </w:smartTagPr>
        <w:r w:rsidRPr="007A7424">
          <w:t>10 a</w:t>
        </w:r>
      </w:smartTag>
      <w:r w:rsidRPr="007A7424">
        <w:t xml:space="preserve"> </w:t>
      </w:r>
      <w:smartTag w:uri="urn:schemas-microsoft-com:office:smarttags" w:element="metricconverter">
        <w:smartTagPr>
          <w:attr w:name="ProductID" w:val="20 a"/>
        </w:smartTagPr>
        <w:r w:rsidRPr="007A7424">
          <w:t>20 a</w:t>
        </w:r>
      </w:smartTag>
      <w:r w:rsidRPr="007A7424">
        <w:t xml:space="preserve"> v případě </w:t>
      </w:r>
      <w:r>
        <w:t>pře</w:t>
      </w:r>
      <w:r w:rsidRPr="007A7424">
        <w:t>pravních výkonů to bude aplikace minimálního a maximálního sc</w:t>
      </w:r>
      <w:r>
        <w:t>énáře vývoje dopravních výkonů. Odchylky v prognóze přepravních výkonů se promítnou zejména do ekonomické analýzy a budou mít vliv takřka na všechny ekonomické peněžní toky projektu.</w:t>
      </w:r>
    </w:p>
    <w:p w:rsidR="00E732AD" w:rsidRDefault="00E732AD" w:rsidP="00E732AD">
      <w:pPr>
        <w:pStyle w:val="Nadpis2"/>
      </w:pPr>
      <w:bookmarkStart w:id="54" w:name="_Toc35357621"/>
      <w:r>
        <w:t>Posouzení dopadů změny investičních nákladů na efektivitu projektu</w:t>
      </w:r>
      <w:bookmarkEnd w:id="54"/>
    </w:p>
    <w:p w:rsidR="009605FD" w:rsidRPr="009605FD" w:rsidRDefault="009605FD" w:rsidP="009605FD">
      <w:pPr>
        <w:rPr>
          <w:b/>
        </w:rPr>
      </w:pPr>
      <w:r>
        <w:t xml:space="preserve">Investiční náklady </w:t>
      </w:r>
      <w:r w:rsidR="00536605">
        <w:t xml:space="preserve">jsou </w:t>
      </w:r>
      <w:r>
        <w:t xml:space="preserve">jednoznačně nejvýznamnějším tokem finanční analýzy a rovněž velmi významným tokem analýzy ekonomické. Z toho je patrné, že jejich změna bude mít velký vliv na výsledky jak finanční tak ekonomické analýzy. </w:t>
      </w:r>
    </w:p>
    <w:p w:rsidR="00931EBE" w:rsidRDefault="00931EBE" w:rsidP="00931EBE">
      <w:pPr>
        <w:pStyle w:val="Titulek"/>
        <w:keepNext/>
      </w:pPr>
      <w:r>
        <w:t xml:space="preserve">Tabulka </w:t>
      </w:r>
      <w:r w:rsidR="00C60141">
        <w:rPr>
          <w:noProof/>
        </w:rPr>
        <w:fldChar w:fldCharType="begin"/>
      </w:r>
      <w:r w:rsidR="00C60141">
        <w:rPr>
          <w:noProof/>
        </w:rPr>
        <w:instrText xml:space="preserve"> SEQ Tabulka \* ARABIC </w:instrText>
      </w:r>
      <w:r w:rsidR="00C60141">
        <w:rPr>
          <w:noProof/>
        </w:rPr>
        <w:fldChar w:fldCharType="separate"/>
      </w:r>
      <w:r w:rsidR="00D422A7">
        <w:rPr>
          <w:noProof/>
        </w:rPr>
        <w:t>28</w:t>
      </w:r>
      <w:r w:rsidR="00C60141">
        <w:rPr>
          <w:noProof/>
        </w:rPr>
        <w:fldChar w:fldCharType="end"/>
      </w:r>
      <w:r>
        <w:t xml:space="preserve"> Výsledky analýzy citlivosti pro investiční nák</w:t>
      </w:r>
      <w:r w:rsidR="00E4099A">
        <w:t>l</w:t>
      </w:r>
      <w:r>
        <w:t>ady</w:t>
      </w:r>
    </w:p>
    <w:p w:rsidR="00C208D0" w:rsidRDefault="00105F90" w:rsidP="00C208D0">
      <w:r w:rsidRPr="00105F90">
        <w:drawing>
          <wp:inline distT="0" distB="0" distL="0" distR="0">
            <wp:extent cx="3073400" cy="2495550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2AD" w:rsidRPr="00D01F45" w:rsidRDefault="00E732AD" w:rsidP="00C208D0">
      <w:r w:rsidRPr="00D01F45">
        <w:t xml:space="preserve">Přepínací hodnoty pro investiční náklady jsou pro: </w:t>
      </w:r>
    </w:p>
    <w:p w:rsidR="00E732AD" w:rsidRPr="00D01F45" w:rsidRDefault="00E732AD" w:rsidP="00387689">
      <w:pPr>
        <w:pStyle w:val="Odstavecseseznamem"/>
        <w:numPr>
          <w:ilvl w:val="0"/>
          <w:numId w:val="18"/>
        </w:numPr>
      </w:pPr>
      <w:r w:rsidRPr="00D01F45">
        <w:t>Finanční analýzu</w:t>
      </w:r>
      <w:r w:rsidR="00902855" w:rsidRPr="00D01F45">
        <w:t xml:space="preserve"> činí</w:t>
      </w:r>
      <w:r w:rsidR="00D01F45" w:rsidRPr="00D01F45">
        <w:t xml:space="preserve"> </w:t>
      </w:r>
      <w:r w:rsidR="00FF63B5">
        <w:t>–</w:t>
      </w:r>
      <w:r w:rsidR="00D01F45" w:rsidRPr="00D01F45">
        <w:t xml:space="preserve"> </w:t>
      </w:r>
      <w:r w:rsidR="001B4739">
        <w:t>77,</w:t>
      </w:r>
      <w:r w:rsidR="00105F90">
        <w:t>55</w:t>
      </w:r>
      <w:r w:rsidR="00902855" w:rsidRPr="00D01F45">
        <w:t xml:space="preserve">%, </w:t>
      </w:r>
      <w:r w:rsidR="001B4739" w:rsidRPr="00D01F45">
        <w:t xml:space="preserve">tedy </w:t>
      </w:r>
      <w:r w:rsidR="001B4739">
        <w:t xml:space="preserve">snížení investičních nákladů bez rezervy </w:t>
      </w:r>
      <w:r w:rsidR="003110B2">
        <w:t xml:space="preserve">v cenové úrovni 2020 </w:t>
      </w:r>
      <w:r w:rsidR="001B4739">
        <w:t>o</w:t>
      </w:r>
      <w:r w:rsidR="001B4739" w:rsidRPr="00D01F45">
        <w:t xml:space="preserve"> </w:t>
      </w:r>
      <w:r w:rsidR="003110B2">
        <w:t>44,</w:t>
      </w:r>
      <w:r w:rsidR="00105F90">
        <w:t>2</w:t>
      </w:r>
      <w:r w:rsidR="001B4739" w:rsidRPr="00D01F45">
        <w:t xml:space="preserve"> mld. Kč</w:t>
      </w:r>
    </w:p>
    <w:p w:rsidR="00E732AD" w:rsidRDefault="00E732AD" w:rsidP="00387689">
      <w:pPr>
        <w:pStyle w:val="Odstavecseseznamem"/>
        <w:numPr>
          <w:ilvl w:val="0"/>
          <w:numId w:val="18"/>
        </w:numPr>
      </w:pPr>
      <w:r w:rsidRPr="00D01F45">
        <w:t>Ekonomickou analýzu</w:t>
      </w:r>
      <w:r w:rsidR="00902855" w:rsidRPr="00D01F45">
        <w:t xml:space="preserve"> činí </w:t>
      </w:r>
      <w:r w:rsidR="001B4739">
        <w:t xml:space="preserve">+ </w:t>
      </w:r>
      <w:r w:rsidR="003110B2">
        <w:t>9,</w:t>
      </w:r>
      <w:r w:rsidR="00105F90">
        <w:t>21</w:t>
      </w:r>
      <w:r w:rsidR="00902855" w:rsidRPr="00D01F45">
        <w:t xml:space="preserve">% tedy </w:t>
      </w:r>
      <w:r w:rsidR="001B4739">
        <w:t>zvýšení investičních nákladů bez rezervy</w:t>
      </w:r>
      <w:r w:rsidR="003110B2">
        <w:t xml:space="preserve"> v CÚ 2020</w:t>
      </w:r>
      <w:r w:rsidR="001B4739">
        <w:t xml:space="preserve"> o</w:t>
      </w:r>
      <w:r w:rsidR="00D01F45" w:rsidRPr="00D01F45">
        <w:t xml:space="preserve"> </w:t>
      </w:r>
      <w:r w:rsidR="003110B2">
        <w:t>5,</w:t>
      </w:r>
      <w:r w:rsidR="00105F90">
        <w:t>25</w:t>
      </w:r>
      <w:r w:rsidR="00902855" w:rsidRPr="00D01F45">
        <w:t xml:space="preserve"> mld. Kč</w:t>
      </w:r>
    </w:p>
    <w:p w:rsidR="00E732AD" w:rsidRDefault="00E732AD" w:rsidP="00E732AD">
      <w:pPr>
        <w:pStyle w:val="Nadpis2"/>
      </w:pPr>
      <w:bookmarkStart w:id="55" w:name="_Toc35357622"/>
      <w:r>
        <w:t xml:space="preserve">Posouzení dopadů změny </w:t>
      </w:r>
      <w:r w:rsidR="00E57F02">
        <w:t>přepravních výkonů</w:t>
      </w:r>
      <w:r>
        <w:t xml:space="preserve"> na efektivitu projektu</w:t>
      </w:r>
      <w:bookmarkEnd w:id="55"/>
    </w:p>
    <w:p w:rsidR="009605FD" w:rsidRDefault="009605FD" w:rsidP="009605FD">
      <w:pPr>
        <w:rPr>
          <w:szCs w:val="20"/>
        </w:rPr>
      </w:pPr>
      <w:r>
        <w:t xml:space="preserve">Efekty plynoucí z nárůstu </w:t>
      </w:r>
      <w:r w:rsidR="00FF0D56">
        <w:t>přepravních</w:t>
      </w:r>
      <w:r>
        <w:t xml:space="preserve"> výkonů </w:t>
      </w:r>
      <w:r w:rsidR="00FF0D56">
        <w:t xml:space="preserve">a úspory času </w:t>
      </w:r>
      <w:r>
        <w:t xml:space="preserve">osobní dopravy tvoří nejpodstatnější část příjmů ekonomické analýzy. Změna </w:t>
      </w:r>
      <w:r w:rsidR="00FF0D56">
        <w:t>pře</w:t>
      </w:r>
      <w:r>
        <w:t xml:space="preserve">pravních výkonů </w:t>
      </w:r>
      <w:r w:rsidR="00FF0D56">
        <w:t xml:space="preserve">(počtu přepravených osob) </w:t>
      </w:r>
      <w:r>
        <w:t xml:space="preserve">proto vykazuje vysokou míru elasticity k výsledkům ekonomické analýzy. Z toho důvodu byly v rámci přepravních prognóz vypracovány 2 scénáře – minimální (MIN) a maximální (MAX). </w:t>
      </w:r>
      <w:r>
        <w:rPr>
          <w:szCs w:val="20"/>
        </w:rPr>
        <w:t xml:space="preserve">Scénáře MIN a MAX představují určité extrémy na přepravním trhu, které však s určitou pravděpodobností mohou nastat. V posledním roce </w:t>
      </w:r>
      <w:r w:rsidR="00FF0D56">
        <w:rPr>
          <w:szCs w:val="20"/>
        </w:rPr>
        <w:t>přepravní prognózy</w:t>
      </w:r>
      <w:r>
        <w:rPr>
          <w:szCs w:val="20"/>
        </w:rPr>
        <w:t xml:space="preserve"> 2055 vykazuje scénář MAX odchylku 26% a MIN odchylku 33% oproti základnímu scénáři TREND. Výhledový přepravní výkon by se měl pohybova</w:t>
      </w:r>
      <w:r w:rsidR="00FF0D56">
        <w:rPr>
          <w:szCs w:val="20"/>
        </w:rPr>
        <w:t>t</w:t>
      </w:r>
      <w:r>
        <w:rPr>
          <w:szCs w:val="20"/>
        </w:rPr>
        <w:t xml:space="preserve"> mezi těmito dvěma hraničními křivkami.</w:t>
      </w:r>
    </w:p>
    <w:p w:rsidR="00931EBE" w:rsidRDefault="00931EBE" w:rsidP="00931EBE">
      <w:pPr>
        <w:pStyle w:val="Titulek"/>
        <w:keepNext/>
      </w:pPr>
      <w:r>
        <w:t xml:space="preserve">Tabulka </w:t>
      </w:r>
      <w:r w:rsidR="00C60141">
        <w:rPr>
          <w:noProof/>
        </w:rPr>
        <w:fldChar w:fldCharType="begin"/>
      </w:r>
      <w:r w:rsidR="00C60141">
        <w:rPr>
          <w:noProof/>
        </w:rPr>
        <w:instrText xml:space="preserve"> SEQ Tabulka \* ARABIC </w:instrText>
      </w:r>
      <w:r w:rsidR="00C60141">
        <w:rPr>
          <w:noProof/>
        </w:rPr>
        <w:fldChar w:fldCharType="separate"/>
      </w:r>
      <w:r w:rsidR="00D422A7">
        <w:rPr>
          <w:noProof/>
        </w:rPr>
        <w:t>29</w:t>
      </w:r>
      <w:r w:rsidR="00C60141">
        <w:rPr>
          <w:noProof/>
        </w:rPr>
        <w:fldChar w:fldCharType="end"/>
      </w:r>
      <w:r>
        <w:t xml:space="preserve"> Výsledky analýzy citlivosti prognózy osobní dopravy</w:t>
      </w:r>
    </w:p>
    <w:p w:rsidR="00C208D0" w:rsidRPr="002557F7" w:rsidRDefault="00A97D50" w:rsidP="00C208D0">
      <w:r w:rsidRPr="00A97D50">
        <w:drawing>
          <wp:inline distT="0" distB="0" distL="0" distR="0">
            <wp:extent cx="3752850" cy="787400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56" w:name="_GoBack"/>
      <w:bookmarkEnd w:id="56"/>
    </w:p>
    <w:p w:rsidR="006672FE" w:rsidRDefault="006672FE" w:rsidP="006764A3">
      <w:pPr>
        <w:pStyle w:val="Nadpis1"/>
      </w:pPr>
      <w:bookmarkStart w:id="57" w:name="_Toc35357623"/>
      <w:r>
        <w:lastRenderedPageBreak/>
        <w:t>Shrnutí</w:t>
      </w:r>
      <w:bookmarkEnd w:id="57"/>
    </w:p>
    <w:p w:rsidR="009605FD" w:rsidRPr="00D43924" w:rsidRDefault="009605FD" w:rsidP="009605FD">
      <w:r w:rsidRPr="00D43924">
        <w:t>Prioritním cílem stavby je zvýšení kapacity tratě, aby byla naplněna společenská poptávka po taktové dopravě a rozšířen už zavedený systém IDS a současně, aby trať byla schopná absorbovat výhledový nárůst v dálkové dopravě v segmentu „Ex“ (expresní osobní vlaky). Dalším efektem realizace stavby bude zkrácení cestovních dob a celkové zvýšení atraktivity železniční dopravy. Všechny uvedené přínosy povedou k převedení části dopravy ze silnice na železnici. Snížení intenzity silniční dopravy přinese snížení kongescí, hluku a emisí ze silniční dopravy, zejména z individuální osobní dopravy, což se promítne do kvality životního prostředí v okolí tratě. Dalším přínosem stavby z hlediska životního prostředí je snížení hlukové zátěže okolní zástavby výstavbou nových protihlukových stěn a zřízením individuálních protihlukových opatření. K</w:t>
      </w:r>
      <w:r w:rsidR="002318F2">
        <w:t>e</w:t>
      </w:r>
      <w:r w:rsidRPr="00D43924">
        <w:t xml:space="preserve"> snížení hlučnosti rovněž přispěje použití nového typu železničního svršku. </w:t>
      </w:r>
    </w:p>
    <w:p w:rsidR="009605FD" w:rsidRPr="00D43924" w:rsidRDefault="009605FD" w:rsidP="009605FD">
      <w:r w:rsidRPr="00D43924">
        <w:t xml:space="preserve">Realizace stavby se rovněž promítne do zvýšení bezpečnosti dopravy, kde lze sledovat tři aspekty: </w:t>
      </w:r>
    </w:p>
    <w:p w:rsidR="009605FD" w:rsidRPr="00D43924" w:rsidRDefault="009605FD" w:rsidP="009605FD">
      <w:r w:rsidRPr="00D43924">
        <w:t xml:space="preserve">• zvýšení bezpečnosti železniční dopravy použitím nového zabezpečovacího zařízení 3. kategorie </w:t>
      </w:r>
    </w:p>
    <w:p w:rsidR="009605FD" w:rsidRPr="00D43924" w:rsidRDefault="009605FD" w:rsidP="009605FD">
      <w:r w:rsidRPr="00D43924">
        <w:t xml:space="preserve">• zvýšení bezpečnosti </w:t>
      </w:r>
      <w:r w:rsidR="002318F2">
        <w:t xml:space="preserve">na křížení železniční a silniční infrastruktury odstraněním </w:t>
      </w:r>
      <w:r w:rsidRPr="00D43924">
        <w:t xml:space="preserve">úrovňových přejezdů </w:t>
      </w:r>
    </w:p>
    <w:p w:rsidR="009605FD" w:rsidRPr="00D43924" w:rsidRDefault="009605FD" w:rsidP="009605FD">
      <w:r w:rsidRPr="00D43924">
        <w:t xml:space="preserve">• zvýšení bezpečnosti cestujících výstavbou bezbariérových nástupišť se zabezpečeným přístupem mimoúrovňovým podchodem </w:t>
      </w:r>
    </w:p>
    <w:p w:rsidR="004444AA" w:rsidRDefault="004444AA" w:rsidP="004444AA">
      <w:pPr>
        <w:pStyle w:val="Titulek"/>
        <w:keepNext/>
      </w:pPr>
      <w:r>
        <w:t xml:space="preserve">Tabulka </w:t>
      </w:r>
      <w:r w:rsidR="00A00E11">
        <w:rPr>
          <w:noProof/>
        </w:rPr>
        <w:fldChar w:fldCharType="begin"/>
      </w:r>
      <w:r w:rsidR="00A00E11">
        <w:rPr>
          <w:noProof/>
        </w:rPr>
        <w:instrText xml:space="preserve"> SEQ Tabulka \* ARABIC </w:instrText>
      </w:r>
      <w:r w:rsidR="00A00E11">
        <w:rPr>
          <w:noProof/>
        </w:rPr>
        <w:fldChar w:fldCharType="separate"/>
      </w:r>
      <w:r w:rsidR="00D422A7">
        <w:rPr>
          <w:noProof/>
        </w:rPr>
        <w:t>30</w:t>
      </w:r>
      <w:r w:rsidR="00A00E11">
        <w:rPr>
          <w:noProof/>
        </w:rPr>
        <w:fldChar w:fldCharType="end"/>
      </w:r>
      <w:r>
        <w:t xml:space="preserve"> Shrnutí výsledků ekonomického hodnocení</w:t>
      </w:r>
    </w:p>
    <w:p w:rsidR="004444AA" w:rsidRDefault="0045088F" w:rsidP="009605FD">
      <w:r w:rsidRPr="0045088F">
        <w:drawing>
          <wp:inline distT="0" distB="0" distL="0" distR="0">
            <wp:extent cx="4019550" cy="787400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5FD" w:rsidRPr="00D43924" w:rsidRDefault="009605FD" w:rsidP="009605FD">
      <w:r w:rsidRPr="00D43924">
        <w:t>Výše popsané přínosy byly monetizovány v rámci ekonomické analýzy, která sumarizuje celospolečenské efekty investice. Do ekonomické analýzy rovněž vstupují peněžní toky z finanční analýzy přepočtené na ekonomické ceny a dohromady utváří tabulky ekonomického cash-flow. Z tě</w:t>
      </w:r>
      <w:r w:rsidR="002318F2">
        <w:t>chto toků je odvozena ekonomická</w:t>
      </w:r>
      <w:r w:rsidRPr="00D43924">
        <w:t xml:space="preserve"> </w:t>
      </w:r>
      <w:r w:rsidR="002318F2">
        <w:t>míra návratnosti</w:t>
      </w:r>
      <w:r w:rsidRPr="00D43924">
        <w:t xml:space="preserve"> (ERR), ekonomická čistá současná hodnota (ENPV) a </w:t>
      </w:r>
      <w:r w:rsidR="002318F2">
        <w:t xml:space="preserve">poměr přínosů a nákladů </w:t>
      </w:r>
      <w:r w:rsidRPr="00D43924">
        <w:t>(</w:t>
      </w:r>
      <w:r w:rsidR="00675CD8">
        <w:t>B / C</w:t>
      </w:r>
      <w:r w:rsidRPr="00D43924">
        <w:t>). Při výpočtu čisté současné hodnoty je použita v ekonomické analýze diskontní sazba 5,</w:t>
      </w:r>
      <w:r w:rsidR="002318F2">
        <w:t>0</w:t>
      </w:r>
      <w:r w:rsidRPr="00D43924">
        <w:t xml:space="preserve"> %.</w:t>
      </w:r>
    </w:p>
    <w:p w:rsidR="00103722" w:rsidRDefault="00103722" w:rsidP="00103722">
      <w:pPr>
        <w:pStyle w:val="Nadpis1"/>
      </w:pPr>
      <w:bookmarkStart w:id="58" w:name="_Toc35357624"/>
      <w:r>
        <w:t>Přílohy</w:t>
      </w:r>
      <w:bookmarkEnd w:id="58"/>
    </w:p>
    <w:p w:rsidR="00103722" w:rsidRPr="00103722" w:rsidRDefault="00103722" w:rsidP="00103722"/>
    <w:p w:rsidR="00103722" w:rsidRDefault="00103722" w:rsidP="00C06D62">
      <w:r>
        <w:t>Příloha 1 – Finanční a ekonomické CBA tabulky</w:t>
      </w:r>
    </w:p>
    <w:p w:rsidR="00103722" w:rsidRDefault="00103722" w:rsidP="00C06D62">
      <w:r>
        <w:t>Příloha 2 – Původní ekonomické hodnocení zpracované v rámci SP Modernizace trati Brno – Přerov</w:t>
      </w:r>
    </w:p>
    <w:p w:rsidR="00103722" w:rsidRDefault="00103722" w:rsidP="00C06D62">
      <w:r>
        <w:t>Příloha 3 – Kalkulace nákladů na provoz vlaků ve variantě bez projektu</w:t>
      </w:r>
    </w:p>
    <w:p w:rsidR="00103722" w:rsidRDefault="00103722" w:rsidP="00C06D62">
      <w:r>
        <w:t xml:space="preserve">Příloha 4 – Kalkulace nákladů na provoz vlaků ve variantě s projektem </w:t>
      </w:r>
    </w:p>
    <w:p w:rsidR="003C608C" w:rsidRDefault="003C608C" w:rsidP="00C06D62">
      <w:r>
        <w:t>Příloha 5 – Výpočet časového využití vlakových souprav</w:t>
      </w:r>
      <w:r w:rsidRPr="003C608C">
        <w:t xml:space="preserve"> </w:t>
      </w:r>
      <w:r>
        <w:t>ve variantě bez projektu</w:t>
      </w:r>
    </w:p>
    <w:p w:rsidR="003C608C" w:rsidRDefault="003C608C" w:rsidP="003C608C">
      <w:r>
        <w:t>Příloha 6 – Výpočet časového využití vlakových souprav</w:t>
      </w:r>
      <w:r w:rsidRPr="003C608C">
        <w:t xml:space="preserve"> </w:t>
      </w:r>
      <w:r>
        <w:t>ve variantě s projektem</w:t>
      </w:r>
    </w:p>
    <w:p w:rsidR="003C608C" w:rsidRDefault="003C608C" w:rsidP="00C06D62"/>
    <w:p w:rsidR="00FA0061" w:rsidRDefault="00FA0061" w:rsidP="00FA0061">
      <w:r>
        <w:t>Výše uvedené přílohy jsou vyhotoveny pouze v elektronické formě.</w:t>
      </w:r>
    </w:p>
    <w:p w:rsidR="003F5458" w:rsidRDefault="003F5458" w:rsidP="00FA0061">
      <w:pPr>
        <w:ind w:firstLine="4820"/>
      </w:pPr>
    </w:p>
    <w:p w:rsidR="00FA0061" w:rsidRDefault="00FA0061" w:rsidP="00FA0061">
      <w:pPr>
        <w:ind w:firstLine="4820"/>
      </w:pPr>
    </w:p>
    <w:p w:rsidR="00FA0061" w:rsidRDefault="00FA0061" w:rsidP="00FA0061">
      <w:pPr>
        <w:ind w:firstLine="4820"/>
      </w:pPr>
      <w:r>
        <w:t>V</w:t>
      </w:r>
      <w:r w:rsidR="001B4739">
        <w:t> </w:t>
      </w:r>
      <w:r>
        <w:t>Brně</w:t>
      </w:r>
      <w:r w:rsidR="001B4739">
        <w:t xml:space="preserve"> </w:t>
      </w:r>
      <w:r w:rsidR="00D422A7">
        <w:t>1</w:t>
      </w:r>
      <w:r w:rsidR="0045088F">
        <w:t>4.4</w:t>
      </w:r>
      <w:r w:rsidR="001B4739">
        <w:t>.2020</w:t>
      </w:r>
    </w:p>
    <w:p w:rsidR="00FA0061" w:rsidRDefault="00FA0061" w:rsidP="00FA0061">
      <w:pPr>
        <w:ind w:firstLine="4820"/>
      </w:pPr>
      <w:r>
        <w:t>Vypracoval: Ing. Tomáš Funk</w:t>
      </w:r>
    </w:p>
    <w:p w:rsidR="00FA0061" w:rsidRDefault="00FA0061" w:rsidP="00FA0061">
      <w:pPr>
        <w:ind w:firstLine="4820"/>
      </w:pPr>
      <w:r>
        <w:t>MORAVIA CONSULT Olomouc a.s.</w:t>
      </w:r>
    </w:p>
    <w:p w:rsidR="003C608C" w:rsidRPr="00855C4D" w:rsidRDefault="00FA0061" w:rsidP="003F5458">
      <w:pPr>
        <w:ind w:firstLine="4820"/>
      </w:pPr>
      <w:r>
        <w:t>Tel.: 739 243 410, mail: funk@moravia.cz</w:t>
      </w:r>
    </w:p>
    <w:sectPr w:rsidR="003C608C" w:rsidRPr="00855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B4" w:rsidRDefault="00ED48B4" w:rsidP="00F84266">
      <w:pPr>
        <w:spacing w:after="0"/>
      </w:pPr>
      <w:r>
        <w:separator/>
      </w:r>
    </w:p>
  </w:endnote>
  <w:endnote w:type="continuationSeparator" w:id="0">
    <w:p w:rsidR="00ED48B4" w:rsidRDefault="00ED48B4" w:rsidP="00F842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1486388"/>
      <w:docPartObj>
        <w:docPartGallery w:val="Page Numbers (Bottom of Page)"/>
        <w:docPartUnique/>
      </w:docPartObj>
    </w:sdtPr>
    <w:sdtContent>
      <w:p w:rsidR="00ED48B4" w:rsidRDefault="00ED48B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B4" w:rsidRDefault="00ED48B4" w:rsidP="00F84266">
      <w:pPr>
        <w:spacing w:after="0"/>
      </w:pPr>
      <w:r>
        <w:separator/>
      </w:r>
    </w:p>
  </w:footnote>
  <w:footnote w:type="continuationSeparator" w:id="0">
    <w:p w:rsidR="00ED48B4" w:rsidRDefault="00ED48B4" w:rsidP="00F842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8B4" w:rsidRDefault="00ED48B4" w:rsidP="00F84266">
    <w:pPr>
      <w:pStyle w:val="Zhlav"/>
      <w:jc w:val="right"/>
      <w:rPr>
        <w:b/>
        <w:sz w:val="16"/>
        <w:szCs w:val="16"/>
      </w:rPr>
    </w:pPr>
    <w:r w:rsidRPr="00FB14AC">
      <w:rPr>
        <w:b/>
        <w:sz w:val="16"/>
        <w:szCs w:val="16"/>
      </w:rPr>
      <w:t>Modernizace trati Brno - Přerov</w:t>
    </w:r>
  </w:p>
  <w:p w:rsidR="00ED48B4" w:rsidRPr="00F84266" w:rsidRDefault="00ED48B4" w:rsidP="00F84266">
    <w:pPr>
      <w:pStyle w:val="Zhlav"/>
      <w:jc w:val="right"/>
      <w:rPr>
        <w:sz w:val="16"/>
        <w:szCs w:val="16"/>
      </w:rPr>
    </w:pPr>
    <w:r>
      <w:rPr>
        <w:b/>
        <w:sz w:val="16"/>
        <w:szCs w:val="16"/>
      </w:rPr>
      <w:t>Ekonomické hodnocení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516E3"/>
    <w:multiLevelType w:val="hybridMultilevel"/>
    <w:tmpl w:val="4C827A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E2A32"/>
    <w:multiLevelType w:val="hybridMultilevel"/>
    <w:tmpl w:val="0F5242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B4596"/>
    <w:multiLevelType w:val="hybridMultilevel"/>
    <w:tmpl w:val="BB7051B6"/>
    <w:lvl w:ilvl="0" w:tplc="47FC15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D378FC"/>
    <w:multiLevelType w:val="hybridMultilevel"/>
    <w:tmpl w:val="520C2808"/>
    <w:lvl w:ilvl="0" w:tplc="A98851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562C8"/>
    <w:multiLevelType w:val="hybridMultilevel"/>
    <w:tmpl w:val="AF12D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21454"/>
    <w:multiLevelType w:val="hybridMultilevel"/>
    <w:tmpl w:val="07C42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F3E39"/>
    <w:multiLevelType w:val="hybridMultilevel"/>
    <w:tmpl w:val="7E32D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C07C7"/>
    <w:multiLevelType w:val="hybridMultilevel"/>
    <w:tmpl w:val="388E1D58"/>
    <w:lvl w:ilvl="0" w:tplc="04050001">
      <w:start w:val="1"/>
      <w:numFmt w:val="bullet"/>
      <w:lvlText w:val=""/>
      <w:lvlJc w:val="left"/>
      <w:pPr>
        <w:tabs>
          <w:tab w:val="num" w:pos="1684"/>
        </w:tabs>
        <w:ind w:left="16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8" w15:restartNumberingAfterBreak="0">
    <w:nsid w:val="3C0D77A4"/>
    <w:multiLevelType w:val="hybridMultilevel"/>
    <w:tmpl w:val="31FC0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A4187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408A2881"/>
    <w:multiLevelType w:val="hybridMultilevel"/>
    <w:tmpl w:val="20BC44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A97EAA"/>
    <w:multiLevelType w:val="hybridMultilevel"/>
    <w:tmpl w:val="43B60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94AAF"/>
    <w:multiLevelType w:val="hybridMultilevel"/>
    <w:tmpl w:val="C5BEA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B823D3"/>
    <w:multiLevelType w:val="hybridMultilevel"/>
    <w:tmpl w:val="FEF46E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B6234B"/>
    <w:multiLevelType w:val="multilevel"/>
    <w:tmpl w:val="9740EBF2"/>
    <w:lvl w:ilvl="0">
      <w:start w:val="1"/>
      <w:numFmt w:val="decimal"/>
      <w:pStyle w:val="OLUSNADPIS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OLUSpodnadpis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OLUSdruhypodnadpis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pStyle w:val="OLUStrtetipodnadpis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5AF248BE"/>
    <w:multiLevelType w:val="hybridMultilevel"/>
    <w:tmpl w:val="CC2E9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D48B9"/>
    <w:multiLevelType w:val="hybridMultilevel"/>
    <w:tmpl w:val="4AFAC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364A34"/>
    <w:multiLevelType w:val="hybridMultilevel"/>
    <w:tmpl w:val="06E01A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5B1680"/>
    <w:multiLevelType w:val="hybridMultilevel"/>
    <w:tmpl w:val="A326987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856FCF"/>
    <w:multiLevelType w:val="hybridMultilevel"/>
    <w:tmpl w:val="0C50C560"/>
    <w:lvl w:ilvl="0" w:tplc="A98851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483788"/>
    <w:multiLevelType w:val="hybridMultilevel"/>
    <w:tmpl w:val="3FC2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317F66"/>
    <w:multiLevelType w:val="hybridMultilevel"/>
    <w:tmpl w:val="8684E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0"/>
  </w:num>
  <w:num w:numId="4">
    <w:abstractNumId w:val="21"/>
  </w:num>
  <w:num w:numId="5">
    <w:abstractNumId w:val="1"/>
  </w:num>
  <w:num w:numId="6">
    <w:abstractNumId w:val="17"/>
  </w:num>
  <w:num w:numId="7">
    <w:abstractNumId w:val="9"/>
  </w:num>
  <w:num w:numId="8">
    <w:abstractNumId w:val="15"/>
  </w:num>
  <w:num w:numId="9">
    <w:abstractNumId w:val="11"/>
  </w:num>
  <w:num w:numId="10">
    <w:abstractNumId w:val="5"/>
  </w:num>
  <w:num w:numId="11">
    <w:abstractNumId w:val="16"/>
  </w:num>
  <w:num w:numId="12">
    <w:abstractNumId w:val="8"/>
  </w:num>
  <w:num w:numId="13">
    <w:abstractNumId w:val="13"/>
  </w:num>
  <w:num w:numId="14">
    <w:abstractNumId w:val="10"/>
  </w:num>
  <w:num w:numId="15">
    <w:abstractNumId w:val="6"/>
  </w:num>
  <w:num w:numId="16">
    <w:abstractNumId w:val="7"/>
  </w:num>
  <w:num w:numId="17">
    <w:abstractNumId w:val="2"/>
  </w:num>
  <w:num w:numId="18">
    <w:abstractNumId w:val="12"/>
  </w:num>
  <w:num w:numId="19">
    <w:abstractNumId w:val="18"/>
  </w:num>
  <w:num w:numId="20">
    <w:abstractNumId w:val="20"/>
  </w:num>
  <w:num w:numId="21">
    <w:abstractNumId w:val="19"/>
  </w:num>
  <w:num w:numId="22">
    <w:abstractNumId w:val="3"/>
  </w:num>
  <w:num w:numId="23">
    <w:abstractNumId w:val="18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266"/>
    <w:rsid w:val="000007F0"/>
    <w:rsid w:val="000034A2"/>
    <w:rsid w:val="00003B39"/>
    <w:rsid w:val="000125DC"/>
    <w:rsid w:val="00014F5E"/>
    <w:rsid w:val="00032BE4"/>
    <w:rsid w:val="00036374"/>
    <w:rsid w:val="00046F88"/>
    <w:rsid w:val="00062724"/>
    <w:rsid w:val="000701B2"/>
    <w:rsid w:val="00074010"/>
    <w:rsid w:val="00081A08"/>
    <w:rsid w:val="00093123"/>
    <w:rsid w:val="000A0F63"/>
    <w:rsid w:val="000B788D"/>
    <w:rsid w:val="000C036D"/>
    <w:rsid w:val="000C641F"/>
    <w:rsid w:val="000D0AB3"/>
    <w:rsid w:val="000E0C8B"/>
    <w:rsid w:val="000E1125"/>
    <w:rsid w:val="000F3395"/>
    <w:rsid w:val="000F5B8D"/>
    <w:rsid w:val="000F6978"/>
    <w:rsid w:val="00103722"/>
    <w:rsid w:val="001051EA"/>
    <w:rsid w:val="00105F90"/>
    <w:rsid w:val="00106ACD"/>
    <w:rsid w:val="00112138"/>
    <w:rsid w:val="00112EEA"/>
    <w:rsid w:val="001151BC"/>
    <w:rsid w:val="00116375"/>
    <w:rsid w:val="00123137"/>
    <w:rsid w:val="00124011"/>
    <w:rsid w:val="001265BF"/>
    <w:rsid w:val="00157B0C"/>
    <w:rsid w:val="00157F47"/>
    <w:rsid w:val="0016264A"/>
    <w:rsid w:val="00167D3C"/>
    <w:rsid w:val="001701F5"/>
    <w:rsid w:val="0017101E"/>
    <w:rsid w:val="00175AA6"/>
    <w:rsid w:val="00177F35"/>
    <w:rsid w:val="00187D9A"/>
    <w:rsid w:val="001954EB"/>
    <w:rsid w:val="001B4739"/>
    <w:rsid w:val="001B5A05"/>
    <w:rsid w:val="001C476E"/>
    <w:rsid w:val="001E4CBC"/>
    <w:rsid w:val="001E5AAC"/>
    <w:rsid w:val="001E78DA"/>
    <w:rsid w:val="001F1B4A"/>
    <w:rsid w:val="0020019F"/>
    <w:rsid w:val="0020723B"/>
    <w:rsid w:val="00207618"/>
    <w:rsid w:val="00214D61"/>
    <w:rsid w:val="00216613"/>
    <w:rsid w:val="00220D47"/>
    <w:rsid w:val="0022228E"/>
    <w:rsid w:val="002238BC"/>
    <w:rsid w:val="002318F2"/>
    <w:rsid w:val="00233073"/>
    <w:rsid w:val="0024005A"/>
    <w:rsid w:val="002468AD"/>
    <w:rsid w:val="002474AD"/>
    <w:rsid w:val="00250601"/>
    <w:rsid w:val="002515DE"/>
    <w:rsid w:val="00254866"/>
    <w:rsid w:val="002618FA"/>
    <w:rsid w:val="00265765"/>
    <w:rsid w:val="00271510"/>
    <w:rsid w:val="00274350"/>
    <w:rsid w:val="00291B24"/>
    <w:rsid w:val="002928FA"/>
    <w:rsid w:val="002A0FC9"/>
    <w:rsid w:val="002A615D"/>
    <w:rsid w:val="002A7CA7"/>
    <w:rsid w:val="002B04B2"/>
    <w:rsid w:val="002B0795"/>
    <w:rsid w:val="002C0B1C"/>
    <w:rsid w:val="002C20B3"/>
    <w:rsid w:val="002C21A4"/>
    <w:rsid w:val="002C40EA"/>
    <w:rsid w:val="002C5564"/>
    <w:rsid w:val="002D3A42"/>
    <w:rsid w:val="002D4962"/>
    <w:rsid w:val="002E3F0B"/>
    <w:rsid w:val="002E6B5A"/>
    <w:rsid w:val="002F09AD"/>
    <w:rsid w:val="002F1055"/>
    <w:rsid w:val="002F3E92"/>
    <w:rsid w:val="002F7075"/>
    <w:rsid w:val="00306EA5"/>
    <w:rsid w:val="00307210"/>
    <w:rsid w:val="003108C3"/>
    <w:rsid w:val="003110B2"/>
    <w:rsid w:val="0031413E"/>
    <w:rsid w:val="00314795"/>
    <w:rsid w:val="00322FE1"/>
    <w:rsid w:val="00325E90"/>
    <w:rsid w:val="003358FD"/>
    <w:rsid w:val="00335DEA"/>
    <w:rsid w:val="0034798B"/>
    <w:rsid w:val="00351EF7"/>
    <w:rsid w:val="00353777"/>
    <w:rsid w:val="003542E6"/>
    <w:rsid w:val="0036636F"/>
    <w:rsid w:val="003678B3"/>
    <w:rsid w:val="00367E6A"/>
    <w:rsid w:val="00371BAF"/>
    <w:rsid w:val="00377D7C"/>
    <w:rsid w:val="00381E5C"/>
    <w:rsid w:val="00383A60"/>
    <w:rsid w:val="00384EA2"/>
    <w:rsid w:val="00386E6F"/>
    <w:rsid w:val="00387689"/>
    <w:rsid w:val="00387FC3"/>
    <w:rsid w:val="00394886"/>
    <w:rsid w:val="003A4730"/>
    <w:rsid w:val="003A55A3"/>
    <w:rsid w:val="003B2037"/>
    <w:rsid w:val="003B5C89"/>
    <w:rsid w:val="003C427A"/>
    <w:rsid w:val="003C608C"/>
    <w:rsid w:val="003C6E63"/>
    <w:rsid w:val="003D146F"/>
    <w:rsid w:val="003D4F4A"/>
    <w:rsid w:val="003D670F"/>
    <w:rsid w:val="003E172D"/>
    <w:rsid w:val="003E50E9"/>
    <w:rsid w:val="003F34D0"/>
    <w:rsid w:val="003F3E7B"/>
    <w:rsid w:val="003F5458"/>
    <w:rsid w:val="003F7C85"/>
    <w:rsid w:val="00403E45"/>
    <w:rsid w:val="0041144C"/>
    <w:rsid w:val="00443A71"/>
    <w:rsid w:val="00443D3C"/>
    <w:rsid w:val="004444AA"/>
    <w:rsid w:val="0045088F"/>
    <w:rsid w:val="00460FD6"/>
    <w:rsid w:val="00461425"/>
    <w:rsid w:val="0046403F"/>
    <w:rsid w:val="00465E1F"/>
    <w:rsid w:val="004961A4"/>
    <w:rsid w:val="004C02CE"/>
    <w:rsid w:val="004C1DBF"/>
    <w:rsid w:val="004C256B"/>
    <w:rsid w:val="004C27DB"/>
    <w:rsid w:val="004D078F"/>
    <w:rsid w:val="004D234A"/>
    <w:rsid w:val="004D4960"/>
    <w:rsid w:val="004E09F4"/>
    <w:rsid w:val="004E5F84"/>
    <w:rsid w:val="004E79F2"/>
    <w:rsid w:val="004F02C8"/>
    <w:rsid w:val="004F563A"/>
    <w:rsid w:val="0050528C"/>
    <w:rsid w:val="00507362"/>
    <w:rsid w:val="0051365D"/>
    <w:rsid w:val="005146C2"/>
    <w:rsid w:val="00516AA6"/>
    <w:rsid w:val="00517FE6"/>
    <w:rsid w:val="005211D1"/>
    <w:rsid w:val="00526291"/>
    <w:rsid w:val="0053010B"/>
    <w:rsid w:val="005328A5"/>
    <w:rsid w:val="00534E54"/>
    <w:rsid w:val="00536605"/>
    <w:rsid w:val="00544503"/>
    <w:rsid w:val="005460D7"/>
    <w:rsid w:val="00556590"/>
    <w:rsid w:val="00562983"/>
    <w:rsid w:val="0056526D"/>
    <w:rsid w:val="00566033"/>
    <w:rsid w:val="00566C23"/>
    <w:rsid w:val="005670D8"/>
    <w:rsid w:val="00573A5B"/>
    <w:rsid w:val="0057628E"/>
    <w:rsid w:val="00580114"/>
    <w:rsid w:val="00583714"/>
    <w:rsid w:val="00585585"/>
    <w:rsid w:val="00590F17"/>
    <w:rsid w:val="00591F32"/>
    <w:rsid w:val="005948A4"/>
    <w:rsid w:val="005A237B"/>
    <w:rsid w:val="005A385F"/>
    <w:rsid w:val="005B0244"/>
    <w:rsid w:val="005B36E1"/>
    <w:rsid w:val="005D0D26"/>
    <w:rsid w:val="005D5F18"/>
    <w:rsid w:val="005E52CC"/>
    <w:rsid w:val="005E7C54"/>
    <w:rsid w:val="006104C4"/>
    <w:rsid w:val="00611C67"/>
    <w:rsid w:val="0061226F"/>
    <w:rsid w:val="00612DF3"/>
    <w:rsid w:val="006134A4"/>
    <w:rsid w:val="00620EC0"/>
    <w:rsid w:val="00631965"/>
    <w:rsid w:val="00636A15"/>
    <w:rsid w:val="00642635"/>
    <w:rsid w:val="00643A41"/>
    <w:rsid w:val="00645F0D"/>
    <w:rsid w:val="006549E2"/>
    <w:rsid w:val="00663A71"/>
    <w:rsid w:val="006672FE"/>
    <w:rsid w:val="0067481B"/>
    <w:rsid w:val="00675CD8"/>
    <w:rsid w:val="006764A3"/>
    <w:rsid w:val="00683E7F"/>
    <w:rsid w:val="00684CE1"/>
    <w:rsid w:val="0069064B"/>
    <w:rsid w:val="0069298A"/>
    <w:rsid w:val="00697F6C"/>
    <w:rsid w:val="006B11EA"/>
    <w:rsid w:val="006B3AFD"/>
    <w:rsid w:val="006B69FF"/>
    <w:rsid w:val="006C18D4"/>
    <w:rsid w:val="006C3984"/>
    <w:rsid w:val="006C3DC6"/>
    <w:rsid w:val="006C7F4D"/>
    <w:rsid w:val="006D47FD"/>
    <w:rsid w:val="006E6E8C"/>
    <w:rsid w:val="006F0335"/>
    <w:rsid w:val="00700A5F"/>
    <w:rsid w:val="00701099"/>
    <w:rsid w:val="0070148B"/>
    <w:rsid w:val="00705369"/>
    <w:rsid w:val="007107EE"/>
    <w:rsid w:val="007165EE"/>
    <w:rsid w:val="00722367"/>
    <w:rsid w:val="007314CF"/>
    <w:rsid w:val="007353E5"/>
    <w:rsid w:val="00736693"/>
    <w:rsid w:val="007454E5"/>
    <w:rsid w:val="00745AA4"/>
    <w:rsid w:val="00750D3F"/>
    <w:rsid w:val="007527DF"/>
    <w:rsid w:val="00752F3E"/>
    <w:rsid w:val="00753334"/>
    <w:rsid w:val="00755E8D"/>
    <w:rsid w:val="0075665A"/>
    <w:rsid w:val="00762B62"/>
    <w:rsid w:val="00766EF0"/>
    <w:rsid w:val="0076709A"/>
    <w:rsid w:val="00767F94"/>
    <w:rsid w:val="007726A0"/>
    <w:rsid w:val="00774B57"/>
    <w:rsid w:val="007804E8"/>
    <w:rsid w:val="007822C1"/>
    <w:rsid w:val="0078424A"/>
    <w:rsid w:val="00785BB5"/>
    <w:rsid w:val="007878F6"/>
    <w:rsid w:val="007910BC"/>
    <w:rsid w:val="00792B83"/>
    <w:rsid w:val="007939F6"/>
    <w:rsid w:val="007A51E1"/>
    <w:rsid w:val="007B7531"/>
    <w:rsid w:val="007C27DD"/>
    <w:rsid w:val="007C32E1"/>
    <w:rsid w:val="007C57EA"/>
    <w:rsid w:val="007C5DF2"/>
    <w:rsid w:val="007D1DAE"/>
    <w:rsid w:val="007D549F"/>
    <w:rsid w:val="007E05FE"/>
    <w:rsid w:val="007E4901"/>
    <w:rsid w:val="007F0576"/>
    <w:rsid w:val="007F110D"/>
    <w:rsid w:val="007F239A"/>
    <w:rsid w:val="00804B2C"/>
    <w:rsid w:val="00806416"/>
    <w:rsid w:val="00807D90"/>
    <w:rsid w:val="00814E5E"/>
    <w:rsid w:val="00824280"/>
    <w:rsid w:val="00833D03"/>
    <w:rsid w:val="00853859"/>
    <w:rsid w:val="00855C4D"/>
    <w:rsid w:val="00857D3E"/>
    <w:rsid w:val="00885CC6"/>
    <w:rsid w:val="00891194"/>
    <w:rsid w:val="0089667B"/>
    <w:rsid w:val="008A27E1"/>
    <w:rsid w:val="008A6810"/>
    <w:rsid w:val="008A7D33"/>
    <w:rsid w:val="008B3793"/>
    <w:rsid w:val="008B624A"/>
    <w:rsid w:val="008C4797"/>
    <w:rsid w:val="008C5B7B"/>
    <w:rsid w:val="008D003C"/>
    <w:rsid w:val="008D1D89"/>
    <w:rsid w:val="008D5669"/>
    <w:rsid w:val="008E1A1B"/>
    <w:rsid w:val="008F29E4"/>
    <w:rsid w:val="008F3F8C"/>
    <w:rsid w:val="00900A2C"/>
    <w:rsid w:val="00902855"/>
    <w:rsid w:val="00910B5D"/>
    <w:rsid w:val="009125F9"/>
    <w:rsid w:val="00921B39"/>
    <w:rsid w:val="009242CA"/>
    <w:rsid w:val="00924937"/>
    <w:rsid w:val="009249BA"/>
    <w:rsid w:val="00931EBE"/>
    <w:rsid w:val="00932AA0"/>
    <w:rsid w:val="0094420F"/>
    <w:rsid w:val="00946C5C"/>
    <w:rsid w:val="009605FD"/>
    <w:rsid w:val="009649F6"/>
    <w:rsid w:val="0096505E"/>
    <w:rsid w:val="00965A74"/>
    <w:rsid w:val="00967D5B"/>
    <w:rsid w:val="00984E8C"/>
    <w:rsid w:val="009857CC"/>
    <w:rsid w:val="00996137"/>
    <w:rsid w:val="0099711F"/>
    <w:rsid w:val="009A1AA2"/>
    <w:rsid w:val="009A3A05"/>
    <w:rsid w:val="009B5C11"/>
    <w:rsid w:val="009B65AD"/>
    <w:rsid w:val="009C7B0E"/>
    <w:rsid w:val="009D661C"/>
    <w:rsid w:val="009D6E43"/>
    <w:rsid w:val="009E1C70"/>
    <w:rsid w:val="009E361F"/>
    <w:rsid w:val="009E74BE"/>
    <w:rsid w:val="009E7E66"/>
    <w:rsid w:val="009F567E"/>
    <w:rsid w:val="00A00E11"/>
    <w:rsid w:val="00A0288C"/>
    <w:rsid w:val="00A06570"/>
    <w:rsid w:val="00A142CF"/>
    <w:rsid w:val="00A17713"/>
    <w:rsid w:val="00A3067F"/>
    <w:rsid w:val="00A3666D"/>
    <w:rsid w:val="00A43675"/>
    <w:rsid w:val="00A43EDE"/>
    <w:rsid w:val="00A445F4"/>
    <w:rsid w:val="00A45340"/>
    <w:rsid w:val="00A64739"/>
    <w:rsid w:val="00A67683"/>
    <w:rsid w:val="00A77A55"/>
    <w:rsid w:val="00A8069B"/>
    <w:rsid w:val="00A82B34"/>
    <w:rsid w:val="00A93AA8"/>
    <w:rsid w:val="00A94125"/>
    <w:rsid w:val="00A94A34"/>
    <w:rsid w:val="00A97D50"/>
    <w:rsid w:val="00AA1680"/>
    <w:rsid w:val="00AA576C"/>
    <w:rsid w:val="00AB23EB"/>
    <w:rsid w:val="00AC4D47"/>
    <w:rsid w:val="00AC5A66"/>
    <w:rsid w:val="00AD14E2"/>
    <w:rsid w:val="00AD43DA"/>
    <w:rsid w:val="00AD4A30"/>
    <w:rsid w:val="00AE03D4"/>
    <w:rsid w:val="00AE4B81"/>
    <w:rsid w:val="00AF2308"/>
    <w:rsid w:val="00AF3C57"/>
    <w:rsid w:val="00B0136E"/>
    <w:rsid w:val="00B01DEE"/>
    <w:rsid w:val="00B14A03"/>
    <w:rsid w:val="00B16BF0"/>
    <w:rsid w:val="00B203D8"/>
    <w:rsid w:val="00B24DB7"/>
    <w:rsid w:val="00B31AA0"/>
    <w:rsid w:val="00B37374"/>
    <w:rsid w:val="00B37AA3"/>
    <w:rsid w:val="00B450BB"/>
    <w:rsid w:val="00B54853"/>
    <w:rsid w:val="00B63A42"/>
    <w:rsid w:val="00B832A8"/>
    <w:rsid w:val="00B87136"/>
    <w:rsid w:val="00BA029B"/>
    <w:rsid w:val="00BA3151"/>
    <w:rsid w:val="00BA55F3"/>
    <w:rsid w:val="00BA72FD"/>
    <w:rsid w:val="00BB321D"/>
    <w:rsid w:val="00BB7A05"/>
    <w:rsid w:val="00BC6310"/>
    <w:rsid w:val="00BD3BEC"/>
    <w:rsid w:val="00BE178B"/>
    <w:rsid w:val="00BF1B99"/>
    <w:rsid w:val="00BF58AA"/>
    <w:rsid w:val="00BF6AF3"/>
    <w:rsid w:val="00C03AEA"/>
    <w:rsid w:val="00C04C41"/>
    <w:rsid w:val="00C05AF2"/>
    <w:rsid w:val="00C06D62"/>
    <w:rsid w:val="00C10F7A"/>
    <w:rsid w:val="00C208D0"/>
    <w:rsid w:val="00C4019B"/>
    <w:rsid w:val="00C5377B"/>
    <w:rsid w:val="00C60141"/>
    <w:rsid w:val="00C65605"/>
    <w:rsid w:val="00C72C6E"/>
    <w:rsid w:val="00C82901"/>
    <w:rsid w:val="00C86689"/>
    <w:rsid w:val="00C90306"/>
    <w:rsid w:val="00C928D9"/>
    <w:rsid w:val="00C92F55"/>
    <w:rsid w:val="00C97BD9"/>
    <w:rsid w:val="00CA1C3E"/>
    <w:rsid w:val="00CA4985"/>
    <w:rsid w:val="00CA7110"/>
    <w:rsid w:val="00CB063F"/>
    <w:rsid w:val="00CB0F15"/>
    <w:rsid w:val="00CB46A6"/>
    <w:rsid w:val="00CB6FC0"/>
    <w:rsid w:val="00CC15AA"/>
    <w:rsid w:val="00CC1D0E"/>
    <w:rsid w:val="00CC1DA3"/>
    <w:rsid w:val="00CC4387"/>
    <w:rsid w:val="00CC6A6A"/>
    <w:rsid w:val="00CD0E52"/>
    <w:rsid w:val="00CD3655"/>
    <w:rsid w:val="00CD4C40"/>
    <w:rsid w:val="00CD5423"/>
    <w:rsid w:val="00CE00DD"/>
    <w:rsid w:val="00CE2A4B"/>
    <w:rsid w:val="00D01F45"/>
    <w:rsid w:val="00D03253"/>
    <w:rsid w:val="00D074D5"/>
    <w:rsid w:val="00D1606B"/>
    <w:rsid w:val="00D362F5"/>
    <w:rsid w:val="00D36DC5"/>
    <w:rsid w:val="00D422A7"/>
    <w:rsid w:val="00D475D2"/>
    <w:rsid w:val="00D576CD"/>
    <w:rsid w:val="00D60A72"/>
    <w:rsid w:val="00D62A7A"/>
    <w:rsid w:val="00D62B54"/>
    <w:rsid w:val="00D77E1B"/>
    <w:rsid w:val="00D80A8A"/>
    <w:rsid w:val="00D87BC0"/>
    <w:rsid w:val="00D87DF4"/>
    <w:rsid w:val="00D93D2E"/>
    <w:rsid w:val="00D97E47"/>
    <w:rsid w:val="00DA14C6"/>
    <w:rsid w:val="00DA441F"/>
    <w:rsid w:val="00DB2AB6"/>
    <w:rsid w:val="00DB70F0"/>
    <w:rsid w:val="00DC6A10"/>
    <w:rsid w:val="00DD0741"/>
    <w:rsid w:val="00DD0D31"/>
    <w:rsid w:val="00DD1B8F"/>
    <w:rsid w:val="00DD4AB4"/>
    <w:rsid w:val="00DE06BD"/>
    <w:rsid w:val="00DE4FD2"/>
    <w:rsid w:val="00DE6EE2"/>
    <w:rsid w:val="00DF115B"/>
    <w:rsid w:val="00DF1F35"/>
    <w:rsid w:val="00E0358A"/>
    <w:rsid w:val="00E03D9A"/>
    <w:rsid w:val="00E042BC"/>
    <w:rsid w:val="00E04C29"/>
    <w:rsid w:val="00E04FB0"/>
    <w:rsid w:val="00E05112"/>
    <w:rsid w:val="00E130AC"/>
    <w:rsid w:val="00E166A4"/>
    <w:rsid w:val="00E16C89"/>
    <w:rsid w:val="00E22CF1"/>
    <w:rsid w:val="00E273E6"/>
    <w:rsid w:val="00E320C3"/>
    <w:rsid w:val="00E33524"/>
    <w:rsid w:val="00E34929"/>
    <w:rsid w:val="00E403B2"/>
    <w:rsid w:val="00E4099A"/>
    <w:rsid w:val="00E540A6"/>
    <w:rsid w:val="00E57F02"/>
    <w:rsid w:val="00E62C53"/>
    <w:rsid w:val="00E66080"/>
    <w:rsid w:val="00E66EBD"/>
    <w:rsid w:val="00E732AD"/>
    <w:rsid w:val="00EA0CA5"/>
    <w:rsid w:val="00EA2D07"/>
    <w:rsid w:val="00EA685C"/>
    <w:rsid w:val="00EA7D0D"/>
    <w:rsid w:val="00EB76AF"/>
    <w:rsid w:val="00EC1135"/>
    <w:rsid w:val="00EC3666"/>
    <w:rsid w:val="00EC607C"/>
    <w:rsid w:val="00EC652F"/>
    <w:rsid w:val="00ED48B4"/>
    <w:rsid w:val="00EE06CF"/>
    <w:rsid w:val="00EE6DBD"/>
    <w:rsid w:val="00EF351B"/>
    <w:rsid w:val="00EF656B"/>
    <w:rsid w:val="00F03E26"/>
    <w:rsid w:val="00F101AF"/>
    <w:rsid w:val="00F1124E"/>
    <w:rsid w:val="00F177C0"/>
    <w:rsid w:val="00F2559E"/>
    <w:rsid w:val="00F30E2C"/>
    <w:rsid w:val="00F33850"/>
    <w:rsid w:val="00F36CF9"/>
    <w:rsid w:val="00F4141F"/>
    <w:rsid w:val="00F43836"/>
    <w:rsid w:val="00F468A6"/>
    <w:rsid w:val="00F57AAE"/>
    <w:rsid w:val="00F60251"/>
    <w:rsid w:val="00F610B7"/>
    <w:rsid w:val="00F61D21"/>
    <w:rsid w:val="00F73F57"/>
    <w:rsid w:val="00F75563"/>
    <w:rsid w:val="00F75A4E"/>
    <w:rsid w:val="00F807DA"/>
    <w:rsid w:val="00F84266"/>
    <w:rsid w:val="00F86E42"/>
    <w:rsid w:val="00F93C55"/>
    <w:rsid w:val="00FA0061"/>
    <w:rsid w:val="00FA029D"/>
    <w:rsid w:val="00FA396D"/>
    <w:rsid w:val="00FB14AC"/>
    <w:rsid w:val="00FB1A6D"/>
    <w:rsid w:val="00FB2434"/>
    <w:rsid w:val="00FB581E"/>
    <w:rsid w:val="00FB69A2"/>
    <w:rsid w:val="00FC0CD2"/>
    <w:rsid w:val="00FC30C0"/>
    <w:rsid w:val="00FC6535"/>
    <w:rsid w:val="00FC67A9"/>
    <w:rsid w:val="00FD0F0C"/>
    <w:rsid w:val="00FD1ECE"/>
    <w:rsid w:val="00FD3280"/>
    <w:rsid w:val="00FF0D56"/>
    <w:rsid w:val="00FF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9393"/>
    <o:shapelayout v:ext="edit">
      <o:idmap v:ext="edit" data="1"/>
    </o:shapelayout>
  </w:shapeDefaults>
  <w:decimalSymbol w:val=","/>
  <w:listSeparator w:val=";"/>
  <w14:docId w14:val="3E8FE8CC"/>
  <w15:chartTrackingRefBased/>
  <w15:docId w15:val="{6F28ADE5-E8CC-40C5-B750-D9FAE6D9A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08C3"/>
    <w:pPr>
      <w:spacing w:after="80" w:line="240" w:lineRule="auto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1606B"/>
    <w:pPr>
      <w:keepNext/>
      <w:keepLines/>
      <w:numPr>
        <w:numId w:val="7"/>
      </w:numPr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1606B"/>
    <w:pPr>
      <w:keepNext/>
      <w:keepLines/>
      <w:numPr>
        <w:ilvl w:val="1"/>
        <w:numId w:val="7"/>
      </w:numPr>
      <w:spacing w:before="120" w:after="6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1606B"/>
    <w:pPr>
      <w:keepNext/>
      <w:keepLines/>
      <w:numPr>
        <w:ilvl w:val="2"/>
        <w:numId w:val="7"/>
      </w:numPr>
      <w:spacing w:before="60" w:after="6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A396D"/>
    <w:pPr>
      <w:keepNext/>
      <w:keepLines/>
      <w:numPr>
        <w:ilvl w:val="3"/>
        <w:numId w:val="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1606B"/>
    <w:pPr>
      <w:keepNext/>
      <w:keepLines/>
      <w:numPr>
        <w:ilvl w:val="4"/>
        <w:numId w:val="7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1606B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1606B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1606B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1606B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8426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84266"/>
  </w:style>
  <w:style w:type="paragraph" w:styleId="Zpat">
    <w:name w:val="footer"/>
    <w:basedOn w:val="Normln"/>
    <w:link w:val="ZpatChar"/>
    <w:uiPriority w:val="99"/>
    <w:unhideWhenUsed/>
    <w:rsid w:val="00F8426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84266"/>
  </w:style>
  <w:style w:type="character" w:styleId="Hypertextovodkaz">
    <w:name w:val="Hyperlink"/>
    <w:basedOn w:val="Standardnpsmoodstavce"/>
    <w:uiPriority w:val="99"/>
    <w:unhideWhenUsed/>
    <w:rsid w:val="00F84266"/>
    <w:rPr>
      <w:color w:val="0563C1" w:themeColor="hyperlink"/>
      <w:u w:val="single"/>
    </w:rPr>
  </w:style>
  <w:style w:type="paragraph" w:customStyle="1" w:styleId="Default">
    <w:name w:val="Default"/>
    <w:rsid w:val="00F73F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73F57"/>
    <w:pPr>
      <w:ind w:left="720"/>
      <w:contextualSpacing/>
    </w:pPr>
  </w:style>
  <w:style w:type="paragraph" w:styleId="Titulek">
    <w:name w:val="caption"/>
    <w:basedOn w:val="Normln"/>
    <w:next w:val="Normln"/>
    <w:link w:val="TitulekChar"/>
    <w:uiPriority w:val="35"/>
    <w:unhideWhenUsed/>
    <w:qFormat/>
    <w:rsid w:val="00E130AC"/>
    <w:pPr>
      <w:spacing w:before="120" w:after="120"/>
    </w:pPr>
    <w:rPr>
      <w:i/>
      <w:iCs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D1606B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D1606B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1606B"/>
    <w:rPr>
      <w:rFonts w:asciiTheme="majorHAnsi" w:eastAsiaTheme="majorEastAsia" w:hAnsiTheme="majorHAnsi" w:cstheme="majorBidi"/>
      <w:b/>
      <w:sz w:val="24"/>
      <w:szCs w:val="24"/>
    </w:rPr>
  </w:style>
  <w:style w:type="paragraph" w:customStyle="1" w:styleId="OLUSNADPIS">
    <w:name w:val="OLUS NADPIS"/>
    <w:basedOn w:val="Normln"/>
    <w:rsid w:val="002E6B5A"/>
    <w:pPr>
      <w:keepNext/>
      <w:numPr>
        <w:numId w:val="2"/>
      </w:numPr>
      <w:spacing w:before="240" w:after="120" w:line="276" w:lineRule="auto"/>
    </w:pPr>
    <w:rPr>
      <w:rFonts w:ascii="Arial" w:eastAsia="MS Mincho" w:hAnsi="Arial" w:cs="Times New Roman"/>
      <w:b/>
      <w:sz w:val="28"/>
      <w:szCs w:val="28"/>
      <w:lang w:val="en-US" w:bidi="en-US"/>
    </w:rPr>
  </w:style>
  <w:style w:type="paragraph" w:customStyle="1" w:styleId="OLUSpodnadpis">
    <w:name w:val="OLUS podnadpis"/>
    <w:basedOn w:val="Normln"/>
    <w:rsid w:val="002E6B5A"/>
    <w:pPr>
      <w:keepNext/>
      <w:numPr>
        <w:ilvl w:val="1"/>
        <w:numId w:val="2"/>
      </w:numPr>
      <w:spacing w:before="240" w:after="120" w:line="276" w:lineRule="auto"/>
    </w:pPr>
    <w:rPr>
      <w:rFonts w:ascii="Arial" w:eastAsia="MS Mincho" w:hAnsi="Arial" w:cs="Times New Roman"/>
      <w:sz w:val="28"/>
      <w:szCs w:val="28"/>
      <w:lang w:val="en-US" w:bidi="en-US"/>
    </w:rPr>
  </w:style>
  <w:style w:type="paragraph" w:customStyle="1" w:styleId="OLUSdruhypodnadpis">
    <w:name w:val="OLUS druhy podnadpis"/>
    <w:basedOn w:val="OLUSpodnadpis"/>
    <w:rsid w:val="002E6B5A"/>
    <w:pPr>
      <w:numPr>
        <w:ilvl w:val="2"/>
      </w:numPr>
    </w:pPr>
  </w:style>
  <w:style w:type="paragraph" w:customStyle="1" w:styleId="OLUStrtetipodnadpis">
    <w:name w:val="OLUS trteti podnadpis"/>
    <w:basedOn w:val="OLUSdruhypodnadpis"/>
    <w:rsid w:val="002E6B5A"/>
    <w:pPr>
      <w:numPr>
        <w:ilvl w:val="3"/>
      </w:numPr>
    </w:pPr>
  </w:style>
  <w:style w:type="character" w:customStyle="1" w:styleId="TitulekChar">
    <w:name w:val="Titulek Char"/>
    <w:link w:val="Titulek"/>
    <w:uiPriority w:val="35"/>
    <w:rsid w:val="00E130AC"/>
    <w:rPr>
      <w:i/>
      <w:iCs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"/>
    <w:rsid w:val="00FA396D"/>
    <w:rPr>
      <w:rFonts w:asciiTheme="majorHAnsi" w:eastAsiaTheme="majorEastAsia" w:hAnsiTheme="majorHAnsi" w:cstheme="majorBidi"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1606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1606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1606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160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160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A06570"/>
    <w:pPr>
      <w:numPr>
        <w:numId w:val="0"/>
      </w:numPr>
      <w:jc w:val="left"/>
      <w:outlineLvl w:val="9"/>
    </w:pPr>
    <w:rPr>
      <w:b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0657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0657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06570"/>
    <w:pPr>
      <w:spacing w:after="100"/>
      <w:ind w:left="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0325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3253"/>
    <w:rPr>
      <w:rFonts w:ascii="Segoe UI" w:hAnsi="Segoe UI" w:cs="Segoe UI"/>
      <w:sz w:val="18"/>
      <w:szCs w:val="18"/>
    </w:rPr>
  </w:style>
  <w:style w:type="paragraph" w:customStyle="1" w:styleId="Textdokumentu">
    <w:name w:val="Text dokumentu"/>
    <w:basedOn w:val="Normln"/>
    <w:rsid w:val="00A43EDE"/>
    <w:pPr>
      <w:suppressAutoHyphens/>
      <w:spacing w:before="113" w:after="113" w:line="276" w:lineRule="auto"/>
    </w:pPr>
    <w:rPr>
      <w:rFonts w:ascii="Times New Roman" w:eastAsia="Times New Roman" w:hAnsi="Times New Roman" w:cs="Times New Roman"/>
      <w:sz w:val="23"/>
      <w:szCs w:val="24"/>
      <w:lang w:eastAsia="ar-SA"/>
    </w:rPr>
  </w:style>
  <w:style w:type="paragraph" w:styleId="Revize">
    <w:name w:val="Revision"/>
    <w:hidden/>
    <w:uiPriority w:val="99"/>
    <w:semiHidden/>
    <w:rsid w:val="00B01DEE"/>
    <w:pPr>
      <w:spacing w:after="0" w:line="240" w:lineRule="auto"/>
    </w:pPr>
  </w:style>
  <w:style w:type="paragraph" w:customStyle="1" w:styleId="paragraph">
    <w:name w:val="paragraph"/>
    <w:basedOn w:val="Normln"/>
    <w:rsid w:val="00E03D9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E03D9A"/>
  </w:style>
  <w:style w:type="character" w:customStyle="1" w:styleId="eop">
    <w:name w:val="eop"/>
    <w:basedOn w:val="Standardnpsmoodstavce"/>
    <w:rsid w:val="00E03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36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8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63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4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header" Target="header1.xml"/><Relationship Id="rId39" Type="http://schemas.openxmlformats.org/officeDocument/2006/relationships/image" Target="media/image30.emf"/><Relationship Id="rId21" Type="http://schemas.openxmlformats.org/officeDocument/2006/relationships/image" Target="media/image14.emf"/><Relationship Id="rId34" Type="http://schemas.openxmlformats.org/officeDocument/2006/relationships/image" Target="media/image25.emf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image" Target="media/image20.emf"/><Relationship Id="rId41" Type="http://schemas.openxmlformats.org/officeDocument/2006/relationships/image" Target="media/image3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7.emf"/><Relationship Id="rId32" Type="http://schemas.openxmlformats.org/officeDocument/2006/relationships/image" Target="media/image23.jpeg"/><Relationship Id="rId37" Type="http://schemas.openxmlformats.org/officeDocument/2006/relationships/image" Target="media/image28.emf"/><Relationship Id="rId40" Type="http://schemas.openxmlformats.org/officeDocument/2006/relationships/image" Target="media/image31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19.emf"/><Relationship Id="rId36" Type="http://schemas.openxmlformats.org/officeDocument/2006/relationships/image" Target="media/image27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image" Target="media/image2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footer" Target="footer1.xml"/><Relationship Id="rId30" Type="http://schemas.openxmlformats.org/officeDocument/2006/relationships/image" Target="media/image21.emf"/><Relationship Id="rId35" Type="http://schemas.openxmlformats.org/officeDocument/2006/relationships/image" Target="media/image26.emf"/><Relationship Id="rId43" Type="http://schemas.openxmlformats.org/officeDocument/2006/relationships/theme" Target="theme/theme1.xml"/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8.emf"/><Relationship Id="rId33" Type="http://schemas.openxmlformats.org/officeDocument/2006/relationships/image" Target="media/image24.emf"/><Relationship Id="rId38" Type="http://schemas.openxmlformats.org/officeDocument/2006/relationships/image" Target="media/image29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06721-1475-4DE0-ABB5-602C5A7F3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34</Pages>
  <Words>9751</Words>
  <Characters>57536</Characters>
  <Application>Microsoft Office Word</Application>
  <DocSecurity>0</DocSecurity>
  <Lines>479</Lines>
  <Paragraphs>134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Tomáš Funk</dc:creator>
  <cp:keywords/>
  <dc:description/>
  <cp:lastModifiedBy> </cp:lastModifiedBy>
  <cp:revision>13</cp:revision>
  <cp:lastPrinted>2020-03-17T16:19:00Z</cp:lastPrinted>
  <dcterms:created xsi:type="dcterms:W3CDTF">2020-02-26T13:06:00Z</dcterms:created>
  <dcterms:modified xsi:type="dcterms:W3CDTF">2020-04-14T13:27:00Z</dcterms:modified>
</cp:coreProperties>
</file>