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7F5637">
      <w:pPr>
        <w:pStyle w:val="Titul1"/>
      </w:pPr>
      <w:r>
        <w:t>SMLOUVA O DÍLO NA ZHOTOVENÍ STAVBY</w:t>
      </w:r>
      <w:r w:rsidR="00485CE8">
        <w:t xml:space="preserve"> </w:t>
      </w:r>
    </w:p>
    <w:p w14:paraId="7D32551D" w14:textId="39C75AF5" w:rsidR="00F422D3" w:rsidRDefault="00F422D3" w:rsidP="00081405">
      <w:pPr>
        <w:pStyle w:val="Titul2"/>
        <w:jc w:val="both"/>
      </w:pPr>
      <w:r>
        <w:t>Název zakázky: „</w:t>
      </w:r>
      <w:r w:rsidR="004B4A09" w:rsidRPr="004B4A09">
        <w:t>Nový Bor, Libuň, Lučany, Višňová, Zákupy, Železný Brod – demolice (strážní domky, provozní objekty)</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spojení: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59796F5E" w:rsidR="00D77605" w:rsidRDefault="002E052B" w:rsidP="00081405">
      <w:pPr>
        <w:pStyle w:val="Textbezodsazen"/>
        <w:tabs>
          <w:tab w:val="left" w:pos="1843"/>
        </w:tabs>
        <w:spacing w:after="0"/>
      </w:pPr>
      <w:r>
        <w:t>ev. č. registru VZ:</w:t>
      </w:r>
      <w:r>
        <w:tab/>
      </w:r>
      <w:r w:rsidR="006C1EC0">
        <w:t>64022066</w:t>
      </w:r>
      <w:bookmarkStart w:id="1" w:name="_GoBack"/>
      <w:bookmarkEnd w:id="1"/>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3"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3"/>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spojení: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7C3F4628" w14:textId="54091388" w:rsidR="00F24489" w:rsidRDefault="00F24489" w:rsidP="004B4A09">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6C1EC0">
        <w:t>64022066</w:t>
      </w:r>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4B4A09" w:rsidRPr="004B4A09">
        <w:t>Nový Bor, Libuň, Lučany, Višňová, Zákupy, Železný Brod – demolice (strážní domky, provozní objekty)</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r w:rsidRPr="00F97DBD">
        <w:t xml:space="preserve"> </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lastRenderedPageBreak/>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4DD7D551" w:rsidR="00F24489" w:rsidRDefault="00F24489" w:rsidP="00081405">
      <w:pPr>
        <w:pStyle w:val="Textbezslovn"/>
      </w:pPr>
      <w:r w:rsidRPr="004B4A09">
        <w:t>Rozpis Ceny Díla dle jednotlivých položek je uveden v Příloze č. 4 této Smlouvy.</w:t>
      </w:r>
    </w:p>
    <w:p w14:paraId="5F7F2D80" w14:textId="64746B9F" w:rsidR="00F24489" w:rsidRPr="004B4A09" w:rsidRDefault="00F24489" w:rsidP="00081405">
      <w:pPr>
        <w:pStyle w:val="Text1-1"/>
      </w:pPr>
      <w:r w:rsidRPr="00F97DBD">
        <w:t>Smluvní strany se dohodly, že Zhotovitel na sebe přebí</w:t>
      </w:r>
      <w:r w:rsidR="00805BFF">
        <w:t>rá nebezpečí změny okolností ve </w:t>
      </w:r>
      <w:r w:rsidRPr="00F97DBD">
        <w:t>smyslu ust. § 1765 odst. 2 a § 2620 odst. 2 občanského zákoníku. Tzn., že</w:t>
      </w:r>
      <w:r w:rsidR="00EF33B0">
        <w:t> </w:t>
      </w:r>
      <w:r w:rsidRPr="00F97DBD">
        <w:t>Zhotoviteli nevznikne vůči Objednateli při změně okolností práv</w:t>
      </w:r>
      <w:r w:rsidR="00805BFF">
        <w:t xml:space="preserve">o domáhat se obnovení jednání </w:t>
      </w:r>
      <w:r w:rsidR="00805BFF" w:rsidRPr="004B4A09">
        <w:t>o </w:t>
      </w:r>
      <w:r w:rsidRPr="004B4A09">
        <w:t>Smlouvě ani zvýšení Ceny za Dílo ani zrušení Smlouvy.</w:t>
      </w:r>
    </w:p>
    <w:p w14:paraId="2D017486" w14:textId="77777777" w:rsidR="00F24489" w:rsidRPr="004B4A09" w:rsidRDefault="00F24489" w:rsidP="00081405">
      <w:pPr>
        <w:pStyle w:val="Text1-1"/>
      </w:pPr>
      <w:r w:rsidRPr="004B4A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B4A09">
        <w:rPr>
          <w:rStyle w:val="OdstavecsmlouvyChar"/>
          <w:rFonts w:eastAsiaTheme="minorHAnsi"/>
        </w:rPr>
        <w:t xml:space="preserve"> </w:t>
      </w:r>
      <w:r w:rsidRPr="004B4A0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Zahájení stavebních prací: dnem předání Staveniště dle odst. 4.1.1 Přílohy č.2 b) Smlouvy.</w:t>
      </w:r>
    </w:p>
    <w:p w14:paraId="0BD62631" w14:textId="14E663E2" w:rsidR="00F24489" w:rsidRPr="004B4A09" w:rsidRDefault="00F24489" w:rsidP="00081405">
      <w:pPr>
        <w:pStyle w:val="Textbezslovn"/>
        <w:rPr>
          <w:b/>
        </w:rPr>
      </w:pPr>
      <w:r w:rsidRPr="00F24489">
        <w:rPr>
          <w:b/>
        </w:rPr>
        <w:t xml:space="preserve">Celková lhůta pro dokončení Díla činí celkem </w:t>
      </w:r>
      <w:r w:rsidR="004B4A09" w:rsidRPr="004B4A09">
        <w:rPr>
          <w:b/>
        </w:rPr>
        <w:t>4</w:t>
      </w:r>
      <w:r w:rsidRPr="004B4A09">
        <w:rPr>
          <w:b/>
        </w:rPr>
        <w:t xml:space="preserve"> měsíc</w:t>
      </w:r>
      <w:r w:rsidR="004B4A09" w:rsidRPr="004B4A09">
        <w:rPr>
          <w:b/>
        </w:rPr>
        <w:t>e</w:t>
      </w:r>
      <w:r w:rsidRPr="004B4A09">
        <w:rPr>
          <w:b/>
        </w:rPr>
        <w:t xml:space="preserve"> ode Dne zahájení stavebních prací (dokladem prokazujícím, že Zh</w:t>
      </w:r>
      <w:r w:rsidR="00805BFF" w:rsidRPr="004B4A09">
        <w:rPr>
          <w:b/>
        </w:rPr>
        <w:t>otovitel dokončil celé Dílo, je </w:t>
      </w:r>
      <w:r w:rsidRPr="004B4A09">
        <w:rPr>
          <w:b/>
        </w:rPr>
        <w:t>Předávací protokol dle odst. 10.4 Obchodních podmínek).</w:t>
      </w:r>
    </w:p>
    <w:p w14:paraId="355A0561" w14:textId="25994191" w:rsidR="009A0C40" w:rsidRPr="003F35F3" w:rsidRDefault="00F24489" w:rsidP="004B4A09">
      <w:pPr>
        <w:pStyle w:val="Textbezslovn"/>
      </w:pPr>
      <w:r w:rsidRPr="004B4A09">
        <w:t xml:space="preserve">Lhůta pro dokončení stavebních prací činí celkem </w:t>
      </w:r>
      <w:r w:rsidR="004B4A09" w:rsidRPr="004B4A09">
        <w:rPr>
          <w:b/>
        </w:rPr>
        <w:t>3</w:t>
      </w:r>
      <w:r w:rsidRPr="004B4A09">
        <w:rPr>
          <w:b/>
        </w:rPr>
        <w:t xml:space="preserve"> měsíc</w:t>
      </w:r>
      <w:r w:rsidR="004B4A09" w:rsidRPr="004B4A09">
        <w:rPr>
          <w:b/>
        </w:rPr>
        <w:t>e</w:t>
      </w:r>
      <w:r w:rsidRPr="004B4A09">
        <w:t xml:space="preserve"> ode dne zahájení stavebních prací (dokladem prokazujícím, že Zhotovitel dokončil stavební práce</w:t>
      </w:r>
      <w:r w:rsidRPr="001821EF">
        <w:t xml:space="preserv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r w:rsidRPr="00F97DBD">
        <w:t>Ust. § 2605 odst. 1 a ust. § 2628 občanského zákoníku se nepoužije. Dílo je provedeno tehdy, je-li dokončeno řádně a včas a Objednatelem převzato sjednaným způsobem.</w:t>
      </w:r>
    </w:p>
    <w:p w14:paraId="30C44A40" w14:textId="19011862" w:rsidR="00F24489" w:rsidRPr="004B4A09" w:rsidRDefault="00F24489" w:rsidP="004B4A0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w:t>
      </w:r>
      <w:r>
        <w:lastRenderedPageBreak/>
        <w:t>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w:t>
      </w:r>
      <w:r w:rsidR="00EF33B0">
        <w:t> </w:t>
      </w:r>
      <w:r>
        <w:t xml:space="preserve">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4B4A09">
        <w:t>Smluvní strany se dohodly, že</w:t>
      </w:r>
      <w:r w:rsidR="00EF33B0" w:rsidRPr="004B4A09">
        <w:t> </w:t>
      </w:r>
      <w:r w:rsidRPr="004B4A09">
        <w:t>dokumentaci skutečného provedení Zhotovitel nevyhotovuje a nepředává Objednateli. Ustanovení Obchodních podmínek týkající se dokumentace skutečného provedení se nepoužijí.</w:t>
      </w:r>
    </w:p>
    <w:p w14:paraId="75613D22" w14:textId="3FCCF784" w:rsidR="00F24489" w:rsidRPr="009E204E" w:rsidRDefault="004B4A09" w:rsidP="00081405">
      <w:pPr>
        <w:pStyle w:val="Text1-1"/>
      </w:pPr>
      <w:r>
        <w:t>Neobsazeno</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7606B0D0" w:rsidR="00214C3E" w:rsidRPr="00BA17AE" w:rsidRDefault="00214C3E" w:rsidP="00081405">
      <w:pPr>
        <w:pStyle w:val="Text1-1"/>
      </w:pPr>
      <w:r w:rsidRPr="00BA17AE">
        <w:t>Objednatel nepožaduje předložení bankovní záruky za provedení Díla dle čl. 14 Obchodních podmínek ani bankovní záruky za odstranění vad dle čl. 15 Obchodní</w:t>
      </w:r>
      <w:r w:rsidR="004B4A09">
        <w:t>ch podmínek, ustanovení čl. 14,</w:t>
      </w:r>
      <w:r w:rsidRPr="00BA17AE">
        <w:t xml:space="preserve"> čl. 15, čl. 20.19 a čl. 21.1.3 Obchodních podmínek se tedy nepoužije.</w:t>
      </w:r>
    </w:p>
    <w:p w14:paraId="785E81FC" w14:textId="13AF95B9" w:rsidR="00214C3E" w:rsidRPr="00EC2473" w:rsidRDefault="00214C3E" w:rsidP="00EC2473">
      <w:pPr>
        <w:pStyle w:val="Text1-1"/>
      </w:pPr>
      <w:r w:rsidRPr="00EC2473">
        <w:t>Při realizaci Díla nejsou plánovány výluky. Pokud z důvodů na straně Zhotovitele bude nutné výluku realizovat, dohodly se Smluvní strany, že na takovouto výluku se uplatní ustanovení  odst. 3.15 a v odst. 3.17 Obchodních podmínek.</w:t>
      </w:r>
    </w:p>
    <w:p w14:paraId="33AC1E95" w14:textId="228134E7" w:rsidR="00214C3E" w:rsidRPr="002032B6" w:rsidRDefault="00214C3E" w:rsidP="00EC2473">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lastRenderedPageBreak/>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081405">
      <w:pPr>
        <w:pStyle w:val="Text1-1"/>
      </w:pPr>
      <w:r>
        <w:t>V bodě 7.5.3 Obchodních podmínek se lhůta upravuje na pět (5) dní.</w:t>
      </w:r>
    </w:p>
    <w:p w14:paraId="4FF42719" w14:textId="11A8DD97" w:rsidR="00214C3E" w:rsidRPr="00EC2473" w:rsidRDefault="00214C3E" w:rsidP="00F21D17">
      <w:pPr>
        <w:pStyle w:val="Text1-1"/>
      </w:pPr>
      <w:r w:rsidRPr="00EC2473">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v digitální podobě do datové schránky s identifikátorem Uccchjm,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Pernera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2520E847" w:rsidR="000E4714" w:rsidRPr="00FB6115" w:rsidRDefault="000E4714" w:rsidP="00081405">
      <w:pPr>
        <w:pStyle w:val="Text1-1"/>
      </w:pPr>
      <w:r w:rsidRPr="000E4714">
        <w:t xml:space="preserve">V bodech 14.8 a 15.3 Obchodních podmínek se text „dle odst. 5.6 Smlouvy“ nahrazuje textem „dle odst. </w:t>
      </w:r>
      <w:r w:rsidR="00154D3E">
        <w:t>8</w:t>
      </w:r>
      <w:r w:rsidRPr="000E4714">
        <w:t>.8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31D5766D" w:rsidR="00FB6115" w:rsidRDefault="00FB6115" w:rsidP="00081405">
      <w:pPr>
        <w:pStyle w:val="Text1-1"/>
      </w:pPr>
      <w:r w:rsidRPr="00FB6115">
        <w:t xml:space="preserve">V bodě 20.21 Obchodních podmínek se text „dle odst. 5.6 Smlouvy“ nahrazuje textem „dle odst. </w:t>
      </w:r>
      <w:r w:rsidR="00154D3E">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18042092" w:rsidR="00073B97" w:rsidRDefault="00073B97" w:rsidP="00081405">
      <w:pPr>
        <w:pStyle w:val="Text1-1"/>
      </w:pPr>
      <w:r w:rsidRPr="00073B97">
        <w:t xml:space="preserve">V bodě 21.1.13 Obchodních podmínek se text „dle odst. 5.6 Smlouvy“ nahrazuje textem „dle odst. </w:t>
      </w:r>
      <w:r w:rsidR="00154D3E">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Součet hodnot dle výše uvedeného písm.a) a písm.b) se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4D768C3E"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sidR="00FE74D4">
        <w:rPr>
          <w:rStyle w:val="Tun"/>
          <w:b w:val="0"/>
        </w:rPr>
        <w:t>y</w:t>
      </w:r>
      <w:r>
        <w:rPr>
          <w:rStyle w:val="Tun"/>
        </w:rPr>
        <w:t xml:space="preserve"> </w:t>
      </w:r>
      <w:r w:rsidR="00FE74D4">
        <w:rPr>
          <w:rStyle w:val="Tun"/>
          <w:b w:val="0"/>
        </w:rPr>
        <w:t>znevýhodněné</w:t>
      </w:r>
      <w:r w:rsidRPr="001008E2">
        <w:rPr>
          <w:rStyle w:val="Tun"/>
          <w:b w:val="0"/>
        </w:rPr>
        <w:t xml:space="preserve">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r w:rsidR="001623B8" w:rsidRPr="001623B8">
        <w:rPr>
          <w:bCs/>
        </w:rPr>
        <w:t>Pro výpočet fondu pracovních úkolů se nezohledňují pracovní dny v kalendářním měsíci, po které:</w:t>
      </w:r>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F8291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EA59DB8" w14:textId="3CDA50A8" w:rsidR="00595AAC" w:rsidRDefault="00595AAC" w:rsidP="00595AAC">
      <w:pPr>
        <w:pStyle w:val="Nadpis1-1"/>
        <w:numPr>
          <w:ilvl w:val="0"/>
          <w:numId w:val="0"/>
        </w:numPr>
        <w:ind w:left="737"/>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ustanoveními zákona dle ust. § 558 odst. 2 občanského zákoníku.</w:t>
      </w:r>
    </w:p>
    <w:p w14:paraId="2C6B8B68" w14:textId="0E4EE85C" w:rsidR="00214C3E" w:rsidRPr="00F97DBD" w:rsidRDefault="00214C3E" w:rsidP="00081405">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ust.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0BE06F" w14:textId="59C076E8" w:rsidR="00595AAC" w:rsidRDefault="00C7481D" w:rsidP="00081405">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0AF84BE6" w:rsidR="00214C3E" w:rsidRPr="00F97DBD" w:rsidRDefault="00214C3E" w:rsidP="00EC2473">
            <w:pPr>
              <w:pStyle w:val="Textbezslovn"/>
              <w:jc w:val="left"/>
            </w:pPr>
            <w:r w:rsidRPr="00F97DBD">
              <w:t xml:space="preserve">c) Zvláštní technické podmínky </w:t>
            </w:r>
            <w:r w:rsidR="00C72129">
              <w:t xml:space="preserve">ze dne </w:t>
            </w:r>
            <w:r w:rsidR="00EC2473">
              <w:t>17. 10. 2022</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6C1EC0"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CB3E364" w14:textId="78FD25B5" w:rsidR="00FC033A" w:rsidRDefault="007E56AB" w:rsidP="00081405">
      <w:pPr>
        <w:pStyle w:val="Textbezodsazen"/>
      </w:pPr>
      <w:r w:rsidRPr="00650D83">
        <w:rPr>
          <w:rFonts w:ascii="Verdana" w:hAnsi="Verdana" w:cstheme="minorHAnsi"/>
          <w:highlight w:val="yellow"/>
        </w:rPr>
        <w:t>Tato Smlouva byla uveřejněna prostřednictvím registru smluv dne …………………</w:t>
      </w:r>
    </w:p>
    <w:p w14:paraId="75C66629" w14:textId="0A272BCE" w:rsidR="007E56AB" w:rsidRDefault="007E56AB" w:rsidP="00081405">
      <w:pPr>
        <w:pStyle w:val="Textbezodsazen"/>
        <w:sectPr w:rsidR="007E56AB"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FD4429">
          <w:headerReference w:type="default" r:id="rId17"/>
          <w:footerReference w:type="default" r:id="rId18"/>
          <w:pgSz w:w="11906" w:h="16838" w:code="9"/>
          <w:pgMar w:top="1049" w:right="1134" w:bottom="1474" w:left="1418" w:header="595" w:footer="627" w:gutter="652"/>
          <w:pgNumType w:start="1"/>
          <w:cols w:space="708"/>
          <w:docGrid w:linePitch="360"/>
        </w:sectPr>
      </w:pPr>
    </w:p>
    <w:p w14:paraId="19206ED1" w14:textId="77777777" w:rsidR="00E463D2" w:rsidRPr="00F97DBD" w:rsidRDefault="00E463D2" w:rsidP="00081405">
      <w:pPr>
        <w:pStyle w:val="Nadpisbezsl1-1"/>
        <w:jc w:val="both"/>
      </w:pPr>
      <w:r w:rsidRPr="00F97DBD">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ust.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Smluvní strany podpisem této Smlouvy stvrzují, že jsou s obsahem Všeobecných technických podmínek plně seznámeny, a že v souladu s ust. § 1751 občanského zákoníku Všeobecné technické podmínky tvoří část obsahu Smlouvy.</w:t>
      </w:r>
    </w:p>
    <w:p w14:paraId="7F3675DC" w14:textId="68656E0B" w:rsidR="006C0BB6" w:rsidRDefault="00940F66" w:rsidP="00EC2473">
      <w:pPr>
        <w:pStyle w:val="Odstavec1-1a"/>
        <w:numPr>
          <w:ilvl w:val="0"/>
          <w:numId w:val="16"/>
        </w:numPr>
        <w:sectPr w:rsidR="006C0BB6" w:rsidSect="004D09FB">
          <w:headerReference w:type="default" r:id="rId19"/>
          <w:pgSz w:w="11906" w:h="16838" w:code="9"/>
          <w:pgMar w:top="1049" w:right="1134" w:bottom="1474" w:left="1418" w:header="595" w:footer="624" w:gutter="652"/>
          <w:pgNumType w:start="1"/>
          <w:cols w:space="708"/>
          <w:docGrid w:linePitch="360"/>
        </w:sectPr>
      </w:pPr>
      <w:r>
        <w:rPr>
          <w:b/>
        </w:rPr>
        <w:t>Zvláštní technické podmínky ze dne</w:t>
      </w:r>
      <w:r w:rsidR="00236CEB">
        <w:rPr>
          <w:b/>
        </w:rPr>
        <w:t xml:space="preserve"> </w:t>
      </w:r>
      <w:r w:rsidR="00EC2473">
        <w:rPr>
          <w:b/>
        </w:rPr>
        <w:t>17. 10. 2022</w:t>
      </w:r>
      <w:r w:rsidR="00E463D2">
        <w:br w:type="page"/>
      </w:r>
    </w:p>
    <w:p w14:paraId="30BCFB18" w14:textId="77777777" w:rsidR="00E463D2" w:rsidRPr="00F97DBD" w:rsidRDefault="00E463D2" w:rsidP="00081405">
      <w:pPr>
        <w:pStyle w:val="Nadpisbezsl1-1"/>
        <w:jc w:val="both"/>
      </w:pPr>
      <w:r w:rsidRPr="00F97DBD">
        <w:t>Příloha č. 3</w:t>
      </w:r>
    </w:p>
    <w:p w14:paraId="596AD072" w14:textId="043C9A19" w:rsidR="00E9697F" w:rsidRPr="00EC2473" w:rsidRDefault="00E463D2" w:rsidP="00EC2473">
      <w:pPr>
        <w:pStyle w:val="Nadpisbezsl1-2"/>
        <w:jc w:val="both"/>
      </w:pPr>
      <w:r w:rsidRPr="00F97DBD">
        <w:t>Související dokumenty</w:t>
      </w:r>
    </w:p>
    <w:p w14:paraId="39C8E36D" w14:textId="254E23FC" w:rsidR="00236CEB" w:rsidRDefault="00236CEB" w:rsidP="00081405">
      <w:pPr>
        <w:pStyle w:val="Odrka1-2-"/>
        <w:numPr>
          <w:ilvl w:val="0"/>
          <w:numId w:val="0"/>
        </w:numPr>
        <w:tabs>
          <w:tab w:val="left" w:pos="708"/>
        </w:tabs>
        <w:ind w:left="1531"/>
      </w:pPr>
    </w:p>
    <w:p w14:paraId="6FEADEA7" w14:textId="50EAEC98" w:rsidR="005341CF" w:rsidRPr="00953F73" w:rsidRDefault="00EC2473" w:rsidP="00953F73">
      <w:pPr>
        <w:pStyle w:val="Odrka1-2-"/>
        <w:rPr>
          <w:b/>
        </w:rPr>
      </w:pPr>
      <w:r w:rsidRPr="000E2C8D">
        <w:rPr>
          <w:b/>
        </w:rPr>
        <w:t xml:space="preserve">Povolení k odstranění pro stavbu dráhy </w:t>
      </w:r>
      <w:r w:rsidRPr="000E2C8D">
        <w:t>Libuň „výhybkářské stanoviště č.</w:t>
      </w:r>
      <w:r w:rsidR="00F21D17">
        <w:t> </w:t>
      </w:r>
      <w:r w:rsidRPr="000E2C8D">
        <w:t>1“</w:t>
      </w:r>
      <w:r w:rsidR="00236CEB" w:rsidRPr="000E2C8D">
        <w:rPr>
          <w:b/>
        </w:rPr>
        <w:t xml:space="preserve"> </w:t>
      </w:r>
      <w:r w:rsidR="00236CEB" w:rsidRPr="000E2C8D">
        <w:t xml:space="preserve">ze dne </w:t>
      </w:r>
      <w:r w:rsidR="000E2C8D" w:rsidRPr="000E2C8D">
        <w:t>4. 1. 2021</w:t>
      </w:r>
      <w:r w:rsidR="00236CEB" w:rsidRPr="000E2C8D">
        <w:t>, č. j.:</w:t>
      </w:r>
      <w:r w:rsidR="000E2C8D" w:rsidRPr="000E2C8D">
        <w:t xml:space="preserve"> DUCR-575/21/Lh</w:t>
      </w:r>
      <w:r w:rsidR="00236CEB" w:rsidRPr="000E2C8D">
        <w:t>, sp. zn.:</w:t>
      </w:r>
      <w:r w:rsidR="000E2C8D" w:rsidRPr="000E2C8D">
        <w:t xml:space="preserve"> MP-SDP0777/20-5/Lh</w:t>
      </w:r>
      <w:r w:rsidR="00236CEB" w:rsidRPr="000E2C8D">
        <w:t xml:space="preserve">, vydané </w:t>
      </w:r>
      <w:r w:rsidR="000E2C8D" w:rsidRPr="000E2C8D">
        <w:t>Drážním úřadem</w:t>
      </w:r>
      <w:r w:rsidR="00236CEB" w:rsidRPr="000E2C8D">
        <w:t xml:space="preserve">, sekce </w:t>
      </w:r>
      <w:r w:rsidR="000E2C8D" w:rsidRPr="000E2C8D">
        <w:t>infrastruktury</w:t>
      </w:r>
      <w:r w:rsidR="00236CEB" w:rsidRPr="000E2C8D">
        <w:t>,</w:t>
      </w:r>
      <w:r w:rsidR="00064AA2" w:rsidRPr="000E2C8D">
        <w:t xml:space="preserve"> územní</w:t>
      </w:r>
      <w:r w:rsidR="00236CEB" w:rsidRPr="000E2C8D">
        <w:t xml:space="preserve"> odbor </w:t>
      </w:r>
      <w:r w:rsidR="000E2C8D" w:rsidRPr="000E2C8D">
        <w:t>Praha</w:t>
      </w:r>
      <w:r w:rsidR="005341CF">
        <w:t>.</w:t>
      </w:r>
      <w:r w:rsidR="00953F73">
        <w:t xml:space="preserve"> Termín pro odstranění stavby je 31. 12. 2023.</w:t>
      </w:r>
    </w:p>
    <w:p w14:paraId="3F32EF84" w14:textId="77777777" w:rsidR="005341CF" w:rsidRPr="005341CF" w:rsidRDefault="005341CF" w:rsidP="00953F73">
      <w:pPr>
        <w:pStyle w:val="Odrka1-1"/>
        <w:numPr>
          <w:ilvl w:val="0"/>
          <w:numId w:val="0"/>
        </w:numPr>
        <w:ind w:left="1077" w:hanging="340"/>
        <w:rPr>
          <w:b/>
        </w:rPr>
      </w:pPr>
    </w:p>
    <w:p w14:paraId="6AECF8BA" w14:textId="2DFF070E" w:rsidR="000E2C8D" w:rsidRPr="005341CF" w:rsidRDefault="000E2C8D" w:rsidP="005341CF">
      <w:pPr>
        <w:pStyle w:val="Odrka1-2-"/>
        <w:rPr>
          <w:b/>
        </w:rPr>
      </w:pPr>
      <w:r w:rsidRPr="005341CF">
        <w:rPr>
          <w:b/>
        </w:rPr>
        <w:t>Povolení k odstranění pro stavbu dráhy</w:t>
      </w:r>
      <w:r w:rsidRPr="005341CF">
        <w:t xml:space="preserve"> „</w:t>
      </w:r>
      <w:r w:rsidR="005341CF" w:rsidRPr="005341CF">
        <w:t>Lučany nad Nisou – strážní domek</w:t>
      </w:r>
      <w:r w:rsidRPr="005341CF">
        <w:t>“</w:t>
      </w:r>
      <w:r w:rsidRPr="005341CF">
        <w:rPr>
          <w:b/>
        </w:rPr>
        <w:t xml:space="preserve"> </w:t>
      </w:r>
      <w:r w:rsidRPr="005341CF">
        <w:t xml:space="preserve">ze dne </w:t>
      </w:r>
      <w:r w:rsidR="005341CF" w:rsidRPr="005341CF">
        <w:t>30</w:t>
      </w:r>
      <w:r w:rsidRPr="005341CF">
        <w:t xml:space="preserve">. </w:t>
      </w:r>
      <w:r w:rsidR="005341CF" w:rsidRPr="005341CF">
        <w:t>9</w:t>
      </w:r>
      <w:r w:rsidRPr="005341CF">
        <w:t xml:space="preserve">. 2021, č. j.: </w:t>
      </w:r>
      <w:r w:rsidR="005341CF" w:rsidRPr="005341CF">
        <w:t>DUCR-52728/21/Bd</w:t>
      </w:r>
      <w:r w:rsidRPr="005341CF">
        <w:t xml:space="preserve">, sp. zn.: </w:t>
      </w:r>
      <w:r w:rsidR="005341CF" w:rsidRPr="005341CF">
        <w:t>MP-SDP0683/21-4/Bd</w:t>
      </w:r>
      <w:r w:rsidRPr="005341CF">
        <w:t>, vydané Drážním úřadem, sekce infrastruktury, územní odbor Praha</w:t>
      </w:r>
      <w:r w:rsidR="005341CF">
        <w:t>. Termín pro odstranění stavby je 31. 12. 2022.</w:t>
      </w:r>
    </w:p>
    <w:p w14:paraId="221DF875" w14:textId="257F4971" w:rsidR="006C0BB6" w:rsidRDefault="006C0BB6" w:rsidP="005341CF">
      <w:pPr>
        <w:pStyle w:val="Odrka1-1"/>
        <w:numPr>
          <w:ilvl w:val="0"/>
          <w:numId w:val="0"/>
        </w:numPr>
        <w:ind w:left="1077" w:hanging="340"/>
        <w:rPr>
          <w:highlight w:val="green"/>
        </w:rPr>
      </w:pPr>
    </w:p>
    <w:p w14:paraId="69C0CF84" w14:textId="65D3797B" w:rsidR="000E2C8D" w:rsidRPr="002D59FD" w:rsidRDefault="000E2C8D" w:rsidP="002D59FD">
      <w:pPr>
        <w:pStyle w:val="Odrka1-2-"/>
        <w:rPr>
          <w:b/>
        </w:rPr>
      </w:pPr>
      <w:r w:rsidRPr="002D59FD">
        <w:rPr>
          <w:b/>
        </w:rPr>
        <w:t xml:space="preserve">Povolení k odstranění pro stavbu dráhy </w:t>
      </w:r>
      <w:r w:rsidR="002D59FD" w:rsidRPr="002D59FD">
        <w:t>Okrouhlá</w:t>
      </w:r>
      <w:r w:rsidRPr="002D59FD">
        <w:t xml:space="preserve"> „</w:t>
      </w:r>
      <w:r w:rsidR="002D59FD" w:rsidRPr="002D59FD">
        <w:t>Okrouhlá – strážní domek č. 76 – odstranění stavby</w:t>
      </w:r>
      <w:r w:rsidRPr="002D59FD">
        <w:t>“</w:t>
      </w:r>
      <w:r w:rsidRPr="002D59FD">
        <w:rPr>
          <w:b/>
        </w:rPr>
        <w:t xml:space="preserve"> </w:t>
      </w:r>
      <w:r w:rsidRPr="002D59FD">
        <w:t xml:space="preserve">ze dne </w:t>
      </w:r>
      <w:r w:rsidR="002D59FD" w:rsidRPr="002D59FD">
        <w:t>27</w:t>
      </w:r>
      <w:r w:rsidRPr="002D59FD">
        <w:t>. 1. 20</w:t>
      </w:r>
      <w:r w:rsidR="002D59FD" w:rsidRPr="002D59FD">
        <w:t>16</w:t>
      </w:r>
      <w:r w:rsidRPr="002D59FD">
        <w:t>, č. j.:</w:t>
      </w:r>
      <w:r w:rsidR="002D59FD" w:rsidRPr="002D59FD">
        <w:t xml:space="preserve"> DUCR-5377/16/Pl, </w:t>
      </w:r>
      <w:r w:rsidRPr="002D59FD">
        <w:t xml:space="preserve">sp. zn.: </w:t>
      </w:r>
      <w:r w:rsidR="002D59FD" w:rsidRPr="002D59FD">
        <w:t>MP-SDP0949/15-5/Pl</w:t>
      </w:r>
      <w:r w:rsidRPr="002D59FD">
        <w:t xml:space="preserve">, vydané Drážním úřadem, sekce </w:t>
      </w:r>
      <w:r w:rsidR="002D59FD" w:rsidRPr="002D59FD">
        <w:t>stavební</w:t>
      </w:r>
      <w:r w:rsidRPr="002D59FD">
        <w:t>, územní odbor Praha</w:t>
      </w:r>
      <w:r w:rsidR="00F21D17">
        <w:t xml:space="preserve"> a r</w:t>
      </w:r>
      <w:r w:rsidR="002D59FD">
        <w:t xml:space="preserve">ozhodnutí ze dne 13. 10. 2020, č. j.: </w:t>
      </w:r>
      <w:r w:rsidR="002D59FD" w:rsidRPr="002D59FD">
        <w:t>DUCR-58641/20/Pl</w:t>
      </w:r>
      <w:r w:rsidR="002D59FD">
        <w:t>, sp.</w:t>
      </w:r>
      <w:r w:rsidR="00F21D17">
        <w:t> </w:t>
      </w:r>
      <w:r w:rsidR="002D59FD">
        <w:t xml:space="preserve">zn. </w:t>
      </w:r>
      <w:r w:rsidR="002D59FD" w:rsidRPr="002D59FD">
        <w:t>MP-SDP0643/20-2/Pl</w:t>
      </w:r>
      <w:r w:rsidR="005C0361">
        <w:t xml:space="preserve"> vydaném Drážním úřadem, sekce infrastruktury, územní odbor Praha.</w:t>
      </w:r>
      <w:r w:rsidR="00953F73">
        <w:t xml:space="preserve"> Termín pro odstranění stavby není stanoven.</w:t>
      </w:r>
    </w:p>
    <w:p w14:paraId="1F31370A" w14:textId="533F5D4F" w:rsidR="000E2C8D" w:rsidRPr="005C0361" w:rsidRDefault="000E2C8D" w:rsidP="005341CF">
      <w:pPr>
        <w:pStyle w:val="Odrka1-1"/>
        <w:numPr>
          <w:ilvl w:val="0"/>
          <w:numId w:val="0"/>
        </w:numPr>
        <w:ind w:left="1077" w:hanging="340"/>
      </w:pPr>
    </w:p>
    <w:p w14:paraId="5566EA4C" w14:textId="3876F2DD" w:rsidR="000E2C8D" w:rsidRPr="005C0361" w:rsidRDefault="000E2C8D" w:rsidP="005C0361">
      <w:pPr>
        <w:pStyle w:val="Odrka1-2-"/>
        <w:rPr>
          <w:b/>
        </w:rPr>
      </w:pPr>
      <w:r w:rsidRPr="005C0361">
        <w:rPr>
          <w:b/>
        </w:rPr>
        <w:t xml:space="preserve">Povolení k odstranění pro stavbu dráhy </w:t>
      </w:r>
      <w:r w:rsidRPr="005C0361">
        <w:t>„</w:t>
      </w:r>
      <w:r w:rsidR="005C0361" w:rsidRPr="005C0361">
        <w:t>Višňová - výhybkářské stanoviště č. 1</w:t>
      </w:r>
      <w:r w:rsidRPr="005C0361">
        <w:t>“</w:t>
      </w:r>
      <w:r w:rsidRPr="005C0361">
        <w:rPr>
          <w:b/>
        </w:rPr>
        <w:t xml:space="preserve"> </w:t>
      </w:r>
      <w:r w:rsidRPr="005C0361">
        <w:t xml:space="preserve">ze dne </w:t>
      </w:r>
      <w:r w:rsidR="005C0361" w:rsidRPr="005C0361">
        <w:t>16. 2</w:t>
      </w:r>
      <w:r w:rsidRPr="005C0361">
        <w:t xml:space="preserve">. 2021, č. j.: </w:t>
      </w:r>
      <w:r w:rsidR="005C0361" w:rsidRPr="005C0361">
        <w:t>DUCR-4482/21/Bd</w:t>
      </w:r>
      <w:r w:rsidRPr="005C0361">
        <w:t xml:space="preserve">, sp. zn.: </w:t>
      </w:r>
      <w:r w:rsidR="005C0361" w:rsidRPr="005C0361">
        <w:t>MP-SDP0047/21-4/Bd</w:t>
      </w:r>
      <w:r w:rsidRPr="005C0361">
        <w:t>, vydané Drážním úřadem, sekce infrastruktury, územní odbor Praha</w:t>
      </w:r>
      <w:r w:rsidR="00953F73">
        <w:t>. Termín pro odstranění stavby je 31. 12. 2023.</w:t>
      </w:r>
    </w:p>
    <w:p w14:paraId="40EB9437" w14:textId="6248FC29" w:rsidR="000E2C8D" w:rsidRDefault="000E2C8D" w:rsidP="005341CF">
      <w:pPr>
        <w:pStyle w:val="Odrka1-1"/>
        <w:numPr>
          <w:ilvl w:val="0"/>
          <w:numId w:val="0"/>
        </w:numPr>
        <w:ind w:left="1077" w:hanging="340"/>
        <w:rPr>
          <w:highlight w:val="green"/>
        </w:rPr>
      </w:pPr>
    </w:p>
    <w:p w14:paraId="58EE487D" w14:textId="6CCC7DFB" w:rsidR="000E2C8D" w:rsidRPr="005C0361" w:rsidRDefault="000E2C8D" w:rsidP="005C0361">
      <w:pPr>
        <w:pStyle w:val="Odrka1-2-"/>
        <w:rPr>
          <w:b/>
        </w:rPr>
      </w:pPr>
      <w:r w:rsidRPr="005C0361">
        <w:rPr>
          <w:b/>
        </w:rPr>
        <w:t>Povolení k odstranění pro stavbu dráhy</w:t>
      </w:r>
      <w:r w:rsidRPr="005C0361">
        <w:t xml:space="preserve"> „</w:t>
      </w:r>
      <w:r w:rsidR="005C0361" w:rsidRPr="005C0361">
        <w:t>Zákupy – výhybkářské stanoviště č. 1 a č. 2</w:t>
      </w:r>
      <w:r w:rsidRPr="005C0361">
        <w:t>“</w:t>
      </w:r>
      <w:r w:rsidRPr="005C0361">
        <w:rPr>
          <w:b/>
        </w:rPr>
        <w:t xml:space="preserve"> </w:t>
      </w:r>
      <w:r w:rsidRPr="005C0361">
        <w:t xml:space="preserve">ze dne </w:t>
      </w:r>
      <w:r w:rsidR="005C0361" w:rsidRPr="005C0361">
        <w:t>25</w:t>
      </w:r>
      <w:r w:rsidRPr="005C0361">
        <w:t>. 1</w:t>
      </w:r>
      <w:r w:rsidR="005C0361" w:rsidRPr="005C0361">
        <w:t>1</w:t>
      </w:r>
      <w:r w:rsidRPr="005C0361">
        <w:t>. 202</w:t>
      </w:r>
      <w:r w:rsidR="005C0361" w:rsidRPr="005C0361">
        <w:t>0</w:t>
      </w:r>
      <w:r w:rsidRPr="005C0361">
        <w:t xml:space="preserve">, č. j.: </w:t>
      </w:r>
      <w:r w:rsidR="005C0361" w:rsidRPr="005C0361">
        <w:t>DUCR-68472/20/Pl</w:t>
      </w:r>
      <w:r w:rsidRPr="005C0361">
        <w:t xml:space="preserve">, sp. zn.: </w:t>
      </w:r>
      <w:r w:rsidR="005C0361" w:rsidRPr="005C0361">
        <w:t>MP-SDP0625/20-6/Pl</w:t>
      </w:r>
      <w:r w:rsidRPr="005C0361">
        <w:t>, vydané Drážním úřadem, sekce infrastruktury, územní odbor Praha</w:t>
      </w:r>
      <w:r w:rsidR="00953F73">
        <w:t>. Termín pro odstranění stavby je 31. 12. 2022.</w:t>
      </w:r>
    </w:p>
    <w:p w14:paraId="24FEAAE1" w14:textId="65C8D544" w:rsidR="000E2C8D" w:rsidRDefault="000E2C8D" w:rsidP="005341CF">
      <w:pPr>
        <w:pStyle w:val="Odrka1-1"/>
        <w:numPr>
          <w:ilvl w:val="0"/>
          <w:numId w:val="0"/>
        </w:numPr>
        <w:ind w:left="1077" w:hanging="340"/>
        <w:rPr>
          <w:highlight w:val="green"/>
        </w:rPr>
      </w:pPr>
    </w:p>
    <w:p w14:paraId="7A28B6F0" w14:textId="135AA76F" w:rsidR="000E2C8D" w:rsidRPr="00953F73" w:rsidRDefault="000E2C8D" w:rsidP="00953F73">
      <w:pPr>
        <w:pStyle w:val="Odrka1-2-"/>
        <w:rPr>
          <w:b/>
        </w:rPr>
      </w:pPr>
      <w:r w:rsidRPr="00953F73">
        <w:rPr>
          <w:b/>
        </w:rPr>
        <w:t xml:space="preserve">Povolení k odstranění pro stavbu dráhy </w:t>
      </w:r>
      <w:r w:rsidR="005C0361" w:rsidRPr="00953F73">
        <w:t>Železný Brod</w:t>
      </w:r>
      <w:r w:rsidRPr="00953F73">
        <w:t xml:space="preserve"> „výhybkářské stanoviště č. 1“</w:t>
      </w:r>
      <w:r w:rsidRPr="00953F73">
        <w:rPr>
          <w:b/>
        </w:rPr>
        <w:t xml:space="preserve"> </w:t>
      </w:r>
      <w:r w:rsidRPr="00953F73">
        <w:t xml:space="preserve">ze dne </w:t>
      </w:r>
      <w:r w:rsidR="005C0361" w:rsidRPr="00953F73">
        <w:t>12</w:t>
      </w:r>
      <w:r w:rsidRPr="00953F73">
        <w:t>. 1</w:t>
      </w:r>
      <w:r w:rsidR="005C0361" w:rsidRPr="00953F73">
        <w:t>2</w:t>
      </w:r>
      <w:r w:rsidRPr="00953F73">
        <w:t>. 20</w:t>
      </w:r>
      <w:r w:rsidR="005C0361" w:rsidRPr="00953F73">
        <w:t>19</w:t>
      </w:r>
      <w:r w:rsidRPr="00953F73">
        <w:t xml:space="preserve">, č. j.: </w:t>
      </w:r>
      <w:r w:rsidR="00953F73" w:rsidRPr="00953F73">
        <w:t>DUCR-70910/19/Lh</w:t>
      </w:r>
      <w:r w:rsidRPr="00953F73">
        <w:t xml:space="preserve">, sp. zn.: </w:t>
      </w:r>
      <w:r w:rsidR="00953F73" w:rsidRPr="00953F73">
        <w:t>MP-SDP0700/19-4/Lh</w:t>
      </w:r>
      <w:r w:rsidRPr="00953F73">
        <w:t xml:space="preserve">, vydané Drážním úřadem, sekce </w:t>
      </w:r>
      <w:r w:rsidR="00953F73" w:rsidRPr="00953F73">
        <w:t>stavební</w:t>
      </w:r>
      <w:r w:rsidRPr="00953F73">
        <w:t>, územní odbor Praha</w:t>
      </w:r>
      <w:r w:rsidR="00953F73">
        <w:t>. Termín pro odstranění stavby je 31. 12. 2023.</w:t>
      </w:r>
    </w:p>
    <w:p w14:paraId="64AA73C8" w14:textId="325EECBA" w:rsidR="000E2C8D" w:rsidRDefault="000E2C8D" w:rsidP="005341CF">
      <w:pPr>
        <w:pStyle w:val="Odrka1-1"/>
        <w:numPr>
          <w:ilvl w:val="0"/>
          <w:numId w:val="0"/>
        </w:numPr>
        <w:ind w:left="1077" w:hanging="340"/>
        <w:rPr>
          <w:highlight w:val="green"/>
        </w:rPr>
      </w:pPr>
    </w:p>
    <w:p w14:paraId="7EAC71E2" w14:textId="02C6E27F" w:rsidR="000E2C8D" w:rsidRPr="00953F73" w:rsidRDefault="000E2C8D" w:rsidP="00953F73">
      <w:pPr>
        <w:pStyle w:val="Odrka1-2-"/>
        <w:rPr>
          <w:b/>
        </w:rPr>
        <w:sectPr w:rsidR="000E2C8D" w:rsidRPr="00953F73" w:rsidSect="004D09FB">
          <w:pgSz w:w="11906" w:h="16838" w:code="9"/>
          <w:pgMar w:top="1049" w:right="1134" w:bottom="1474" w:left="1418" w:header="595" w:footer="624" w:gutter="652"/>
          <w:pgNumType w:start="1"/>
          <w:cols w:space="708"/>
          <w:docGrid w:linePitch="360"/>
        </w:sectPr>
      </w:pPr>
      <w:r w:rsidRPr="00953F73">
        <w:rPr>
          <w:b/>
        </w:rPr>
        <w:t xml:space="preserve">Povolení k odstranění pro stavbu dráhy </w:t>
      </w:r>
      <w:r w:rsidR="00953F73" w:rsidRPr="00953F73">
        <w:t>Železný Brod</w:t>
      </w:r>
      <w:r w:rsidRPr="00953F73">
        <w:t xml:space="preserve"> „</w:t>
      </w:r>
      <w:r w:rsidR="00953F73" w:rsidRPr="00953F73">
        <w:t>strážní domek č.132, č.p.620</w:t>
      </w:r>
      <w:r w:rsidRPr="00953F73">
        <w:t>“</w:t>
      </w:r>
      <w:r w:rsidRPr="00953F73">
        <w:rPr>
          <w:b/>
        </w:rPr>
        <w:t xml:space="preserve"> </w:t>
      </w:r>
      <w:r w:rsidRPr="00953F73">
        <w:t xml:space="preserve">ze dne </w:t>
      </w:r>
      <w:r w:rsidR="00953F73" w:rsidRPr="00953F73">
        <w:t>16</w:t>
      </w:r>
      <w:r w:rsidRPr="00953F73">
        <w:t xml:space="preserve">. </w:t>
      </w:r>
      <w:r w:rsidR="00953F73" w:rsidRPr="00953F73">
        <w:t>4</w:t>
      </w:r>
      <w:r w:rsidRPr="00953F73">
        <w:t>. 202</w:t>
      </w:r>
      <w:r w:rsidR="00953F73" w:rsidRPr="00953F73">
        <w:t>0</w:t>
      </w:r>
      <w:r w:rsidRPr="00953F73">
        <w:t xml:space="preserve">, č. j.: </w:t>
      </w:r>
      <w:r w:rsidR="00953F73" w:rsidRPr="00953F73">
        <w:t>DUCR-20435/20/Lh</w:t>
      </w:r>
      <w:r w:rsidRPr="00953F73">
        <w:t xml:space="preserve">, sp. zn.: </w:t>
      </w:r>
      <w:r w:rsidR="00953F73" w:rsidRPr="00953F73">
        <w:t>MP-SDP0170/20-4/Lh</w:t>
      </w:r>
      <w:r w:rsidRPr="00953F73">
        <w:t>, vydané Drážním úřadem, sekce infrastruktury, územní odbor Praha</w:t>
      </w:r>
      <w:r w:rsidR="00953F73" w:rsidRPr="00953F73">
        <w:t>.</w:t>
      </w:r>
      <w:r w:rsidR="00953F73">
        <w:t xml:space="preserve"> Termín pro odstranění stavby je 31. 12. 2022.</w:t>
      </w:r>
    </w:p>
    <w:p w14:paraId="72D15AF2" w14:textId="77777777" w:rsidR="00E463D2" w:rsidRPr="00F97DBD" w:rsidRDefault="00E463D2" w:rsidP="00081405">
      <w:pPr>
        <w:pStyle w:val="Nadpisbezsl1-1"/>
        <w:jc w:val="both"/>
      </w:pPr>
      <w:r w:rsidRPr="00F97DBD">
        <w:t>Příloha č. 4</w:t>
      </w:r>
    </w:p>
    <w:p w14:paraId="649AE9D4" w14:textId="51181777" w:rsidR="00E463D2" w:rsidRPr="00F97DBD" w:rsidRDefault="00B06D17" w:rsidP="00081405">
      <w:pPr>
        <w:pStyle w:val="Nadpisbezsl1-2"/>
        <w:jc w:val="both"/>
      </w:pPr>
      <w:r>
        <w:t>Rozpis</w:t>
      </w:r>
      <w:r w:rsidR="004E19AA">
        <w:t xml:space="preserve"> </w:t>
      </w:r>
      <w:r w:rsidR="00E463D2" w:rsidRPr="00F97DBD">
        <w:t>Ceny Díla</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081405">
      <w:pPr>
        <w:pStyle w:val="Textbezslovn"/>
        <w:rPr>
          <w:highlight w:val="yellow"/>
        </w:rPr>
      </w:pPr>
      <w:r w:rsidRPr="003A5A35">
        <w:rPr>
          <w:highlight w:val="yellow"/>
        </w:rPr>
        <w:t>[VLOŽÍ ZHOTOVITEL]</w:t>
      </w:r>
    </w:p>
    <w:p w14:paraId="5A4484C4" w14:textId="52053FF2" w:rsidR="006C0BB6" w:rsidRPr="006921B1" w:rsidRDefault="006921B1" w:rsidP="00081405">
      <w:pPr>
        <w:tabs>
          <w:tab w:val="left" w:pos="795"/>
        </w:tabs>
        <w:jc w:val="both"/>
        <w:sectPr w:rsidR="006C0BB6" w:rsidRPr="006921B1" w:rsidSect="00FD4429">
          <w:footerReference w:type="first" r:id="rId20"/>
          <w:pgSz w:w="11906" w:h="16838" w:code="9"/>
          <w:pgMar w:top="1049" w:right="1134" w:bottom="1474" w:left="1418" w:header="595" w:footer="612" w:gutter="652"/>
          <w:pgNumType w:start="1"/>
          <w:cols w:space="708"/>
          <w:docGrid w:linePitch="360"/>
        </w:sectPr>
      </w:pPr>
      <w:r>
        <w:tab/>
      </w:r>
    </w:p>
    <w:p w14:paraId="0BC346F2" w14:textId="77777777" w:rsidR="00ED29F1" w:rsidRDefault="00ED29F1" w:rsidP="00081405">
      <w:pPr>
        <w:pStyle w:val="Nadpisbezsl1-1"/>
        <w:jc w:val="both"/>
      </w:pPr>
      <w:r>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t>Příloha č. 6</w:t>
      </w:r>
    </w:p>
    <w:p w14:paraId="03E24367" w14:textId="77777777" w:rsidR="00502690" w:rsidRPr="00B26902" w:rsidRDefault="00502690" w:rsidP="00081405">
      <w:pPr>
        <w:pStyle w:val="Nadpisbezsl1-2"/>
        <w:jc w:val="both"/>
      </w:pPr>
      <w:r>
        <w:t>Oprávněné osoby</w:t>
      </w: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36292697" w:rsidR="00ED29F1" w:rsidRPr="00F609A6" w:rsidRDefault="00650A4F" w:rsidP="00081405">
            <w:pPr>
              <w:pStyle w:val="Tabulka"/>
              <w:cnfStyle w:val="100000000000" w:firstRow="1" w:lastRow="0" w:firstColumn="0" w:lastColumn="0" w:oddVBand="0" w:evenVBand="0" w:oddHBand="0" w:evenHBand="0" w:firstRowFirstColumn="0" w:firstRowLastColumn="0" w:lastRowFirstColumn="0" w:lastRowLastColumn="0"/>
              <w:rPr>
                <w:b/>
              </w:rPr>
            </w:pPr>
            <w:r>
              <w:rPr>
                <w:rFonts w:ascii="Verdana" w:eastAsia="Verdana" w:hAnsi="Verdana" w:cs="Times New Roman"/>
              </w:rPr>
              <w:t>Ing. Jaroslav Špína</w:t>
            </w:r>
          </w:p>
        </w:tc>
      </w:tr>
      <w:tr w:rsidR="00A0053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053F" w:rsidRPr="00165A92" w:rsidRDefault="00A0053F" w:rsidP="00081405">
            <w:pPr>
              <w:pStyle w:val="Tabulka"/>
            </w:pPr>
            <w:r w:rsidRPr="00165A92">
              <w:t>Adresa</w:t>
            </w:r>
          </w:p>
        </w:tc>
        <w:tc>
          <w:tcPr>
            <w:tcW w:w="5812" w:type="dxa"/>
          </w:tcPr>
          <w:p w14:paraId="6BFE6435" w14:textId="5179F002" w:rsidR="00A0053F" w:rsidRPr="00566D66" w:rsidRDefault="00650A4F"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57505BDA" w:rsidR="00A0053F" w:rsidRPr="00566D66" w:rsidRDefault="00650A4F" w:rsidP="00081405">
            <w:pPr>
              <w:pStyle w:val="Tabulka"/>
              <w:cnfStyle w:val="000000000000" w:firstRow="0" w:lastRow="0" w:firstColumn="0" w:lastColumn="0" w:oddVBand="0" w:evenVBand="0" w:oddHBand="0" w:evenHBand="0" w:firstRowFirstColumn="0" w:firstRowLastColumn="0" w:lastRowFirstColumn="0" w:lastRowLastColumn="0"/>
            </w:pPr>
            <w:r w:rsidRPr="009130D6">
              <w:rPr>
                <w:rFonts w:ascii="Verdana" w:eastAsia="Verdana" w:hAnsi="Verdana" w:cs="Times New Roman"/>
              </w:rPr>
              <w:t>Spina@spravazeleznic.cz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12A24E7E" w:rsidR="00A0053F" w:rsidRPr="00566D66" w:rsidRDefault="00650A4F" w:rsidP="00081405">
            <w:pPr>
              <w:pStyle w:val="Tabulka"/>
              <w:cnfStyle w:val="000000000000" w:firstRow="0" w:lastRow="0" w:firstColumn="0" w:lastColumn="0" w:oddVBand="0" w:evenVBand="0" w:oddHBand="0" w:evenHBand="0" w:firstRowFirstColumn="0" w:firstRowLastColumn="0" w:lastRowFirstColumn="0" w:lastRowLastColumn="0"/>
            </w:pPr>
            <w:r w:rsidRPr="009130D6">
              <w:rPr>
                <w:rFonts w:ascii="Verdana" w:eastAsia="Verdana" w:hAnsi="Verdana" w:cs="Times New Roman"/>
              </w:rPr>
              <w:t>724 369</w:t>
            </w:r>
            <w:r>
              <w:rPr>
                <w:rFonts w:ascii="Verdana" w:eastAsia="Verdana" w:hAnsi="Verdana" w:cs="Times New Roman"/>
              </w:rPr>
              <w:t> </w:t>
            </w:r>
            <w:r w:rsidRPr="009130D6">
              <w:rPr>
                <w:rFonts w:ascii="Verdana" w:eastAsia="Verdana" w:hAnsi="Verdana" w:cs="Times New Roman"/>
              </w:rPr>
              <w:t>095</w:t>
            </w:r>
          </w:p>
        </w:tc>
      </w:tr>
    </w:tbl>
    <w:p w14:paraId="63DAEC3F" w14:textId="77777777" w:rsidR="00ED29F1" w:rsidRPr="00165A92" w:rsidRDefault="00ED29F1"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A0053F"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FA6301E" w14:textId="5FC723EF" w:rsidR="00A0053F" w:rsidRPr="00A87925" w:rsidRDefault="00650A4F" w:rsidP="00081405">
            <w:pPr>
              <w:pStyle w:val="Tabulka"/>
              <w:cnfStyle w:val="100000000000" w:firstRow="1" w:lastRow="0" w:firstColumn="0" w:lastColumn="0" w:oddVBand="0" w:evenVBand="0" w:oddHBand="0" w:evenHBand="0" w:firstRowFirstColumn="0" w:firstRowLastColumn="0" w:lastRowFirstColumn="0" w:lastRowLastColumn="0"/>
              <w:rPr>
                <w:b/>
              </w:rPr>
            </w:pPr>
            <w:r>
              <w:rPr>
                <w:rFonts w:ascii="Verdana" w:eastAsia="Verdana" w:hAnsi="Verdana" w:cs="Times New Roman"/>
              </w:rPr>
              <w:t>Ing. Jaroslav Špína</w:t>
            </w:r>
          </w:p>
        </w:tc>
      </w:tr>
      <w:tr w:rsidR="00A0053F"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A0053F" w:rsidRPr="00165A92" w:rsidRDefault="00A0053F" w:rsidP="00081405">
            <w:pPr>
              <w:pStyle w:val="Tabulka"/>
            </w:pPr>
            <w:r w:rsidRPr="00165A92">
              <w:t>Adresa</w:t>
            </w:r>
          </w:p>
        </w:tc>
        <w:tc>
          <w:tcPr>
            <w:tcW w:w="5812" w:type="dxa"/>
          </w:tcPr>
          <w:p w14:paraId="1B64A329" w14:textId="29604AE2" w:rsidR="00A0053F" w:rsidRPr="00A87925" w:rsidRDefault="00650A4F" w:rsidP="00081405">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A0053F"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A0053F" w:rsidRPr="00165A92" w:rsidRDefault="00A0053F" w:rsidP="00081405">
            <w:pPr>
              <w:pStyle w:val="Tabulka"/>
            </w:pPr>
            <w:r w:rsidRPr="00165A92">
              <w:t>E-mail</w:t>
            </w:r>
          </w:p>
        </w:tc>
        <w:tc>
          <w:tcPr>
            <w:tcW w:w="5812" w:type="dxa"/>
          </w:tcPr>
          <w:p w14:paraId="641C20DF" w14:textId="0BF71DF8" w:rsidR="00A0053F" w:rsidRPr="00A87925" w:rsidRDefault="00650A4F" w:rsidP="00081405">
            <w:pPr>
              <w:pStyle w:val="Tabulka"/>
              <w:cnfStyle w:val="000000000000" w:firstRow="0" w:lastRow="0" w:firstColumn="0" w:lastColumn="0" w:oddVBand="0" w:evenVBand="0" w:oddHBand="0" w:evenHBand="0" w:firstRowFirstColumn="0" w:firstRowLastColumn="0" w:lastRowFirstColumn="0" w:lastRowLastColumn="0"/>
              <w:rPr>
                <w:b/>
              </w:rPr>
            </w:pPr>
            <w:r w:rsidRPr="009130D6">
              <w:rPr>
                <w:rFonts w:ascii="Verdana" w:eastAsia="Verdana" w:hAnsi="Verdana" w:cs="Times New Roman"/>
              </w:rPr>
              <w:t>Spina@spravazeleznic.cz</w:t>
            </w:r>
          </w:p>
        </w:tc>
      </w:tr>
      <w:tr w:rsidR="00A0053F"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A0053F" w:rsidRPr="00165A92" w:rsidRDefault="00A0053F" w:rsidP="00081405">
            <w:pPr>
              <w:pStyle w:val="Tabulka"/>
            </w:pPr>
            <w:r w:rsidRPr="00165A92">
              <w:t>Telefon</w:t>
            </w:r>
          </w:p>
        </w:tc>
        <w:tc>
          <w:tcPr>
            <w:tcW w:w="5812" w:type="dxa"/>
          </w:tcPr>
          <w:p w14:paraId="7550EE05" w14:textId="63D5D18A" w:rsidR="00A0053F" w:rsidRPr="00A87925" w:rsidRDefault="00650A4F" w:rsidP="00081405">
            <w:pPr>
              <w:pStyle w:val="Tabulka"/>
              <w:cnfStyle w:val="000000000000" w:firstRow="0" w:lastRow="0" w:firstColumn="0" w:lastColumn="0" w:oddVBand="0" w:evenVBand="0" w:oddHBand="0" w:evenHBand="0" w:firstRowFirstColumn="0" w:firstRowLastColumn="0" w:lastRowFirstColumn="0" w:lastRowLastColumn="0"/>
              <w:rPr>
                <w:b/>
              </w:rPr>
            </w:pPr>
            <w:r w:rsidRPr="009130D6">
              <w:rPr>
                <w:rFonts w:ascii="Verdana" w:eastAsia="Verdana" w:hAnsi="Verdana" w:cs="Times New Roman"/>
              </w:rPr>
              <w:t>724 369</w:t>
            </w:r>
            <w:r>
              <w:rPr>
                <w:rFonts w:ascii="Verdana" w:eastAsia="Verdana" w:hAnsi="Verdana" w:cs="Times New Roman"/>
              </w:rPr>
              <w:t> </w:t>
            </w:r>
            <w:r w:rsidRPr="009130D6">
              <w:rPr>
                <w:rFonts w:ascii="Verdana" w:eastAsia="Verdana" w:hAnsi="Verdana" w:cs="Times New Roman"/>
              </w:rPr>
              <w:t>095</w:t>
            </w:r>
          </w:p>
        </w:tc>
      </w:tr>
    </w:tbl>
    <w:p w14:paraId="5E7D9D76" w14:textId="034C9F1D" w:rsidR="00AF2182" w:rsidRPr="00165A92" w:rsidRDefault="00AF2182"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0053F"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700C1046" w14:textId="3BE6F627" w:rsidR="00A0053F" w:rsidRPr="00767DA2" w:rsidRDefault="00650A4F" w:rsidP="00081405">
            <w:pPr>
              <w:pStyle w:val="Tabulka"/>
              <w:cnfStyle w:val="100000000000" w:firstRow="1" w:lastRow="0" w:firstColumn="0" w:lastColumn="0" w:oddVBand="0" w:evenVBand="0" w:oddHBand="0" w:evenHBand="0" w:firstRowFirstColumn="0" w:firstRowLastColumn="0" w:lastRowFirstColumn="0" w:lastRowLastColumn="0"/>
              <w:rPr>
                <w:b/>
              </w:rPr>
            </w:pPr>
            <w:r>
              <w:rPr>
                <w:rFonts w:ascii="Verdana" w:eastAsia="Verdana" w:hAnsi="Verdana" w:cs="Times New Roman"/>
              </w:rPr>
              <w:t>Ing. Jaroslav Špína</w:t>
            </w:r>
          </w:p>
        </w:tc>
      </w:tr>
      <w:tr w:rsidR="00A0053F"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A0053F" w:rsidRPr="00165A92" w:rsidRDefault="00A0053F" w:rsidP="00081405">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6F7716E3" w:rsidR="00A0053F" w:rsidRPr="00767DA2" w:rsidRDefault="00650A4F" w:rsidP="00081405">
            <w:pPr>
              <w:pStyle w:val="Tabulka"/>
              <w:cnfStyle w:val="000000000000" w:firstRow="0" w:lastRow="0" w:firstColumn="0" w:lastColumn="0" w:oddVBand="0" w:evenVBand="0" w:oddHBand="0" w:evenHBand="0" w:firstRowFirstColumn="0" w:firstRowLastColumn="0" w:lastRowFirstColumn="0" w:lastRowLastColumn="0"/>
              <w:rPr>
                <w:b/>
              </w:rPr>
            </w:pPr>
            <w:r>
              <w:t>Oblastní ředitelství Hradec Králové</w:t>
            </w:r>
          </w:p>
        </w:tc>
      </w:tr>
      <w:tr w:rsidR="00A0053F"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A0053F" w:rsidRPr="00165A92" w:rsidRDefault="00A0053F" w:rsidP="00081405">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6BB84DD5" w:rsidR="00A0053F" w:rsidRPr="00767DA2" w:rsidRDefault="00650A4F" w:rsidP="00081405">
            <w:pPr>
              <w:pStyle w:val="Tabulka"/>
              <w:cnfStyle w:val="000000000000" w:firstRow="0" w:lastRow="0" w:firstColumn="0" w:lastColumn="0" w:oddVBand="0" w:evenVBand="0" w:oddHBand="0" w:evenHBand="0" w:firstRowFirstColumn="0" w:firstRowLastColumn="0" w:lastRowFirstColumn="0" w:lastRowLastColumn="0"/>
              <w:rPr>
                <w:b/>
              </w:rPr>
            </w:pPr>
            <w:r w:rsidRPr="009130D6">
              <w:rPr>
                <w:rFonts w:ascii="Verdana" w:eastAsia="Verdana" w:hAnsi="Verdana" w:cs="Times New Roman"/>
              </w:rPr>
              <w:t>Spina@spravazeleznic.cz</w:t>
            </w:r>
          </w:p>
        </w:tc>
      </w:tr>
      <w:tr w:rsidR="00A0053F"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A0053F" w:rsidRPr="00165A92" w:rsidRDefault="00A0053F" w:rsidP="00081405">
            <w:pPr>
              <w:pStyle w:val="Tabulka"/>
            </w:pPr>
            <w:r w:rsidRPr="00165A92">
              <w:t>Telefon</w:t>
            </w:r>
          </w:p>
        </w:tc>
        <w:tc>
          <w:tcPr>
            <w:tcW w:w="5812" w:type="dxa"/>
            <w:tcBorders>
              <w:top w:val="single" w:sz="2" w:space="0" w:color="auto"/>
              <w:left w:val="single" w:sz="2" w:space="0" w:color="auto"/>
              <w:bottom w:val="nil"/>
              <w:right w:val="nil"/>
            </w:tcBorders>
          </w:tcPr>
          <w:p w14:paraId="10E464CE" w14:textId="2D4C9592" w:rsidR="00A0053F" w:rsidRPr="00767DA2" w:rsidRDefault="00650A4F" w:rsidP="00081405">
            <w:pPr>
              <w:pStyle w:val="Tabulka"/>
              <w:cnfStyle w:val="000000000000" w:firstRow="0" w:lastRow="0" w:firstColumn="0" w:lastColumn="0" w:oddVBand="0" w:evenVBand="0" w:oddHBand="0" w:evenHBand="0" w:firstRowFirstColumn="0" w:firstRowLastColumn="0" w:lastRowFirstColumn="0" w:lastRowLastColumn="0"/>
              <w:rPr>
                <w:b/>
              </w:rPr>
            </w:pPr>
            <w:r w:rsidRPr="009130D6">
              <w:rPr>
                <w:rFonts w:ascii="Verdana" w:eastAsia="Verdana" w:hAnsi="Verdana" w:cs="Times New Roman"/>
              </w:rPr>
              <w:t>724 369</w:t>
            </w:r>
            <w:r>
              <w:rPr>
                <w:rFonts w:ascii="Verdana" w:eastAsia="Verdana" w:hAnsi="Verdana" w:cs="Times New Roman"/>
              </w:rPr>
              <w:t> </w:t>
            </w:r>
            <w:r w:rsidRPr="009130D6">
              <w:rPr>
                <w:rFonts w:ascii="Verdana" w:eastAsia="Verdana" w:hAnsi="Verdana" w:cs="Times New Roman"/>
              </w:rPr>
              <w:t>095</w:t>
            </w:r>
          </w:p>
        </w:tc>
      </w:tr>
    </w:tbl>
    <w:p w14:paraId="6F211856" w14:textId="77777777" w:rsidR="00ED29F1" w:rsidRPr="00165A92" w:rsidRDefault="00ED29F1" w:rsidP="00081405">
      <w:pPr>
        <w:pStyle w:val="Textbezodsazen"/>
      </w:pPr>
    </w:p>
    <w:p w14:paraId="01CCB70C" w14:textId="5E65405F" w:rsidR="003B6161" w:rsidRDefault="003B6161" w:rsidP="00081405">
      <w:pPr>
        <w:pStyle w:val="Textbezodsazen"/>
        <w:rPr>
          <w:b/>
        </w:rPr>
      </w:pPr>
    </w:p>
    <w:p w14:paraId="6D63573F" w14:textId="17170AD1" w:rsidR="00650A4F" w:rsidRDefault="00650A4F" w:rsidP="00081405">
      <w:pPr>
        <w:pStyle w:val="Textbezodsazen"/>
        <w:rPr>
          <w:b/>
        </w:rPr>
      </w:pPr>
    </w:p>
    <w:p w14:paraId="6A06C260" w14:textId="77777777" w:rsidR="00650A4F" w:rsidRPr="00165A92" w:rsidRDefault="00650A4F" w:rsidP="00081405">
      <w:pPr>
        <w:pStyle w:val="Textbezodsazen"/>
        <w:rPr>
          <w:b/>
        </w:rPr>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20A22784" w14:textId="77777777" w:rsidR="00F21D17" w:rsidRDefault="00F21D17" w:rsidP="00081405">
      <w:pPr>
        <w:pStyle w:val="Nadpisbezsl1-1"/>
        <w:jc w:val="both"/>
      </w:pPr>
    </w:p>
    <w:p w14:paraId="3C2163C4" w14:textId="77777777" w:rsidR="00F21D17" w:rsidRDefault="00F21D17">
      <w:pPr>
        <w:rPr>
          <w:rFonts w:asciiTheme="majorHAnsi" w:hAnsiTheme="majorHAnsi"/>
          <w:b/>
          <w:caps/>
          <w:sz w:val="22"/>
        </w:rPr>
      </w:pPr>
      <w:r>
        <w:br w:type="page"/>
      </w:r>
    </w:p>
    <w:p w14:paraId="7CD4D87C" w14:textId="07D2C6CD" w:rsidR="00ED29F1" w:rsidRPr="00F97DBD" w:rsidRDefault="00ED29F1" w:rsidP="00081405">
      <w:pPr>
        <w:pStyle w:val="Nadpisbezsl1-1"/>
        <w:jc w:val="both"/>
      </w:pPr>
      <w:r w:rsidRPr="00F97DBD">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6589A18A" w:rsidR="002C7A28" w:rsidRPr="002C7A28" w:rsidRDefault="004E19AA" w:rsidP="00F457D2">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17551D">
              <w:rPr>
                <w:rFonts w:eastAsia="Times New Roman" w:cs="Calibri"/>
                <w:lang w:eastAsia="cs-CZ"/>
              </w:rPr>
              <w:t>1</w:t>
            </w:r>
            <w:r w:rsidR="00650A4F">
              <w:rPr>
                <w:rFonts w:eastAsia="Times New Roman" w:cs="Calibri"/>
                <w:lang w:eastAsia="cs-CZ"/>
              </w:rPr>
              <w:t> </w:t>
            </w:r>
            <w:r w:rsidR="0017551D">
              <w:rPr>
                <w:rFonts w:eastAsia="Times New Roman" w:cs="Calibri"/>
                <w:lang w:eastAsia="cs-CZ"/>
              </w:rPr>
              <w:t xml:space="preserve">500 </w:t>
            </w:r>
            <w:r w:rsidR="00650A4F">
              <w:rPr>
                <w:rFonts w:eastAsia="Times New Roman" w:cs="Calibri"/>
                <w:lang w:eastAsia="cs-CZ"/>
              </w:rPr>
              <w:t>000</w:t>
            </w:r>
            <w:r w:rsidR="002C7A28" w:rsidRPr="000B16A1">
              <w:rPr>
                <w:rFonts w:eastAsia="Times New Roman" w:cs="Calibri"/>
                <w:color w:val="000000"/>
                <w:lang w:eastAsia="cs-CZ"/>
              </w:rPr>
              <w:t xml:space="preserve"> Kč</w:t>
            </w:r>
            <w:r w:rsidR="002C7A28" w:rsidRPr="000B16A1">
              <w:rPr>
                <w:rFonts w:eastAsia="Times New Roman" w:cs="Calibri"/>
                <w:lang w:eastAsia="cs-CZ"/>
              </w:rPr>
              <w:t xml:space="preserve"> na jednu pojistnou událost a </w:t>
            </w:r>
            <w:r w:rsidR="00650A4F">
              <w:rPr>
                <w:rFonts w:eastAsia="Times New Roman" w:cs="Calibri"/>
                <w:lang w:eastAsia="cs-CZ"/>
              </w:rPr>
              <w:t>5 200 000</w:t>
            </w:r>
            <w:r w:rsidR="002C7A28" w:rsidRPr="000B16A1">
              <w:rPr>
                <w:rFonts w:eastAsia="Times New Roman" w:cs="Calibri"/>
                <w:lang w:eastAsia="cs-CZ"/>
              </w:rPr>
              <w:t xml:space="preserve">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ust.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D5128" w14:textId="77777777" w:rsidR="00D17A2B" w:rsidRDefault="00D17A2B" w:rsidP="00962258">
      <w:pPr>
        <w:spacing w:after="0" w:line="240" w:lineRule="auto"/>
      </w:pPr>
      <w:r>
        <w:separator/>
      </w:r>
    </w:p>
  </w:endnote>
  <w:endnote w:type="continuationSeparator" w:id="0">
    <w:p w14:paraId="23727B61" w14:textId="77777777" w:rsidR="00D17A2B" w:rsidRDefault="00D17A2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551D" w:rsidRPr="00A22592" w14:paraId="66AB46D4" w14:textId="77777777" w:rsidTr="00EB46E5">
      <w:tc>
        <w:tcPr>
          <w:tcW w:w="1361" w:type="dxa"/>
          <w:tcMar>
            <w:left w:w="0" w:type="dxa"/>
            <w:right w:w="0" w:type="dxa"/>
          </w:tcMar>
          <w:vAlign w:val="bottom"/>
        </w:tcPr>
        <w:p w14:paraId="357001FE" w14:textId="319D36E1" w:rsidR="0017551D" w:rsidRPr="00B8518B" w:rsidRDefault="0017551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1EC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1EC0">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17551D" w:rsidRDefault="0017551D" w:rsidP="00B8518B">
          <w:pPr>
            <w:pStyle w:val="Zpat"/>
          </w:pPr>
        </w:p>
      </w:tc>
      <w:tc>
        <w:tcPr>
          <w:tcW w:w="425" w:type="dxa"/>
          <w:shd w:val="clear" w:color="auto" w:fill="auto"/>
          <w:tcMar>
            <w:left w:w="0" w:type="dxa"/>
            <w:right w:w="0" w:type="dxa"/>
          </w:tcMar>
        </w:tcPr>
        <w:p w14:paraId="6DAF8F96" w14:textId="77777777" w:rsidR="0017551D" w:rsidRDefault="0017551D" w:rsidP="00B8518B">
          <w:pPr>
            <w:pStyle w:val="Zpat"/>
          </w:pPr>
        </w:p>
      </w:tc>
      <w:tc>
        <w:tcPr>
          <w:tcW w:w="8505" w:type="dxa"/>
        </w:tcPr>
        <w:p w14:paraId="032469F4" w14:textId="77777777" w:rsidR="0017551D" w:rsidRPr="00A22592" w:rsidRDefault="0017551D" w:rsidP="00F422D3">
          <w:pPr>
            <w:pStyle w:val="Zpat0"/>
            <w:rPr>
              <w:b/>
              <w:sz w:val="14"/>
            </w:rPr>
          </w:pPr>
          <w:r w:rsidRPr="00A22592">
            <w:rPr>
              <w:b/>
              <w:sz w:val="14"/>
            </w:rPr>
            <w:t>SMLOUVA O DÍLO</w:t>
          </w:r>
        </w:p>
        <w:p w14:paraId="27015DE1" w14:textId="77777777" w:rsidR="0017551D" w:rsidRPr="00A22592" w:rsidRDefault="0017551D" w:rsidP="00F422D3">
          <w:pPr>
            <w:pStyle w:val="Zpat0"/>
            <w:rPr>
              <w:sz w:val="14"/>
            </w:rPr>
          </w:pPr>
          <w:r w:rsidRPr="00A22592">
            <w:rPr>
              <w:sz w:val="14"/>
            </w:rPr>
            <w:t>Zhotovení stavby</w:t>
          </w:r>
        </w:p>
        <w:p w14:paraId="7A7B48F8" w14:textId="4B585B52" w:rsidR="0017551D" w:rsidRPr="00A22592" w:rsidRDefault="0017551D" w:rsidP="00F422D3">
          <w:pPr>
            <w:pStyle w:val="Zpat0"/>
            <w:rPr>
              <w:sz w:val="14"/>
            </w:rPr>
          </w:pPr>
          <w:r w:rsidRPr="004B4A09">
            <w:rPr>
              <w:sz w:val="14"/>
            </w:rPr>
            <w:t>Nový Bor, Libuň, Lučany, Višňová, Zákupy, Železný Brod – demolice (strážní domky, provozní objekty)</w:t>
          </w:r>
        </w:p>
      </w:tc>
    </w:tr>
  </w:tbl>
  <w:p w14:paraId="53C93338" w14:textId="77777777" w:rsidR="0017551D" w:rsidRPr="00B8518B" w:rsidRDefault="0017551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17551D" w:rsidRPr="00B8518B" w:rsidRDefault="0017551D" w:rsidP="00460660">
    <w:pPr>
      <w:pStyle w:val="Zpat"/>
      <w:rPr>
        <w:sz w:val="2"/>
        <w:szCs w:val="2"/>
      </w:rPr>
    </w:pPr>
  </w:p>
  <w:p w14:paraId="79482BEC" w14:textId="77777777" w:rsidR="0017551D" w:rsidRPr="00460660" w:rsidRDefault="0017551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551D" w:rsidRPr="00A22592" w14:paraId="22AF6DD5" w14:textId="77777777" w:rsidTr="00EB46E5">
      <w:tc>
        <w:tcPr>
          <w:tcW w:w="1361" w:type="dxa"/>
          <w:tcMar>
            <w:left w:w="0" w:type="dxa"/>
            <w:right w:w="0" w:type="dxa"/>
          </w:tcMar>
          <w:vAlign w:val="bottom"/>
        </w:tcPr>
        <w:p w14:paraId="608A442B" w14:textId="77777777" w:rsidR="0017551D" w:rsidRPr="00B8518B" w:rsidRDefault="0017551D" w:rsidP="00502690">
          <w:pPr>
            <w:pStyle w:val="Zpat"/>
            <w:jc w:val="right"/>
            <w:rPr>
              <w:rStyle w:val="slostrnky"/>
            </w:rPr>
          </w:pPr>
        </w:p>
      </w:tc>
      <w:tc>
        <w:tcPr>
          <w:tcW w:w="284" w:type="dxa"/>
          <w:shd w:val="clear" w:color="auto" w:fill="auto"/>
          <w:tcMar>
            <w:left w:w="0" w:type="dxa"/>
            <w:right w:w="0" w:type="dxa"/>
          </w:tcMar>
        </w:tcPr>
        <w:p w14:paraId="336607A1" w14:textId="77777777" w:rsidR="0017551D" w:rsidRDefault="0017551D" w:rsidP="00B8518B">
          <w:pPr>
            <w:pStyle w:val="Zpat"/>
          </w:pPr>
        </w:p>
      </w:tc>
      <w:tc>
        <w:tcPr>
          <w:tcW w:w="425" w:type="dxa"/>
          <w:shd w:val="clear" w:color="auto" w:fill="auto"/>
          <w:tcMar>
            <w:left w:w="0" w:type="dxa"/>
            <w:right w:w="0" w:type="dxa"/>
          </w:tcMar>
        </w:tcPr>
        <w:p w14:paraId="6C3F7571" w14:textId="77777777" w:rsidR="0017551D" w:rsidRDefault="0017551D" w:rsidP="00B8518B">
          <w:pPr>
            <w:pStyle w:val="Zpat"/>
          </w:pPr>
        </w:p>
      </w:tc>
      <w:tc>
        <w:tcPr>
          <w:tcW w:w="8505" w:type="dxa"/>
        </w:tcPr>
        <w:p w14:paraId="5989549A" w14:textId="77777777" w:rsidR="0017551D" w:rsidRPr="00A22592" w:rsidRDefault="0017551D" w:rsidP="00F422D3">
          <w:pPr>
            <w:pStyle w:val="Zpat0"/>
            <w:rPr>
              <w:b/>
              <w:sz w:val="14"/>
            </w:rPr>
          </w:pPr>
          <w:r>
            <w:rPr>
              <w:b/>
              <w:sz w:val="14"/>
            </w:rPr>
            <w:t>SMLOUVA O DÍLO</w:t>
          </w:r>
        </w:p>
        <w:p w14:paraId="047F8F29" w14:textId="77777777" w:rsidR="0017551D" w:rsidRPr="00A22592" w:rsidRDefault="0017551D" w:rsidP="00F95FBD">
          <w:pPr>
            <w:pStyle w:val="Zpat0"/>
            <w:rPr>
              <w:sz w:val="14"/>
            </w:rPr>
          </w:pPr>
          <w:r w:rsidRPr="00A22592">
            <w:rPr>
              <w:sz w:val="14"/>
            </w:rPr>
            <w:t>Zhotovení stavby</w:t>
          </w:r>
        </w:p>
        <w:p w14:paraId="2CA3CAFF" w14:textId="622CFD96" w:rsidR="0017551D" w:rsidRPr="00A22592" w:rsidRDefault="0017551D" w:rsidP="00F95FBD">
          <w:pPr>
            <w:pStyle w:val="Zpat0"/>
            <w:rPr>
              <w:sz w:val="14"/>
            </w:rPr>
          </w:pPr>
          <w:r w:rsidRPr="004B4A09">
            <w:rPr>
              <w:sz w:val="14"/>
            </w:rPr>
            <w:t>Nový Bor, Libuň, Lučany, Višňová, Zákupy, Železný Brod – demolice (strážní domky, provozní objekty)</w:t>
          </w:r>
        </w:p>
      </w:tc>
    </w:tr>
  </w:tbl>
  <w:p w14:paraId="3F154C03" w14:textId="77777777" w:rsidR="0017551D" w:rsidRPr="00B8518B" w:rsidRDefault="0017551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17551D" w:rsidRPr="008F58C3" w:rsidRDefault="0017551D">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9EC6AA" w14:textId="77777777" w:rsidR="00D17A2B" w:rsidRDefault="00D17A2B" w:rsidP="00962258">
      <w:pPr>
        <w:spacing w:after="0" w:line="240" w:lineRule="auto"/>
      </w:pPr>
      <w:r>
        <w:separator/>
      </w:r>
    </w:p>
  </w:footnote>
  <w:footnote w:type="continuationSeparator" w:id="0">
    <w:p w14:paraId="693755EE" w14:textId="77777777" w:rsidR="00D17A2B" w:rsidRDefault="00D17A2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551D" w14:paraId="5D031E28" w14:textId="77777777" w:rsidTr="00C02D0A">
      <w:trPr>
        <w:trHeight w:hRule="exact" w:val="454"/>
      </w:trPr>
      <w:tc>
        <w:tcPr>
          <w:tcW w:w="1361" w:type="dxa"/>
          <w:tcMar>
            <w:top w:w="57" w:type="dxa"/>
            <w:left w:w="0" w:type="dxa"/>
            <w:right w:w="0" w:type="dxa"/>
          </w:tcMar>
        </w:tcPr>
        <w:p w14:paraId="4489E32C" w14:textId="77777777" w:rsidR="0017551D" w:rsidRPr="00B8518B" w:rsidRDefault="0017551D" w:rsidP="00523EA7">
          <w:pPr>
            <w:pStyle w:val="Zpat"/>
            <w:rPr>
              <w:rStyle w:val="slostrnky"/>
            </w:rPr>
          </w:pPr>
        </w:p>
      </w:tc>
      <w:tc>
        <w:tcPr>
          <w:tcW w:w="3458" w:type="dxa"/>
          <w:shd w:val="clear" w:color="auto" w:fill="auto"/>
          <w:tcMar>
            <w:top w:w="57" w:type="dxa"/>
            <w:left w:w="0" w:type="dxa"/>
            <w:right w:w="0" w:type="dxa"/>
          </w:tcMar>
        </w:tcPr>
        <w:p w14:paraId="78DCDEDB" w14:textId="77777777" w:rsidR="0017551D" w:rsidRDefault="0017551D" w:rsidP="00523EA7">
          <w:pPr>
            <w:pStyle w:val="Zpat"/>
          </w:pPr>
        </w:p>
      </w:tc>
      <w:tc>
        <w:tcPr>
          <w:tcW w:w="5698" w:type="dxa"/>
          <w:shd w:val="clear" w:color="auto" w:fill="auto"/>
          <w:tcMar>
            <w:top w:w="57" w:type="dxa"/>
            <w:left w:w="0" w:type="dxa"/>
            <w:right w:w="0" w:type="dxa"/>
          </w:tcMar>
        </w:tcPr>
        <w:p w14:paraId="4C5E6986" w14:textId="77777777" w:rsidR="0017551D" w:rsidRPr="00D6163D" w:rsidRDefault="0017551D" w:rsidP="00D6163D">
          <w:pPr>
            <w:pStyle w:val="Druhdokumentu"/>
          </w:pPr>
        </w:p>
      </w:tc>
    </w:tr>
  </w:tbl>
  <w:p w14:paraId="5BA8D49F" w14:textId="77777777" w:rsidR="0017551D" w:rsidRPr="00D6163D" w:rsidRDefault="0017551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7551D" w14:paraId="384D7FDA" w14:textId="77777777" w:rsidTr="00B22106">
      <w:trPr>
        <w:trHeight w:hRule="exact" w:val="936"/>
      </w:trPr>
      <w:tc>
        <w:tcPr>
          <w:tcW w:w="1361" w:type="dxa"/>
          <w:tcMar>
            <w:left w:w="0" w:type="dxa"/>
            <w:right w:w="0" w:type="dxa"/>
          </w:tcMar>
        </w:tcPr>
        <w:p w14:paraId="78661BD7" w14:textId="77777777" w:rsidR="0017551D" w:rsidRPr="00B8518B" w:rsidRDefault="0017551D" w:rsidP="00FC6389">
          <w:pPr>
            <w:pStyle w:val="Zpat"/>
            <w:rPr>
              <w:rStyle w:val="slostrnky"/>
            </w:rPr>
          </w:pPr>
        </w:p>
      </w:tc>
      <w:tc>
        <w:tcPr>
          <w:tcW w:w="3458" w:type="dxa"/>
          <w:shd w:val="clear" w:color="auto" w:fill="auto"/>
          <w:tcMar>
            <w:left w:w="0" w:type="dxa"/>
            <w:right w:w="0" w:type="dxa"/>
          </w:tcMar>
        </w:tcPr>
        <w:p w14:paraId="0046FBB3" w14:textId="77777777" w:rsidR="0017551D" w:rsidRDefault="0017551D" w:rsidP="00FC6389">
          <w:pPr>
            <w:pStyle w:val="Zpat"/>
          </w:pPr>
        </w:p>
      </w:tc>
      <w:tc>
        <w:tcPr>
          <w:tcW w:w="5756" w:type="dxa"/>
          <w:shd w:val="clear" w:color="auto" w:fill="auto"/>
          <w:tcMar>
            <w:left w:w="0" w:type="dxa"/>
            <w:right w:w="0" w:type="dxa"/>
          </w:tcMar>
        </w:tcPr>
        <w:p w14:paraId="3E32A76B" w14:textId="77777777" w:rsidR="0017551D" w:rsidRPr="00D6163D" w:rsidRDefault="0017551D" w:rsidP="00FC6389">
          <w:pPr>
            <w:pStyle w:val="Druhdokumentu"/>
          </w:pPr>
        </w:p>
      </w:tc>
    </w:tr>
    <w:tr w:rsidR="0017551D" w14:paraId="1C69BDF4" w14:textId="77777777" w:rsidTr="00B22106">
      <w:trPr>
        <w:trHeight w:hRule="exact" w:val="936"/>
      </w:trPr>
      <w:tc>
        <w:tcPr>
          <w:tcW w:w="1361" w:type="dxa"/>
          <w:tcMar>
            <w:left w:w="0" w:type="dxa"/>
            <w:right w:w="0" w:type="dxa"/>
          </w:tcMar>
        </w:tcPr>
        <w:p w14:paraId="102E971B" w14:textId="77777777" w:rsidR="0017551D" w:rsidRPr="00B8518B" w:rsidRDefault="0017551D" w:rsidP="00FC6389">
          <w:pPr>
            <w:pStyle w:val="Zpat"/>
            <w:rPr>
              <w:rStyle w:val="slostrnky"/>
            </w:rPr>
          </w:pPr>
        </w:p>
      </w:tc>
      <w:tc>
        <w:tcPr>
          <w:tcW w:w="3458" w:type="dxa"/>
          <w:shd w:val="clear" w:color="auto" w:fill="auto"/>
          <w:tcMar>
            <w:left w:w="0" w:type="dxa"/>
            <w:right w:w="0" w:type="dxa"/>
          </w:tcMar>
        </w:tcPr>
        <w:p w14:paraId="6667902B" w14:textId="77777777" w:rsidR="0017551D" w:rsidRDefault="0017551D" w:rsidP="00FC6389">
          <w:pPr>
            <w:pStyle w:val="Zpat"/>
          </w:pPr>
        </w:p>
      </w:tc>
      <w:tc>
        <w:tcPr>
          <w:tcW w:w="5756" w:type="dxa"/>
          <w:shd w:val="clear" w:color="auto" w:fill="auto"/>
          <w:tcMar>
            <w:left w:w="0" w:type="dxa"/>
            <w:right w:w="0" w:type="dxa"/>
          </w:tcMar>
        </w:tcPr>
        <w:p w14:paraId="2E12A5A7" w14:textId="77777777" w:rsidR="0017551D" w:rsidRPr="00D6163D" w:rsidRDefault="0017551D" w:rsidP="00FC6389">
          <w:pPr>
            <w:pStyle w:val="Druhdokumentu"/>
          </w:pPr>
        </w:p>
      </w:tc>
    </w:tr>
  </w:tbl>
  <w:p w14:paraId="1FA8FBA8" w14:textId="77777777" w:rsidR="0017551D" w:rsidRPr="00D6163D" w:rsidRDefault="0017551D"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17551D" w:rsidRPr="00460660" w:rsidRDefault="0017551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551D" w14:paraId="692406C5" w14:textId="77777777" w:rsidTr="00C02D0A">
      <w:trPr>
        <w:trHeight w:hRule="exact" w:val="454"/>
      </w:trPr>
      <w:tc>
        <w:tcPr>
          <w:tcW w:w="1361" w:type="dxa"/>
          <w:tcMar>
            <w:top w:w="57" w:type="dxa"/>
            <w:left w:w="0" w:type="dxa"/>
            <w:right w:w="0" w:type="dxa"/>
          </w:tcMar>
        </w:tcPr>
        <w:p w14:paraId="3ED70212" w14:textId="77777777" w:rsidR="0017551D" w:rsidRPr="00B8518B" w:rsidRDefault="0017551D" w:rsidP="00523EA7">
          <w:pPr>
            <w:pStyle w:val="Zpat"/>
            <w:rPr>
              <w:rStyle w:val="slostrnky"/>
            </w:rPr>
          </w:pPr>
        </w:p>
      </w:tc>
      <w:tc>
        <w:tcPr>
          <w:tcW w:w="3458" w:type="dxa"/>
          <w:shd w:val="clear" w:color="auto" w:fill="auto"/>
          <w:tcMar>
            <w:top w:w="57" w:type="dxa"/>
            <w:left w:w="0" w:type="dxa"/>
            <w:right w:w="0" w:type="dxa"/>
          </w:tcMar>
        </w:tcPr>
        <w:p w14:paraId="59774E18" w14:textId="77777777" w:rsidR="0017551D" w:rsidRDefault="0017551D" w:rsidP="00523EA7">
          <w:pPr>
            <w:pStyle w:val="Zpat"/>
          </w:pPr>
        </w:p>
      </w:tc>
      <w:tc>
        <w:tcPr>
          <w:tcW w:w="5698" w:type="dxa"/>
          <w:shd w:val="clear" w:color="auto" w:fill="auto"/>
          <w:tcMar>
            <w:top w:w="57" w:type="dxa"/>
            <w:left w:w="0" w:type="dxa"/>
            <w:right w:w="0" w:type="dxa"/>
          </w:tcMar>
        </w:tcPr>
        <w:p w14:paraId="50FBDB97" w14:textId="77777777" w:rsidR="0017551D" w:rsidRPr="00D6163D" w:rsidRDefault="0017551D" w:rsidP="00D6163D">
          <w:pPr>
            <w:pStyle w:val="Druhdokumentu"/>
          </w:pPr>
        </w:p>
      </w:tc>
    </w:tr>
  </w:tbl>
  <w:p w14:paraId="2624A862" w14:textId="77777777" w:rsidR="0017551D" w:rsidRPr="00D6163D" w:rsidRDefault="0017551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551D" w14:paraId="7E53CC94" w14:textId="77777777" w:rsidTr="00C02D0A">
      <w:trPr>
        <w:trHeight w:hRule="exact" w:val="454"/>
      </w:trPr>
      <w:tc>
        <w:tcPr>
          <w:tcW w:w="1361" w:type="dxa"/>
          <w:tcMar>
            <w:top w:w="57" w:type="dxa"/>
            <w:left w:w="0" w:type="dxa"/>
            <w:right w:w="0" w:type="dxa"/>
          </w:tcMar>
        </w:tcPr>
        <w:p w14:paraId="5B1C5B69" w14:textId="77777777" w:rsidR="0017551D" w:rsidRPr="00B8518B" w:rsidRDefault="0017551D" w:rsidP="00523EA7">
          <w:pPr>
            <w:pStyle w:val="Zpat"/>
            <w:rPr>
              <w:rStyle w:val="slostrnky"/>
            </w:rPr>
          </w:pPr>
        </w:p>
      </w:tc>
      <w:tc>
        <w:tcPr>
          <w:tcW w:w="3458" w:type="dxa"/>
          <w:shd w:val="clear" w:color="auto" w:fill="auto"/>
          <w:tcMar>
            <w:top w:w="57" w:type="dxa"/>
            <w:left w:w="0" w:type="dxa"/>
            <w:right w:w="0" w:type="dxa"/>
          </w:tcMar>
        </w:tcPr>
        <w:p w14:paraId="69EBB16B" w14:textId="77777777" w:rsidR="0017551D" w:rsidRDefault="0017551D" w:rsidP="00523EA7">
          <w:pPr>
            <w:pStyle w:val="Zpat"/>
          </w:pPr>
        </w:p>
      </w:tc>
      <w:tc>
        <w:tcPr>
          <w:tcW w:w="5698" w:type="dxa"/>
          <w:shd w:val="clear" w:color="auto" w:fill="auto"/>
          <w:tcMar>
            <w:top w:w="57" w:type="dxa"/>
            <w:left w:w="0" w:type="dxa"/>
            <w:right w:w="0" w:type="dxa"/>
          </w:tcMar>
        </w:tcPr>
        <w:p w14:paraId="120253C1" w14:textId="77777777" w:rsidR="0017551D" w:rsidRPr="00D6163D" w:rsidRDefault="0017551D" w:rsidP="00D6163D">
          <w:pPr>
            <w:pStyle w:val="Druhdokumentu"/>
          </w:pPr>
        </w:p>
      </w:tc>
    </w:tr>
  </w:tbl>
  <w:p w14:paraId="6FDC562E" w14:textId="77777777" w:rsidR="0017551D" w:rsidRPr="00D6163D" w:rsidRDefault="0017551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551D" w14:paraId="46017BCD" w14:textId="77777777" w:rsidTr="00C02D0A">
      <w:trPr>
        <w:trHeight w:hRule="exact" w:val="454"/>
      </w:trPr>
      <w:tc>
        <w:tcPr>
          <w:tcW w:w="1361" w:type="dxa"/>
          <w:tcMar>
            <w:top w:w="57" w:type="dxa"/>
            <w:left w:w="0" w:type="dxa"/>
            <w:right w:w="0" w:type="dxa"/>
          </w:tcMar>
        </w:tcPr>
        <w:p w14:paraId="3D3A857B" w14:textId="77777777" w:rsidR="0017551D" w:rsidRPr="00B8518B" w:rsidRDefault="0017551D" w:rsidP="00523EA7">
          <w:pPr>
            <w:pStyle w:val="Zpat"/>
            <w:rPr>
              <w:rStyle w:val="slostrnky"/>
            </w:rPr>
          </w:pPr>
        </w:p>
      </w:tc>
      <w:tc>
        <w:tcPr>
          <w:tcW w:w="3458" w:type="dxa"/>
          <w:shd w:val="clear" w:color="auto" w:fill="auto"/>
          <w:tcMar>
            <w:top w:w="57" w:type="dxa"/>
            <w:left w:w="0" w:type="dxa"/>
            <w:right w:w="0" w:type="dxa"/>
          </w:tcMar>
        </w:tcPr>
        <w:p w14:paraId="091F922F" w14:textId="77777777" w:rsidR="0017551D" w:rsidRDefault="0017551D" w:rsidP="00523EA7">
          <w:pPr>
            <w:pStyle w:val="Zpat"/>
          </w:pPr>
        </w:p>
      </w:tc>
      <w:tc>
        <w:tcPr>
          <w:tcW w:w="5698" w:type="dxa"/>
          <w:shd w:val="clear" w:color="auto" w:fill="auto"/>
          <w:tcMar>
            <w:top w:w="57" w:type="dxa"/>
            <w:left w:w="0" w:type="dxa"/>
            <w:right w:w="0" w:type="dxa"/>
          </w:tcMar>
        </w:tcPr>
        <w:p w14:paraId="1B37C807" w14:textId="77777777" w:rsidR="0017551D" w:rsidRPr="00D6163D" w:rsidRDefault="0017551D" w:rsidP="00D6163D">
          <w:pPr>
            <w:pStyle w:val="Druhdokumentu"/>
          </w:pPr>
        </w:p>
      </w:tc>
    </w:tr>
  </w:tbl>
  <w:p w14:paraId="41F73759" w14:textId="77777777" w:rsidR="0017551D" w:rsidRPr="00D6163D" w:rsidRDefault="0017551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551D" w14:paraId="1A796983" w14:textId="77777777" w:rsidTr="00C02D0A">
      <w:trPr>
        <w:trHeight w:hRule="exact" w:val="454"/>
      </w:trPr>
      <w:tc>
        <w:tcPr>
          <w:tcW w:w="1361" w:type="dxa"/>
          <w:tcMar>
            <w:top w:w="57" w:type="dxa"/>
            <w:left w:w="0" w:type="dxa"/>
            <w:right w:w="0" w:type="dxa"/>
          </w:tcMar>
        </w:tcPr>
        <w:p w14:paraId="2C49E13B" w14:textId="77777777" w:rsidR="0017551D" w:rsidRPr="00B8518B" w:rsidRDefault="0017551D" w:rsidP="00523EA7">
          <w:pPr>
            <w:pStyle w:val="Zpat"/>
            <w:rPr>
              <w:rStyle w:val="slostrnky"/>
            </w:rPr>
          </w:pPr>
        </w:p>
      </w:tc>
      <w:tc>
        <w:tcPr>
          <w:tcW w:w="3458" w:type="dxa"/>
          <w:shd w:val="clear" w:color="auto" w:fill="auto"/>
          <w:tcMar>
            <w:top w:w="57" w:type="dxa"/>
            <w:left w:w="0" w:type="dxa"/>
            <w:right w:w="0" w:type="dxa"/>
          </w:tcMar>
        </w:tcPr>
        <w:p w14:paraId="29525732" w14:textId="77777777" w:rsidR="0017551D" w:rsidRDefault="0017551D" w:rsidP="00523EA7">
          <w:pPr>
            <w:pStyle w:val="Zpat"/>
          </w:pPr>
        </w:p>
      </w:tc>
      <w:tc>
        <w:tcPr>
          <w:tcW w:w="5698" w:type="dxa"/>
          <w:shd w:val="clear" w:color="auto" w:fill="auto"/>
          <w:tcMar>
            <w:top w:w="57" w:type="dxa"/>
            <w:left w:w="0" w:type="dxa"/>
            <w:right w:w="0" w:type="dxa"/>
          </w:tcMar>
        </w:tcPr>
        <w:p w14:paraId="56E7ECEF" w14:textId="77777777" w:rsidR="0017551D" w:rsidRPr="00D6163D" w:rsidRDefault="0017551D" w:rsidP="00D6163D">
          <w:pPr>
            <w:pStyle w:val="Druhdokumentu"/>
          </w:pPr>
        </w:p>
      </w:tc>
    </w:tr>
  </w:tbl>
  <w:p w14:paraId="3ED19484" w14:textId="77777777" w:rsidR="0017551D" w:rsidRPr="00D6163D" w:rsidRDefault="0017551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 w:numId="25">
    <w:abstractNumId w:val="0"/>
  </w:num>
  <w:num w:numId="26">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16A1"/>
    <w:rsid w:val="000B4EB8"/>
    <w:rsid w:val="000B6107"/>
    <w:rsid w:val="000C41F2"/>
    <w:rsid w:val="000C785B"/>
    <w:rsid w:val="000D22C4"/>
    <w:rsid w:val="000D27D1"/>
    <w:rsid w:val="000E0CC3"/>
    <w:rsid w:val="000E1A7F"/>
    <w:rsid w:val="000E2C8D"/>
    <w:rsid w:val="000E4714"/>
    <w:rsid w:val="000F3947"/>
    <w:rsid w:val="00103401"/>
    <w:rsid w:val="00112864"/>
    <w:rsid w:val="00114472"/>
    <w:rsid w:val="00114988"/>
    <w:rsid w:val="00115069"/>
    <w:rsid w:val="001150F2"/>
    <w:rsid w:val="00120115"/>
    <w:rsid w:val="00135ABA"/>
    <w:rsid w:val="00143EC0"/>
    <w:rsid w:val="001543F7"/>
    <w:rsid w:val="00154D3E"/>
    <w:rsid w:val="001554C7"/>
    <w:rsid w:val="001623B8"/>
    <w:rsid w:val="001656A2"/>
    <w:rsid w:val="00165977"/>
    <w:rsid w:val="00165A92"/>
    <w:rsid w:val="00170EC5"/>
    <w:rsid w:val="001747C1"/>
    <w:rsid w:val="0017551D"/>
    <w:rsid w:val="00177D6B"/>
    <w:rsid w:val="001821EF"/>
    <w:rsid w:val="001913F8"/>
    <w:rsid w:val="00191A70"/>
    <w:rsid w:val="00191F90"/>
    <w:rsid w:val="0019261C"/>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93E2C"/>
    <w:rsid w:val="002A204D"/>
    <w:rsid w:val="002A3B57"/>
    <w:rsid w:val="002A5468"/>
    <w:rsid w:val="002B7098"/>
    <w:rsid w:val="002B7828"/>
    <w:rsid w:val="002C1451"/>
    <w:rsid w:val="002C31BF"/>
    <w:rsid w:val="002C5FCC"/>
    <w:rsid w:val="002C7A28"/>
    <w:rsid w:val="002D536A"/>
    <w:rsid w:val="002D59FD"/>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1418"/>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3DC9"/>
    <w:rsid w:val="00485A7E"/>
    <w:rsid w:val="00485CE8"/>
    <w:rsid w:val="00486107"/>
    <w:rsid w:val="00491827"/>
    <w:rsid w:val="004B406E"/>
    <w:rsid w:val="004B4A09"/>
    <w:rsid w:val="004B66F4"/>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209D"/>
    <w:rsid w:val="005341CF"/>
    <w:rsid w:val="00534D7F"/>
    <w:rsid w:val="005363B1"/>
    <w:rsid w:val="005406EB"/>
    <w:rsid w:val="0054077E"/>
    <w:rsid w:val="00553375"/>
    <w:rsid w:val="00555884"/>
    <w:rsid w:val="00555D92"/>
    <w:rsid w:val="0056324A"/>
    <w:rsid w:val="005637FB"/>
    <w:rsid w:val="0056655D"/>
    <w:rsid w:val="00566D66"/>
    <w:rsid w:val="00570121"/>
    <w:rsid w:val="005736B7"/>
    <w:rsid w:val="0057416E"/>
    <w:rsid w:val="00575E5A"/>
    <w:rsid w:val="00580245"/>
    <w:rsid w:val="005823AD"/>
    <w:rsid w:val="00583B03"/>
    <w:rsid w:val="00595AAC"/>
    <w:rsid w:val="00595DEF"/>
    <w:rsid w:val="005A1F44"/>
    <w:rsid w:val="005B7A97"/>
    <w:rsid w:val="005C0361"/>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A4F"/>
    <w:rsid w:val="00650D83"/>
    <w:rsid w:val="0065610E"/>
    <w:rsid w:val="006568B1"/>
    <w:rsid w:val="00660AD3"/>
    <w:rsid w:val="00667785"/>
    <w:rsid w:val="00674149"/>
    <w:rsid w:val="006776B6"/>
    <w:rsid w:val="00681874"/>
    <w:rsid w:val="00687F8B"/>
    <w:rsid w:val="006921B1"/>
    <w:rsid w:val="00693150"/>
    <w:rsid w:val="00693C3D"/>
    <w:rsid w:val="00694795"/>
    <w:rsid w:val="00697906"/>
    <w:rsid w:val="006A1160"/>
    <w:rsid w:val="006A393D"/>
    <w:rsid w:val="006A5570"/>
    <w:rsid w:val="006A689C"/>
    <w:rsid w:val="006B3D79"/>
    <w:rsid w:val="006B59B7"/>
    <w:rsid w:val="006B6FE4"/>
    <w:rsid w:val="006C0BB6"/>
    <w:rsid w:val="006C1EC0"/>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2498E"/>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70C"/>
    <w:rsid w:val="007C45BD"/>
    <w:rsid w:val="007C4689"/>
    <w:rsid w:val="007C5C3B"/>
    <w:rsid w:val="007C60A1"/>
    <w:rsid w:val="007E4A6E"/>
    <w:rsid w:val="007E56AB"/>
    <w:rsid w:val="007F5637"/>
    <w:rsid w:val="007F56A7"/>
    <w:rsid w:val="00800851"/>
    <w:rsid w:val="00805BFF"/>
    <w:rsid w:val="00807DD0"/>
    <w:rsid w:val="00817E6B"/>
    <w:rsid w:val="00821D01"/>
    <w:rsid w:val="00826A73"/>
    <w:rsid w:val="00826B7B"/>
    <w:rsid w:val="008278E1"/>
    <w:rsid w:val="00830AC4"/>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B2A2E"/>
    <w:rsid w:val="008B2E87"/>
    <w:rsid w:val="008B4D60"/>
    <w:rsid w:val="008C15AA"/>
    <w:rsid w:val="008C1825"/>
    <w:rsid w:val="008C50F3"/>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53F73"/>
    <w:rsid w:val="00962258"/>
    <w:rsid w:val="009678B5"/>
    <w:rsid w:val="009678B7"/>
    <w:rsid w:val="00992B9C"/>
    <w:rsid w:val="00992D9C"/>
    <w:rsid w:val="00996CB8"/>
    <w:rsid w:val="00996CF3"/>
    <w:rsid w:val="009A0C40"/>
    <w:rsid w:val="009A0EA9"/>
    <w:rsid w:val="009A162A"/>
    <w:rsid w:val="009B2E97"/>
    <w:rsid w:val="009B36A9"/>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56C0"/>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6D17"/>
    <w:rsid w:val="00B074C5"/>
    <w:rsid w:val="00B13A26"/>
    <w:rsid w:val="00B15D0D"/>
    <w:rsid w:val="00B22106"/>
    <w:rsid w:val="00B30DE7"/>
    <w:rsid w:val="00B33F6A"/>
    <w:rsid w:val="00B4297C"/>
    <w:rsid w:val="00B42F40"/>
    <w:rsid w:val="00B449BD"/>
    <w:rsid w:val="00B46948"/>
    <w:rsid w:val="00B47B19"/>
    <w:rsid w:val="00B50294"/>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11B06"/>
    <w:rsid w:val="00C226C0"/>
    <w:rsid w:val="00C30213"/>
    <w:rsid w:val="00C30DDE"/>
    <w:rsid w:val="00C34BFD"/>
    <w:rsid w:val="00C37459"/>
    <w:rsid w:val="00C37C47"/>
    <w:rsid w:val="00C37F6C"/>
    <w:rsid w:val="00C42FE6"/>
    <w:rsid w:val="00C44F6A"/>
    <w:rsid w:val="00C45470"/>
    <w:rsid w:val="00C55D08"/>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17A2B"/>
    <w:rsid w:val="00D21061"/>
    <w:rsid w:val="00D32554"/>
    <w:rsid w:val="00D40A8A"/>
    <w:rsid w:val="00D4108E"/>
    <w:rsid w:val="00D4328E"/>
    <w:rsid w:val="00D4758D"/>
    <w:rsid w:val="00D6163D"/>
    <w:rsid w:val="00D65992"/>
    <w:rsid w:val="00D73533"/>
    <w:rsid w:val="00D76F55"/>
    <w:rsid w:val="00D77605"/>
    <w:rsid w:val="00D80984"/>
    <w:rsid w:val="00D831A3"/>
    <w:rsid w:val="00D8376F"/>
    <w:rsid w:val="00D935B2"/>
    <w:rsid w:val="00D93F21"/>
    <w:rsid w:val="00D97BE3"/>
    <w:rsid w:val="00DA1F47"/>
    <w:rsid w:val="00DA3711"/>
    <w:rsid w:val="00DD1C6B"/>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234A"/>
    <w:rsid w:val="00E65EE7"/>
    <w:rsid w:val="00E70043"/>
    <w:rsid w:val="00E7415D"/>
    <w:rsid w:val="00E7453E"/>
    <w:rsid w:val="00E877FB"/>
    <w:rsid w:val="00E878EE"/>
    <w:rsid w:val="00E901A3"/>
    <w:rsid w:val="00E904F1"/>
    <w:rsid w:val="00E9267F"/>
    <w:rsid w:val="00E9697F"/>
    <w:rsid w:val="00EA23D9"/>
    <w:rsid w:val="00EA548B"/>
    <w:rsid w:val="00EA585B"/>
    <w:rsid w:val="00EA6EC7"/>
    <w:rsid w:val="00EB104F"/>
    <w:rsid w:val="00EB46E5"/>
    <w:rsid w:val="00EB676D"/>
    <w:rsid w:val="00EC2473"/>
    <w:rsid w:val="00EC29B0"/>
    <w:rsid w:val="00EC539D"/>
    <w:rsid w:val="00ED14BD"/>
    <w:rsid w:val="00ED29F1"/>
    <w:rsid w:val="00EF09AF"/>
    <w:rsid w:val="00EF33B0"/>
    <w:rsid w:val="00EF79B9"/>
    <w:rsid w:val="00F016C7"/>
    <w:rsid w:val="00F03C88"/>
    <w:rsid w:val="00F12DEC"/>
    <w:rsid w:val="00F14C08"/>
    <w:rsid w:val="00F1715C"/>
    <w:rsid w:val="00F21D17"/>
    <w:rsid w:val="00F24489"/>
    <w:rsid w:val="00F310F8"/>
    <w:rsid w:val="00F340DA"/>
    <w:rsid w:val="00F35939"/>
    <w:rsid w:val="00F40CF6"/>
    <w:rsid w:val="00F422D3"/>
    <w:rsid w:val="00F45607"/>
    <w:rsid w:val="00F457D2"/>
    <w:rsid w:val="00F4722B"/>
    <w:rsid w:val="00F54432"/>
    <w:rsid w:val="00F609A6"/>
    <w:rsid w:val="00F6217F"/>
    <w:rsid w:val="00F659EB"/>
    <w:rsid w:val="00F70809"/>
    <w:rsid w:val="00F71A5D"/>
    <w:rsid w:val="00F762A8"/>
    <w:rsid w:val="00F82134"/>
    <w:rsid w:val="00F86BA6"/>
    <w:rsid w:val="00F87C8D"/>
    <w:rsid w:val="00F95FBD"/>
    <w:rsid w:val="00FB6115"/>
    <w:rsid w:val="00FB6342"/>
    <w:rsid w:val="00FB669C"/>
    <w:rsid w:val="00FC033A"/>
    <w:rsid w:val="00FC6389"/>
    <w:rsid w:val="00FD0BD8"/>
    <w:rsid w:val="00FD14D5"/>
    <w:rsid w:val="00FD4429"/>
    <w:rsid w:val="00FE6AEC"/>
    <w:rsid w:val="00FE74D4"/>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60B8B66-C8E3-4F77-B082-BDE093002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17</Pages>
  <Words>6988</Words>
  <Characters>41233</Characters>
  <Application>Microsoft Office Word</Application>
  <DocSecurity>0</DocSecurity>
  <Lines>343</Lines>
  <Paragraphs>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Suchá Markéta</cp:lastModifiedBy>
  <cp:revision>4</cp:revision>
  <cp:lastPrinted>2019-05-15T08:59:00Z</cp:lastPrinted>
  <dcterms:created xsi:type="dcterms:W3CDTF">2022-11-09T10:56:00Z</dcterms:created>
  <dcterms:modified xsi:type="dcterms:W3CDTF">2022-11-23T07:24:00Z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