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3BA1E403" w:rsidR="00784660" w:rsidRPr="00402B45" w:rsidRDefault="00784660" w:rsidP="007B1317">
      <w:pPr>
        <w:pStyle w:val="Titul2"/>
        <w:ind w:right="-144"/>
      </w:pPr>
      <w:r w:rsidRPr="00402B45">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A978D4" w:rsidRPr="00A978D4">
            <w:rPr>
              <w:rFonts w:cs="Verdana"/>
              <w:color w:val="000000"/>
            </w:rPr>
            <w:t xml:space="preserve">„Rekonstrukce výpravní budovy v </w:t>
          </w:r>
          <w:proofErr w:type="spellStart"/>
          <w:r w:rsidR="00A978D4" w:rsidRPr="00A978D4">
            <w:rPr>
              <w:rFonts w:cs="Verdana"/>
              <w:color w:val="000000"/>
            </w:rPr>
            <w:t>žst</w:t>
          </w:r>
          <w:proofErr w:type="spellEnd"/>
          <w:r w:rsidR="00A978D4" w:rsidRPr="00A978D4">
            <w:rPr>
              <w:rFonts w:cs="Verdana"/>
              <w:color w:val="000000"/>
            </w:rPr>
            <w:t>. Bílina“</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3CC1D472" w14:textId="77777777" w:rsidR="005A3FB8" w:rsidRDefault="00631592" w:rsidP="005A3FB8">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A978D4">
        <w:rPr>
          <w:rFonts w:ascii="Verdana" w:hAnsi="Verdana" w:cs="Arial"/>
          <w:sz w:val="18"/>
          <w:szCs w:val="18"/>
        </w:rPr>
        <w:t xml:space="preserve">ve věcech smluvních: </w:t>
      </w:r>
      <w:r w:rsidR="00A978D4" w:rsidRPr="00A978D4">
        <w:rPr>
          <w:rFonts w:ascii="Verdana" w:hAnsi="Verdana" w:cs="Arial"/>
          <w:sz w:val="18"/>
          <w:szCs w:val="18"/>
        </w:rPr>
        <w:t xml:space="preserve">Mgr. Daniel Továrnický, tel.: +420 722 988 744, e-mail: </w:t>
      </w:r>
      <w:hyperlink r:id="rId8" w:history="1">
        <w:r w:rsidR="00A978D4" w:rsidRPr="00A978D4">
          <w:rPr>
            <w:rStyle w:val="Hypertextovodkaz"/>
            <w:rFonts w:ascii="Verdana" w:hAnsi="Verdana" w:cs="Arial"/>
            <w:sz w:val="18"/>
            <w:szCs w:val="18"/>
          </w:rPr>
          <w:t>Tovarnicky@spravazeleznic.cz</w:t>
        </w:r>
      </w:hyperlink>
      <w:r w:rsidR="00A978D4" w:rsidRPr="00A978D4">
        <w:rPr>
          <w:rFonts w:ascii="Verdana" w:hAnsi="Verdana" w:cs="Arial"/>
          <w:sz w:val="18"/>
          <w:szCs w:val="18"/>
        </w:rPr>
        <w:t xml:space="preserve"> </w:t>
      </w:r>
      <w:r w:rsidR="00F1357D" w:rsidRPr="00A978D4">
        <w:rPr>
          <w:rFonts w:ascii="Verdana" w:hAnsi="Verdana" w:cs="Arial"/>
          <w:sz w:val="18"/>
          <w:szCs w:val="18"/>
        </w:rPr>
        <w:t xml:space="preserve"> </w:t>
      </w:r>
      <w:r w:rsidR="001A0268" w:rsidRPr="00A978D4">
        <w:rPr>
          <w:rFonts w:ascii="Verdana" w:hAnsi="Verdana" w:cs="Arial"/>
          <w:sz w:val="18"/>
          <w:szCs w:val="18"/>
        </w:rPr>
        <w:t xml:space="preserve">(mimo podpis této </w:t>
      </w:r>
      <w:r w:rsidR="004547EF" w:rsidRPr="00A978D4">
        <w:rPr>
          <w:rFonts w:ascii="Verdana" w:hAnsi="Verdana" w:cs="Arial"/>
          <w:sz w:val="18"/>
          <w:szCs w:val="18"/>
        </w:rPr>
        <w:t>s</w:t>
      </w:r>
      <w:r w:rsidR="001A0268" w:rsidRPr="00A978D4">
        <w:rPr>
          <w:rFonts w:ascii="Verdana" w:hAnsi="Verdana" w:cs="Arial"/>
          <w:sz w:val="18"/>
          <w:szCs w:val="18"/>
        </w:rPr>
        <w:t>mlouvy a jejích případných dodatků)</w:t>
      </w:r>
    </w:p>
    <w:p w14:paraId="23A1FC1B" w14:textId="304430E9" w:rsidR="001A0268" w:rsidRPr="005A3FB8" w:rsidRDefault="001A0268" w:rsidP="005A3FB8">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5A3FB8">
        <w:rPr>
          <w:rFonts w:ascii="Verdana" w:hAnsi="Verdana" w:cs="Arial"/>
          <w:sz w:val="18"/>
          <w:szCs w:val="18"/>
        </w:rPr>
        <w:t>ve věcech technických:</w:t>
      </w:r>
      <w:r w:rsidR="00A978D4" w:rsidRPr="005A3FB8">
        <w:rPr>
          <w:rFonts w:ascii="Verdana" w:hAnsi="Verdana" w:cs="Arial"/>
          <w:sz w:val="18"/>
          <w:szCs w:val="18"/>
        </w:rPr>
        <w:t xml:space="preserve"> Mgr. et Bc. Jiří </w:t>
      </w:r>
      <w:r w:rsidR="005A3FB8">
        <w:rPr>
          <w:rFonts w:ascii="Verdana" w:hAnsi="Verdana" w:cs="Arial"/>
          <w:sz w:val="18"/>
          <w:szCs w:val="18"/>
        </w:rPr>
        <w:t xml:space="preserve">Klášterka, D. </w:t>
      </w:r>
      <w:r w:rsidR="00A978D4" w:rsidRPr="005A3FB8">
        <w:rPr>
          <w:rFonts w:ascii="Verdana" w:hAnsi="Verdana" w:cs="Arial"/>
          <w:sz w:val="18"/>
          <w:szCs w:val="18"/>
        </w:rPr>
        <w:t>T.</w:t>
      </w:r>
      <w:r w:rsidR="00D8104C" w:rsidRPr="005A3FB8">
        <w:rPr>
          <w:rFonts w:ascii="Verdana" w:hAnsi="Verdana" w:cs="Arial"/>
          <w:sz w:val="18"/>
          <w:szCs w:val="18"/>
        </w:rPr>
        <w:t>,</w:t>
      </w:r>
      <w:r w:rsidR="00B41B3F" w:rsidRPr="005A3FB8">
        <w:rPr>
          <w:rFonts w:ascii="Verdana" w:hAnsi="Verdana" w:cs="Arial"/>
          <w:sz w:val="18"/>
          <w:szCs w:val="18"/>
        </w:rPr>
        <w:t xml:space="preserve"> </w:t>
      </w:r>
      <w:r w:rsidR="00BA0D8B" w:rsidRPr="005A3FB8">
        <w:rPr>
          <w:rFonts w:ascii="Verdana" w:hAnsi="Verdana" w:cs="Arial"/>
          <w:sz w:val="18"/>
          <w:szCs w:val="18"/>
        </w:rPr>
        <w:t>tel.</w:t>
      </w:r>
      <w:r w:rsidR="005A3FB8">
        <w:rPr>
          <w:rFonts w:ascii="Verdana" w:hAnsi="Verdana" w:cs="Arial"/>
          <w:sz w:val="18"/>
          <w:szCs w:val="18"/>
        </w:rPr>
        <w:t>:</w:t>
      </w:r>
      <w:r w:rsidR="005A3FB8" w:rsidRPr="005A3FB8">
        <w:rPr>
          <w:rFonts w:ascii="Verdana" w:hAnsi="Verdana" w:cs="Arial"/>
          <w:sz w:val="18"/>
          <w:szCs w:val="18"/>
        </w:rPr>
        <w:t xml:space="preserve"> +420 722 957 095</w:t>
      </w:r>
      <w:r w:rsidR="006A7423" w:rsidRPr="005A3FB8">
        <w:rPr>
          <w:rFonts w:ascii="Verdana" w:hAnsi="Verdana" w:cs="Arial"/>
          <w:sz w:val="18"/>
          <w:szCs w:val="18"/>
        </w:rPr>
        <w:t>:, e-mail:</w:t>
      </w:r>
      <w:r w:rsidR="00C02278" w:rsidRPr="005A3FB8">
        <w:rPr>
          <w:rFonts w:ascii="Verdana" w:hAnsi="Verdana" w:cs="Arial"/>
          <w:sz w:val="18"/>
          <w:szCs w:val="18"/>
        </w:rPr>
        <w:t xml:space="preserve"> </w:t>
      </w:r>
      <w:hyperlink r:id="rId9" w:history="1">
        <w:r w:rsidR="005A3FB8" w:rsidRPr="001A3846">
          <w:rPr>
            <w:rStyle w:val="Hypertextovodkaz"/>
            <w:rFonts w:ascii="Verdana" w:hAnsi="Verdana" w:cs="Arial"/>
            <w:sz w:val="18"/>
            <w:szCs w:val="18"/>
          </w:rPr>
          <w:t>Klasterkaj@spravazeleznic.cz</w:t>
        </w:r>
      </w:hyperlink>
      <w:r w:rsidR="005A3FB8" w:rsidRPr="005A3FB8">
        <w:rPr>
          <w:rFonts w:ascii="Verdana" w:hAnsi="Verdana" w:cs="Arial"/>
          <w:sz w:val="18"/>
          <w:szCs w:val="18"/>
        </w:rPr>
        <w:t xml:space="preserve">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FF26BC" w:rsidP="00734C0E">
      <w:pPr>
        <w:suppressAutoHyphens/>
        <w:spacing w:line="280" w:lineRule="exact"/>
        <w:ind w:left="1276" w:hanging="1276"/>
        <w:rPr>
          <w:rFonts w:ascii="Verdana" w:hAnsi="Verdana" w:cs="Arial"/>
          <w:sz w:val="18"/>
          <w:szCs w:val="18"/>
        </w:rPr>
      </w:pPr>
      <w:hyperlink r:id="rId10"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2528DFC3" w:rsidR="00784660" w:rsidRPr="00734C0E" w:rsidRDefault="00784660" w:rsidP="005F1EEE">
      <w:pPr>
        <w:pStyle w:val="Textbezodsazen"/>
        <w:spacing w:before="120" w:after="0" w:line="280" w:lineRule="exact"/>
      </w:pPr>
      <w:r w:rsidRPr="00734C0E">
        <w:t xml:space="preserve">číslo smlouvy: </w:t>
      </w:r>
      <w:r w:rsidR="005A3FB8" w:rsidRPr="005A3FB8">
        <w:t>E618-S-3350/2022</w:t>
      </w:r>
    </w:p>
    <w:p w14:paraId="7EE1A2D2" w14:textId="7074DF65" w:rsidR="00784660" w:rsidRPr="00734C0E" w:rsidRDefault="00784660" w:rsidP="00734C0E">
      <w:pPr>
        <w:pStyle w:val="Textbezodsazen"/>
        <w:spacing w:line="280" w:lineRule="exact"/>
      </w:pPr>
      <w:r w:rsidRPr="00734C0E">
        <w:t xml:space="preserve">ISPROFOND: </w:t>
      </w:r>
      <w:r w:rsidR="006A4B86" w:rsidRPr="006A4B86">
        <w:t>5423520038</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0A5F9389"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F79C9">
        <w:rPr>
          <w:rFonts w:ascii="Verdana" w:hAnsi="Verdana" w:cs="Arial"/>
          <w:b/>
          <w:sz w:val="18"/>
          <w:szCs w:val="18"/>
        </w:rPr>
        <w:t>„</w:t>
      </w:r>
      <w:r w:rsidR="00F02D54" w:rsidRPr="00F02D54">
        <w:rPr>
          <w:rFonts w:ascii="Verdana" w:hAnsi="Verdana" w:cs="Arial"/>
          <w:b/>
          <w:sz w:val="18"/>
          <w:szCs w:val="18"/>
        </w:rPr>
        <w:t xml:space="preserve">Rekonstrukce výpravní budovy v </w:t>
      </w:r>
      <w:proofErr w:type="spellStart"/>
      <w:r w:rsidR="00F02D54" w:rsidRPr="00F02D54">
        <w:rPr>
          <w:rFonts w:ascii="Verdana" w:hAnsi="Verdana" w:cs="Arial"/>
          <w:b/>
          <w:sz w:val="18"/>
          <w:szCs w:val="18"/>
        </w:rPr>
        <w:t>žst</w:t>
      </w:r>
      <w:proofErr w:type="spellEnd"/>
      <w:r w:rsidR="00F02D54" w:rsidRPr="00F02D54">
        <w:rPr>
          <w:rFonts w:ascii="Verdana" w:hAnsi="Verdana" w:cs="Arial"/>
          <w:b/>
          <w:sz w:val="18"/>
          <w:szCs w:val="18"/>
        </w:rPr>
        <w:t>. Bílina</w:t>
      </w:r>
      <w:r w:rsidR="00CA1936">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F79C9">
        <w:rPr>
          <w:rFonts w:ascii="Verdana" w:hAnsi="Verdana" w:cs="Arial"/>
          <w:sz w:val="18"/>
          <w:szCs w:val="18"/>
        </w:rPr>
        <w:t xml:space="preserve">z fondů Evropské unie </w:t>
      </w:r>
      <w:r w:rsidR="002C2DCE">
        <w:rPr>
          <w:rFonts w:ascii="Verdana" w:hAnsi="Verdana" w:cs="Arial"/>
          <w:sz w:val="18"/>
          <w:szCs w:val="18"/>
        </w:rPr>
        <w:t xml:space="preserve">z programu RRF, tzn. Zhotovitel je povinen dodržovat pravidla pro získání podpory z Národního plánu obnovy. </w:t>
      </w:r>
      <w:r w:rsidR="00AD32C6" w:rsidRPr="009A7B63">
        <w:rPr>
          <w:rFonts w:ascii="Verdana" w:hAnsi="Verdana" w:cs="Arial"/>
          <w:sz w:val="18"/>
          <w:szCs w:val="18"/>
        </w:rPr>
        <w:t xml:space="preserve">Předpokládaná doba realizace stavby činí </w:t>
      </w:r>
      <w:r w:rsidR="00F02D54">
        <w:rPr>
          <w:rFonts w:ascii="Verdana" w:hAnsi="Verdana" w:cs="Arial"/>
          <w:sz w:val="18"/>
          <w:szCs w:val="18"/>
        </w:rPr>
        <w:t>14 měsíců, celková doba Díla činí 20 měsíců.</w:t>
      </w:r>
    </w:p>
    <w:p w14:paraId="28856947" w14:textId="0F83484D" w:rsidR="00936A82" w:rsidRPr="00496D1D" w:rsidRDefault="0077538D" w:rsidP="00D769D3">
      <w:pPr>
        <w:suppressAutoHyphens/>
        <w:spacing w:before="120" w:line="280" w:lineRule="exact"/>
        <w:ind w:left="539" w:hanging="539"/>
        <w:jc w:val="both"/>
        <w:rPr>
          <w:rFonts w:ascii="Verdana" w:hAnsi="Verdana" w:cs="Arial"/>
          <w:sz w:val="18"/>
          <w:szCs w:val="18"/>
        </w:rPr>
      </w:pPr>
      <w:r w:rsidRPr="00496D1D">
        <w:rPr>
          <w:rFonts w:ascii="Verdana" w:hAnsi="Verdana" w:cs="Arial"/>
          <w:b/>
          <w:sz w:val="18"/>
          <w:szCs w:val="18"/>
        </w:rPr>
        <w:t>1.</w:t>
      </w:r>
      <w:r w:rsidR="000B6F15" w:rsidRPr="00496D1D">
        <w:rPr>
          <w:rFonts w:ascii="Verdana" w:hAnsi="Verdana" w:cs="Arial"/>
          <w:b/>
          <w:sz w:val="18"/>
          <w:szCs w:val="18"/>
        </w:rPr>
        <w:t>2.</w:t>
      </w:r>
      <w:r w:rsidR="00936A82" w:rsidRPr="00496D1D">
        <w:rPr>
          <w:rFonts w:ascii="Verdana" w:hAnsi="Verdana" w:cs="Arial"/>
          <w:b/>
          <w:sz w:val="18"/>
          <w:szCs w:val="18"/>
        </w:rPr>
        <w:t xml:space="preserve"> </w:t>
      </w:r>
      <w:r w:rsidR="00936A82" w:rsidRPr="00496D1D">
        <w:rPr>
          <w:rFonts w:ascii="Verdana" w:hAnsi="Verdana" w:cs="Arial"/>
          <w:sz w:val="18"/>
          <w:szCs w:val="18"/>
        </w:rPr>
        <w:tab/>
      </w:r>
      <w:r w:rsidR="00667FAA" w:rsidRPr="00496D1D">
        <w:rPr>
          <w:rFonts w:ascii="Verdana" w:hAnsi="Verdana" w:cs="Arial"/>
          <w:sz w:val="18"/>
          <w:szCs w:val="18"/>
        </w:rPr>
        <w:t>Zhotovitel</w:t>
      </w:r>
      <w:r w:rsidR="00936A82" w:rsidRPr="00496D1D">
        <w:rPr>
          <w:rFonts w:ascii="Verdana" w:hAnsi="Verdana" w:cs="Arial"/>
          <w:sz w:val="18"/>
          <w:szCs w:val="18"/>
        </w:rPr>
        <w:t xml:space="preserve"> se zavazuje k provádění své činnosti </w:t>
      </w:r>
      <w:r w:rsidR="00562B6C" w:rsidRPr="00496D1D">
        <w:rPr>
          <w:rFonts w:ascii="Verdana" w:hAnsi="Verdana" w:cs="Arial"/>
          <w:sz w:val="18"/>
          <w:szCs w:val="18"/>
        </w:rPr>
        <w:t>zejména v</w:t>
      </w:r>
      <w:r w:rsidR="00936A82" w:rsidRPr="00496D1D">
        <w:rPr>
          <w:rFonts w:ascii="Verdana" w:hAnsi="Verdana" w:cs="Arial"/>
          <w:sz w:val="18"/>
          <w:szCs w:val="18"/>
        </w:rPr>
        <w:t xml:space="preserve"> následujícím rozsahu:</w:t>
      </w:r>
    </w:p>
    <w:p w14:paraId="3F3F8BB5" w14:textId="256ED316" w:rsidR="00D769D3" w:rsidRPr="00496D1D" w:rsidRDefault="00D769D3" w:rsidP="00D769D3">
      <w:pPr>
        <w:suppressAutoHyphens/>
        <w:spacing w:before="120" w:line="280" w:lineRule="exact"/>
        <w:ind w:left="539" w:hanging="539"/>
        <w:jc w:val="both"/>
        <w:rPr>
          <w:rFonts w:ascii="Verdana" w:hAnsi="Verdana" w:cs="Arial"/>
          <w:b/>
          <w:sz w:val="18"/>
          <w:szCs w:val="18"/>
        </w:rPr>
      </w:pPr>
      <w:r w:rsidRPr="00496D1D">
        <w:rPr>
          <w:rFonts w:ascii="Verdana" w:hAnsi="Verdana" w:cs="Arial"/>
          <w:b/>
          <w:sz w:val="18"/>
          <w:szCs w:val="18"/>
        </w:rPr>
        <w:t>1.2.1.</w:t>
      </w:r>
      <w:r w:rsidRPr="00496D1D">
        <w:rPr>
          <w:rFonts w:ascii="Verdana" w:hAnsi="Verdana" w:cs="Arial"/>
          <w:b/>
          <w:sz w:val="18"/>
          <w:szCs w:val="18"/>
        </w:rPr>
        <w:tab/>
        <w:t>spolupráce, podpora</w:t>
      </w:r>
    </w:p>
    <w:p w14:paraId="03DF736D" w14:textId="0ABA9321" w:rsidR="00D769D3" w:rsidRPr="00496D1D" w:rsidRDefault="00CD2157" w:rsidP="00D769D3">
      <w:pPr>
        <w:suppressAutoHyphens/>
        <w:spacing w:before="120" w:line="280" w:lineRule="exact"/>
        <w:ind w:left="539" w:hanging="539"/>
        <w:jc w:val="both"/>
        <w:rPr>
          <w:rFonts w:ascii="Verdana" w:hAnsi="Verdana" w:cs="Arial"/>
          <w:sz w:val="18"/>
          <w:szCs w:val="18"/>
        </w:rPr>
      </w:pPr>
      <w:r w:rsidRPr="00496D1D">
        <w:rPr>
          <w:rFonts w:ascii="Verdana" w:hAnsi="Verdana" w:cs="Arial"/>
          <w:sz w:val="18"/>
          <w:szCs w:val="18"/>
        </w:rPr>
        <w:t>•</w:t>
      </w:r>
      <w:r w:rsidRPr="00496D1D">
        <w:rPr>
          <w:rFonts w:ascii="Verdana" w:hAnsi="Verdana" w:cs="Arial"/>
          <w:sz w:val="18"/>
          <w:szCs w:val="18"/>
        </w:rPr>
        <w:tab/>
        <w:t>účast na všech kontrolních</w:t>
      </w:r>
      <w:r w:rsidR="005A1B4E" w:rsidRPr="00496D1D">
        <w:rPr>
          <w:rFonts w:ascii="Verdana" w:hAnsi="Verdana" w:cs="Arial"/>
          <w:sz w:val="18"/>
          <w:szCs w:val="18"/>
        </w:rPr>
        <w:t xml:space="preserve"> dnech, výrobních výborech RDS Z</w:t>
      </w:r>
      <w:r w:rsidRPr="00496D1D">
        <w:rPr>
          <w:rFonts w:ascii="Verdana" w:hAnsi="Verdana" w:cs="Arial"/>
          <w:sz w:val="18"/>
          <w:szCs w:val="18"/>
        </w:rPr>
        <w:t>hotovitele a důležitých pracovních jednáních ve vztahu k níže uvedeným činnostem, spolupráce s oddělením externího financování GŘ SŽ, resp. MD.</w:t>
      </w:r>
    </w:p>
    <w:p w14:paraId="2E5BD9D1" w14:textId="45196B5C" w:rsidR="00D769D3" w:rsidRPr="00496D1D" w:rsidRDefault="00D769D3" w:rsidP="00D769D3">
      <w:pPr>
        <w:suppressAutoHyphens/>
        <w:spacing w:before="120" w:line="280" w:lineRule="exact"/>
        <w:ind w:left="539" w:hanging="539"/>
        <w:jc w:val="both"/>
        <w:rPr>
          <w:rFonts w:ascii="Verdana" w:hAnsi="Verdana" w:cs="Arial"/>
          <w:b/>
          <w:sz w:val="18"/>
          <w:szCs w:val="18"/>
        </w:rPr>
      </w:pPr>
      <w:r w:rsidRPr="00496D1D">
        <w:rPr>
          <w:rFonts w:ascii="Verdana" w:hAnsi="Verdana" w:cs="Arial"/>
          <w:b/>
          <w:sz w:val="18"/>
          <w:szCs w:val="18"/>
        </w:rPr>
        <w:t>1.2.2.</w:t>
      </w:r>
      <w:r w:rsidRPr="00496D1D">
        <w:rPr>
          <w:rFonts w:ascii="Verdana" w:hAnsi="Verdana" w:cs="Arial"/>
          <w:b/>
          <w:sz w:val="18"/>
          <w:szCs w:val="18"/>
        </w:rPr>
        <w:tab/>
      </w:r>
      <w:r w:rsidR="00CD2157" w:rsidRPr="00496D1D">
        <w:rPr>
          <w:rFonts w:ascii="Verdana" w:hAnsi="Verdana" w:cs="Arial"/>
          <w:b/>
          <w:sz w:val="18"/>
          <w:szCs w:val="18"/>
        </w:rPr>
        <w:t>aktualizace údajů z</w:t>
      </w:r>
      <w:r w:rsidR="00562B6C" w:rsidRPr="00496D1D">
        <w:rPr>
          <w:rFonts w:ascii="Verdana" w:hAnsi="Verdana" w:cs="Arial"/>
          <w:b/>
          <w:sz w:val="18"/>
          <w:szCs w:val="18"/>
        </w:rPr>
        <w:t> projektové žádosti RRF</w:t>
      </w:r>
    </w:p>
    <w:p w14:paraId="14BFE9C4" w14:textId="366A4DF0" w:rsidR="00D769D3" w:rsidRPr="00496D1D" w:rsidRDefault="00D769D3" w:rsidP="00D769D3">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1.2.2.1</w:t>
      </w:r>
      <w:r w:rsidR="00CD2157" w:rsidRPr="00496D1D">
        <w:rPr>
          <w:rFonts w:ascii="Verdana" w:hAnsi="Verdana" w:cs="Arial"/>
          <w:sz w:val="18"/>
          <w:szCs w:val="18"/>
        </w:rPr>
        <w:t xml:space="preserve"> </w:t>
      </w:r>
      <w:r w:rsidR="00562B6C" w:rsidRPr="00496D1D">
        <w:rPr>
          <w:rFonts w:ascii="Verdana" w:hAnsi="Verdana" w:cs="Arial"/>
          <w:sz w:val="18"/>
          <w:szCs w:val="18"/>
        </w:rPr>
        <w:t>kontrola podkladů pro žádost RRF, zda jsou k dispozici v korektní formě tak, aby provozní soubory (PS), stavební objekty (SO) a jejich všechny jednotlivé položky bylo možno jednoznačně provázat na položkový rozpočet, spolupráce na aktualizaci žádosti a drobné formální úpravy</w:t>
      </w:r>
    </w:p>
    <w:p w14:paraId="2177B895" w14:textId="0FD868E4" w:rsidR="00D769D3" w:rsidRPr="00496D1D" w:rsidRDefault="00D769D3" w:rsidP="00D769D3">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1.2.2.2.</w:t>
      </w:r>
      <w:r w:rsidRPr="00496D1D">
        <w:rPr>
          <w:rFonts w:ascii="Verdana" w:hAnsi="Verdana" w:cs="Arial"/>
          <w:sz w:val="18"/>
          <w:szCs w:val="18"/>
        </w:rPr>
        <w:tab/>
      </w:r>
      <w:r w:rsidR="00CD2157" w:rsidRPr="00496D1D">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7C3CA002" w14:textId="4C24529F" w:rsidR="00356426" w:rsidRPr="00496D1D" w:rsidRDefault="00356426" w:rsidP="00D769D3">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1.2.2.3.</w:t>
      </w:r>
      <w:r w:rsidRPr="00496D1D">
        <w:rPr>
          <w:rFonts w:ascii="Verdana" w:hAnsi="Verdana" w:cs="Arial"/>
          <w:sz w:val="18"/>
          <w:szCs w:val="18"/>
        </w:rPr>
        <w:tab/>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496D1D" w:rsidRDefault="00CD4F20" w:rsidP="00CD4F20">
      <w:pPr>
        <w:suppressAutoHyphens/>
        <w:spacing w:before="240" w:after="120"/>
        <w:rPr>
          <w:rFonts w:ascii="Verdana" w:hAnsi="Verdana" w:cs="Arial"/>
          <w:b/>
          <w:sz w:val="18"/>
          <w:szCs w:val="18"/>
        </w:rPr>
      </w:pPr>
      <w:r w:rsidRPr="00496D1D">
        <w:rPr>
          <w:rFonts w:ascii="Verdana" w:hAnsi="Verdana" w:cs="Arial"/>
          <w:b/>
          <w:sz w:val="18"/>
          <w:szCs w:val="18"/>
        </w:rPr>
        <w:t>1.2.3.</w:t>
      </w:r>
      <w:r w:rsidRPr="00496D1D">
        <w:rPr>
          <w:rFonts w:ascii="Verdana" w:hAnsi="Verdana" w:cs="Arial"/>
          <w:b/>
          <w:sz w:val="18"/>
          <w:szCs w:val="18"/>
        </w:rPr>
        <w:tab/>
        <w:t>kontrola výchozí smluvní situace, případně doporučení na její zpřesnění</w:t>
      </w:r>
    </w:p>
    <w:p w14:paraId="78F7BC11" w14:textId="7DF56DF8" w:rsidR="00CD2157" w:rsidRPr="00496D1D" w:rsidRDefault="00CD2157" w:rsidP="00714036">
      <w:pPr>
        <w:pStyle w:val="Odstavecseseznamem"/>
        <w:numPr>
          <w:ilvl w:val="0"/>
          <w:numId w:val="50"/>
        </w:numPr>
        <w:suppressAutoHyphens/>
        <w:spacing w:before="120" w:line="280" w:lineRule="exact"/>
        <w:ind w:left="567" w:hanging="283"/>
        <w:jc w:val="both"/>
        <w:rPr>
          <w:rFonts w:ascii="Verdana" w:hAnsi="Verdana" w:cs="Arial"/>
          <w:sz w:val="18"/>
          <w:szCs w:val="18"/>
        </w:rPr>
      </w:pPr>
      <w:r w:rsidRPr="00496D1D">
        <w:rPr>
          <w:rFonts w:ascii="Verdana" w:hAnsi="Verdana" w:cs="Arial"/>
          <w:sz w:val="18"/>
          <w:szCs w:val="18"/>
        </w:rPr>
        <w:lastRenderedPageBreak/>
        <w:t>postupné zpřesňování výchozího stavu z hlediska způsobilosti výdajů na základě výsledku provedené podrobné analýzy Velkého položkového rozpočtu podle bodu 1.2.2.</w:t>
      </w:r>
    </w:p>
    <w:p w14:paraId="66FF9E80" w14:textId="5397FC51" w:rsidR="00CD4F20" w:rsidRPr="00496D1D" w:rsidRDefault="00CD4F20" w:rsidP="00CD4F20">
      <w:pPr>
        <w:suppressAutoHyphens/>
        <w:spacing w:before="240" w:after="120"/>
        <w:rPr>
          <w:rFonts w:ascii="Verdana" w:hAnsi="Verdana" w:cs="Arial"/>
          <w:b/>
          <w:sz w:val="18"/>
          <w:szCs w:val="18"/>
        </w:rPr>
      </w:pPr>
      <w:r w:rsidRPr="00496D1D">
        <w:rPr>
          <w:rFonts w:ascii="Verdana" w:hAnsi="Verdana" w:cs="Arial"/>
          <w:b/>
          <w:sz w:val="18"/>
          <w:szCs w:val="18"/>
        </w:rPr>
        <w:t>1.2.4.</w:t>
      </w:r>
      <w:r w:rsidRPr="00496D1D">
        <w:rPr>
          <w:rFonts w:ascii="Verdana" w:hAnsi="Verdana" w:cs="Arial"/>
          <w:b/>
          <w:sz w:val="18"/>
          <w:szCs w:val="18"/>
        </w:rPr>
        <w:tab/>
        <w:t>kontrola oprávněnosti fakturace (měsíční)</w:t>
      </w:r>
    </w:p>
    <w:p w14:paraId="77707BD3" w14:textId="3F7E2688"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1.2.4.1</w:t>
      </w:r>
      <w:r w:rsidRPr="00496D1D">
        <w:rPr>
          <w:rFonts w:ascii="Verdana" w:hAnsi="Verdana" w:cs="Arial"/>
          <w:sz w:val="18"/>
          <w:szCs w:val="18"/>
        </w:rPr>
        <w:tab/>
        <w:t>sledování a reporting o hlavních probíhajících pracích v daném období včetně fotodokumentace,</w:t>
      </w:r>
    </w:p>
    <w:p w14:paraId="314B3A00" w14:textId="5E03F418"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1.2.4.2</w:t>
      </w:r>
      <w:r w:rsidRPr="00496D1D">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1.2.4.3</w:t>
      </w:r>
      <w:r w:rsidRPr="00496D1D">
        <w:rPr>
          <w:rFonts w:ascii="Verdana" w:hAnsi="Verdana" w:cs="Arial"/>
          <w:sz w:val="18"/>
          <w:szCs w:val="18"/>
        </w:rPr>
        <w:tab/>
        <w:t>1. věcná kontr</w:t>
      </w:r>
      <w:r w:rsidR="005A1B4E" w:rsidRPr="00496D1D">
        <w:rPr>
          <w:rFonts w:ascii="Verdana" w:hAnsi="Verdana" w:cs="Arial"/>
          <w:sz w:val="18"/>
          <w:szCs w:val="18"/>
        </w:rPr>
        <w:t>ola prvotních dokladů o nároku Z</w:t>
      </w:r>
      <w:r w:rsidRPr="00496D1D">
        <w:rPr>
          <w:rFonts w:ascii="Verdana" w:hAnsi="Verdana" w:cs="Arial"/>
          <w:sz w:val="18"/>
          <w:szCs w:val="18"/>
        </w:rPr>
        <w:t>hotovitele před jejich podpisem TDS,</w:t>
      </w:r>
    </w:p>
    <w:p w14:paraId="58F67F8A" w14:textId="05C18701"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1.2.4.4</w:t>
      </w:r>
      <w:r w:rsidRPr="00496D1D">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1.2.4.5</w:t>
      </w:r>
      <w:r w:rsidRPr="00496D1D">
        <w:rPr>
          <w:rFonts w:ascii="Verdana" w:hAnsi="Verdana" w:cs="Arial"/>
          <w:sz w:val="18"/>
          <w:szCs w:val="18"/>
        </w:rPr>
        <w:tab/>
        <w:t>finální kontrola všech náležitostí předložené fakturace (faktura, Soupis zjišťovacích protokolů, Soupisy pr</w:t>
      </w:r>
      <w:r w:rsidR="005A1B4E" w:rsidRPr="00496D1D">
        <w:rPr>
          <w:rFonts w:ascii="Verdana" w:hAnsi="Verdana" w:cs="Arial"/>
          <w:sz w:val="18"/>
          <w:szCs w:val="18"/>
        </w:rPr>
        <w:t>ací, prvotní doklady pro nárok Z</w:t>
      </w:r>
      <w:r w:rsidRPr="00496D1D">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1.2.4.6</w:t>
      </w:r>
      <w:r w:rsidRPr="00496D1D">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2EB9CC26" w:rsidR="00CD4F20" w:rsidRPr="00496D1D" w:rsidRDefault="00CD4F20" w:rsidP="00CD2157">
      <w:pPr>
        <w:suppressAutoHyphens/>
        <w:spacing w:before="240" w:after="120"/>
        <w:rPr>
          <w:rFonts w:ascii="Verdana" w:hAnsi="Verdana" w:cs="Arial"/>
          <w:b/>
          <w:sz w:val="18"/>
          <w:szCs w:val="18"/>
        </w:rPr>
      </w:pPr>
      <w:r w:rsidRPr="00496D1D">
        <w:rPr>
          <w:rFonts w:ascii="Verdana" w:hAnsi="Verdana" w:cs="Arial"/>
          <w:b/>
          <w:sz w:val="18"/>
          <w:szCs w:val="18"/>
        </w:rPr>
        <w:t>1.2.5.</w:t>
      </w:r>
      <w:r w:rsidRPr="00496D1D">
        <w:rPr>
          <w:rFonts w:ascii="Verdana" w:hAnsi="Verdana" w:cs="Arial"/>
          <w:b/>
          <w:sz w:val="18"/>
          <w:szCs w:val="18"/>
        </w:rPr>
        <w:tab/>
      </w:r>
      <w:r w:rsidR="00CD2157" w:rsidRPr="00496D1D">
        <w:rPr>
          <w:rFonts w:ascii="Verdana" w:hAnsi="Verdana" w:cs="Arial"/>
          <w:b/>
          <w:sz w:val="18"/>
          <w:szCs w:val="18"/>
        </w:rPr>
        <w:t>aktualizace časového postupu prací podle harmonogramu v</w:t>
      </w:r>
      <w:r w:rsidR="00355120" w:rsidRPr="00496D1D">
        <w:rPr>
          <w:rFonts w:ascii="Verdana" w:hAnsi="Verdana" w:cs="Arial"/>
          <w:b/>
          <w:sz w:val="18"/>
          <w:szCs w:val="18"/>
        </w:rPr>
        <w:t xml:space="preserve"> Žádosti</w:t>
      </w:r>
    </w:p>
    <w:p w14:paraId="3212AC4F" w14:textId="3A755E6D" w:rsidR="00CD2157" w:rsidRPr="00496D1D"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496D1D">
        <w:rPr>
          <w:rFonts w:ascii="Verdana" w:hAnsi="Verdana" w:cs="Arial"/>
          <w:sz w:val="18"/>
          <w:szCs w:val="18"/>
        </w:rPr>
        <w:t xml:space="preserve">součástí pravidelného měsíčního reportingu bude i aktualizace průběhu prací podle jednotlivých stavebních postupů ve formě srovnatelné s údaji uvedenými </w:t>
      </w:r>
      <w:r w:rsidR="00355120" w:rsidRPr="00496D1D">
        <w:rPr>
          <w:rFonts w:ascii="Verdana" w:hAnsi="Verdana" w:cs="Arial"/>
          <w:sz w:val="18"/>
          <w:szCs w:val="18"/>
        </w:rPr>
        <w:t>v příloze komentáře k FR</w:t>
      </w:r>
    </w:p>
    <w:p w14:paraId="6593A535" w14:textId="1541B4AE" w:rsidR="00CD4F20" w:rsidRPr="00496D1D" w:rsidRDefault="00CD4F20" w:rsidP="00CD4F20">
      <w:pPr>
        <w:suppressAutoHyphens/>
        <w:spacing w:before="240" w:after="120"/>
        <w:rPr>
          <w:rFonts w:ascii="Verdana" w:hAnsi="Verdana" w:cs="Arial"/>
          <w:b/>
          <w:sz w:val="18"/>
          <w:szCs w:val="18"/>
        </w:rPr>
      </w:pPr>
      <w:r w:rsidRPr="00496D1D">
        <w:rPr>
          <w:rFonts w:ascii="Verdana" w:hAnsi="Verdana" w:cs="Arial"/>
          <w:b/>
          <w:sz w:val="18"/>
          <w:szCs w:val="18"/>
        </w:rPr>
        <w:t>1.2.6.</w:t>
      </w:r>
      <w:r w:rsidRPr="00496D1D">
        <w:rPr>
          <w:rFonts w:ascii="Verdana" w:hAnsi="Verdana" w:cs="Arial"/>
          <w:b/>
          <w:sz w:val="18"/>
          <w:szCs w:val="18"/>
        </w:rPr>
        <w:tab/>
        <w:t>kontrola oprávněnosti změn</w:t>
      </w:r>
    </w:p>
    <w:p w14:paraId="6C35BC51" w14:textId="1AB40861"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1.2.6.1</w:t>
      </w:r>
      <w:r w:rsidRPr="00496D1D">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1.2.6.2</w:t>
      </w:r>
      <w:r w:rsidRPr="00496D1D">
        <w:rPr>
          <w:rFonts w:ascii="Verdana" w:hAnsi="Verdana" w:cs="Arial"/>
          <w:sz w:val="18"/>
          <w:szCs w:val="18"/>
        </w:rPr>
        <w:tab/>
        <w:t>doporučení vhodného způsobu jejich projednání podle Zákona o zadávání veřejných zakázek (ZZVZ),</w:t>
      </w:r>
    </w:p>
    <w:p w14:paraId="109E3178" w14:textId="4D8AEE8A"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1.2.6.3</w:t>
      </w:r>
      <w:r w:rsidRPr="00496D1D">
        <w:rPr>
          <w:rFonts w:ascii="Verdana" w:hAnsi="Verdana" w:cs="Arial"/>
          <w:sz w:val="18"/>
          <w:szCs w:val="18"/>
        </w:rPr>
        <w:tab/>
        <w:t>vedení přehledu projednávaných a schválených změn,</w:t>
      </w:r>
    </w:p>
    <w:p w14:paraId="1FDC788D" w14:textId="6D15D8BD"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1.2.6.4</w:t>
      </w:r>
      <w:r w:rsidRPr="00496D1D">
        <w:rPr>
          <w:rFonts w:ascii="Verdana" w:hAnsi="Verdana" w:cs="Arial"/>
          <w:sz w:val="18"/>
          <w:szCs w:val="18"/>
        </w:rPr>
        <w:tab/>
        <w:t>věcná kontrola podkladů (v položkovém členění) pro jed</w:t>
      </w:r>
      <w:r w:rsidR="005A1B4E" w:rsidRPr="00496D1D">
        <w:rPr>
          <w:rFonts w:ascii="Verdana" w:hAnsi="Verdana" w:cs="Arial"/>
          <w:sz w:val="18"/>
          <w:szCs w:val="18"/>
        </w:rPr>
        <w:t>notlivé změny, kontrola nároku Z</w:t>
      </w:r>
      <w:r w:rsidRPr="00496D1D">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496D1D">
        <w:rPr>
          <w:rFonts w:ascii="Verdana" w:hAnsi="Verdana" w:cs="Arial"/>
          <w:sz w:val="18"/>
          <w:szCs w:val="18"/>
        </w:rPr>
        <w:t>ezávisle na předložené nabídce Z</w:t>
      </w:r>
      <w:r w:rsidRPr="00496D1D">
        <w:rPr>
          <w:rFonts w:ascii="Verdana" w:hAnsi="Verdana" w:cs="Arial"/>
          <w:sz w:val="18"/>
          <w:szCs w:val="18"/>
        </w:rPr>
        <w:t>hotovitele a ve vazbě na příslušný dodatek smlouvy,</w:t>
      </w:r>
    </w:p>
    <w:p w14:paraId="68097649" w14:textId="3C058EB1"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1.2.6.5</w:t>
      </w:r>
      <w:r w:rsidRPr="00496D1D">
        <w:rPr>
          <w:rFonts w:ascii="Verdana" w:hAnsi="Verdana" w:cs="Arial"/>
          <w:sz w:val="18"/>
          <w:szCs w:val="18"/>
        </w:rPr>
        <w:tab/>
        <w:t>příprava podkladů pro případný dodatek Smlouvy o dílo (</w:t>
      </w:r>
      <w:proofErr w:type="spellStart"/>
      <w:r w:rsidRPr="00496D1D">
        <w:rPr>
          <w:rFonts w:ascii="Verdana" w:hAnsi="Verdana" w:cs="Arial"/>
          <w:sz w:val="18"/>
          <w:szCs w:val="18"/>
        </w:rPr>
        <w:t>SoD</w:t>
      </w:r>
      <w:proofErr w:type="spellEnd"/>
      <w:r w:rsidRPr="00496D1D">
        <w:rPr>
          <w:rFonts w:ascii="Verdana" w:hAnsi="Verdana" w:cs="Arial"/>
          <w:sz w:val="18"/>
          <w:szCs w:val="18"/>
        </w:rPr>
        <w:t>), dokládající úpravu smluvní s</w:t>
      </w:r>
      <w:r w:rsidR="00205E21" w:rsidRPr="00496D1D">
        <w:rPr>
          <w:rFonts w:ascii="Verdana" w:hAnsi="Verdana" w:cs="Arial"/>
          <w:sz w:val="18"/>
          <w:szCs w:val="18"/>
        </w:rPr>
        <w:t>ituace, bude-li taková činnost O</w:t>
      </w:r>
      <w:r w:rsidR="005A1B4E" w:rsidRPr="00496D1D">
        <w:rPr>
          <w:rFonts w:ascii="Verdana" w:hAnsi="Verdana" w:cs="Arial"/>
          <w:sz w:val="18"/>
          <w:szCs w:val="18"/>
        </w:rPr>
        <w:t>bjednatelem po Z</w:t>
      </w:r>
      <w:r w:rsidRPr="00496D1D">
        <w:rPr>
          <w:rFonts w:ascii="Verdana" w:hAnsi="Verdana" w:cs="Arial"/>
          <w:sz w:val="18"/>
          <w:szCs w:val="18"/>
        </w:rPr>
        <w:t>hotoviteli vyžadována,</w:t>
      </w:r>
    </w:p>
    <w:p w14:paraId="4E0BD025" w14:textId="558C6E2D"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1.2.6.6</w:t>
      </w:r>
      <w:r w:rsidRPr="00496D1D">
        <w:rPr>
          <w:rFonts w:ascii="Verdana" w:hAnsi="Verdana" w:cs="Arial"/>
          <w:sz w:val="18"/>
          <w:szCs w:val="18"/>
        </w:rPr>
        <w:tab/>
        <w:t>pravidelný reporting o postupu projednávaní a schvalování změn v měsíčních intervalech,</w:t>
      </w:r>
    </w:p>
    <w:p w14:paraId="363CFE6C" w14:textId="257DE75E"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1.2.6.7</w:t>
      </w:r>
      <w:r w:rsidRPr="00496D1D">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496D1D" w:rsidRDefault="00CD4F20" w:rsidP="00CD4F20">
      <w:pPr>
        <w:suppressAutoHyphens/>
        <w:spacing w:before="240" w:after="120"/>
        <w:rPr>
          <w:rFonts w:ascii="Verdana" w:hAnsi="Verdana" w:cs="Arial"/>
          <w:b/>
          <w:sz w:val="18"/>
          <w:szCs w:val="18"/>
        </w:rPr>
      </w:pPr>
      <w:r w:rsidRPr="00496D1D">
        <w:rPr>
          <w:rFonts w:ascii="Verdana" w:hAnsi="Verdana" w:cs="Arial"/>
          <w:b/>
          <w:sz w:val="18"/>
          <w:szCs w:val="18"/>
        </w:rPr>
        <w:lastRenderedPageBreak/>
        <w:t>1.2.7.</w:t>
      </w:r>
      <w:r w:rsidRPr="00496D1D">
        <w:rPr>
          <w:rFonts w:ascii="Verdana" w:hAnsi="Verdana" w:cs="Arial"/>
          <w:b/>
          <w:sz w:val="18"/>
          <w:szCs w:val="18"/>
        </w:rPr>
        <w:tab/>
        <w:t>kontrola uznatelnosti nákladů, závěrečná kontrola uznatelnosti nákladů</w:t>
      </w:r>
    </w:p>
    <w:p w14:paraId="630DC110" w14:textId="4655D641"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1.2.7.1</w:t>
      </w:r>
      <w:r w:rsidRPr="00496D1D">
        <w:rPr>
          <w:rFonts w:ascii="Verdana" w:hAnsi="Verdana" w:cs="Arial"/>
          <w:sz w:val="18"/>
          <w:szCs w:val="18"/>
        </w:rPr>
        <w:tab/>
        <w:t>měsíční vyhodnocení výsledku monitoringu zaměřené na vývoj uznatelných a neuznatelných nákladů,</w:t>
      </w:r>
      <w:r w:rsidR="005A1B4E" w:rsidRPr="00496D1D">
        <w:rPr>
          <w:rFonts w:ascii="Verdana" w:hAnsi="Verdana" w:cs="Arial"/>
          <w:sz w:val="18"/>
          <w:szCs w:val="18"/>
        </w:rPr>
        <w:t xml:space="preserve"> výsledky vyhodnocení zpracuje Z</w:t>
      </w:r>
      <w:r w:rsidRPr="00496D1D">
        <w:rPr>
          <w:rFonts w:ascii="Verdana" w:hAnsi="Verdana" w:cs="Arial"/>
          <w:sz w:val="18"/>
          <w:szCs w:val="18"/>
        </w:rPr>
        <w:t>hotovitel ve formě tabulky (v listinné a digitální podobě),</w:t>
      </w:r>
    </w:p>
    <w:p w14:paraId="21B47EBF" w14:textId="0D15621B"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1.2.7.2</w:t>
      </w:r>
      <w:r w:rsidRPr="00496D1D">
        <w:rPr>
          <w:rFonts w:ascii="Verdana" w:hAnsi="Verdana" w:cs="Arial"/>
          <w:sz w:val="18"/>
          <w:szCs w:val="18"/>
        </w:rPr>
        <w:tab/>
        <w:t>závěrečné vyhodnocení výsledků monitoringu zaměřené na vývoj uznatelných a neuznatelných nákladů, výsledky v</w:t>
      </w:r>
      <w:r w:rsidR="005A1B4E" w:rsidRPr="00496D1D">
        <w:rPr>
          <w:rFonts w:ascii="Verdana" w:hAnsi="Verdana" w:cs="Arial"/>
          <w:sz w:val="18"/>
          <w:szCs w:val="18"/>
        </w:rPr>
        <w:t>yhodnocení zpracuje Z</w:t>
      </w:r>
      <w:r w:rsidRPr="00496D1D">
        <w:rPr>
          <w:rFonts w:ascii="Verdana" w:hAnsi="Verdana" w:cs="Arial"/>
          <w:sz w:val="18"/>
          <w:szCs w:val="18"/>
        </w:rPr>
        <w:t>hotovitel ve formě tabulky (v listinné a digitální podobě),</w:t>
      </w:r>
    </w:p>
    <w:p w14:paraId="246F2980" w14:textId="148AA0F6"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1.2.7.3</w:t>
      </w:r>
      <w:r w:rsidRPr="00496D1D">
        <w:rPr>
          <w:rFonts w:ascii="Verdana" w:hAnsi="Verdana" w:cs="Arial"/>
          <w:sz w:val="18"/>
          <w:szCs w:val="18"/>
        </w:rPr>
        <w:tab/>
        <w:t>spolupráce při změnovém řízení s ohledem na posouzení uznatelnosti nových položek, zapracování do monitoring</w:t>
      </w:r>
      <w:r w:rsidR="005A1B4E" w:rsidRPr="00496D1D">
        <w:rPr>
          <w:rFonts w:ascii="Verdana" w:hAnsi="Verdana" w:cs="Arial"/>
          <w:sz w:val="18"/>
          <w:szCs w:val="18"/>
        </w:rPr>
        <w:t>u, výsledky posouzení zpracuje Z</w:t>
      </w:r>
      <w:r w:rsidRPr="00496D1D">
        <w:rPr>
          <w:rFonts w:ascii="Verdana" w:hAnsi="Verdana" w:cs="Arial"/>
          <w:sz w:val="18"/>
          <w:szCs w:val="18"/>
        </w:rPr>
        <w:t>hotovitel ve formě písemného stanoviska,</w:t>
      </w:r>
    </w:p>
    <w:p w14:paraId="5797CB3F" w14:textId="196E0427"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1.2.7.4</w:t>
      </w:r>
      <w:r w:rsidRPr="00496D1D">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496D1D">
        <w:rPr>
          <w:rFonts w:ascii="Verdana" w:hAnsi="Verdana" w:cs="Arial"/>
          <w:sz w:val="18"/>
          <w:szCs w:val="18"/>
        </w:rPr>
        <w:t>Z</w:t>
      </w:r>
      <w:r w:rsidRPr="00496D1D">
        <w:rPr>
          <w:rFonts w:ascii="Verdana" w:hAnsi="Verdana" w:cs="Arial"/>
          <w:sz w:val="18"/>
          <w:szCs w:val="18"/>
        </w:rPr>
        <w:t>hotovitel ve formě tabulky (v listinné a digitální podobě),</w:t>
      </w:r>
    </w:p>
    <w:p w14:paraId="755D0F1E" w14:textId="0828610C"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1.2.7.5</w:t>
      </w:r>
      <w:r w:rsidRPr="00496D1D">
        <w:rPr>
          <w:rFonts w:ascii="Verdana" w:hAnsi="Verdana" w:cs="Arial"/>
          <w:sz w:val="18"/>
          <w:szCs w:val="18"/>
        </w:rPr>
        <w:tab/>
      </w:r>
      <w:r w:rsidR="00355120" w:rsidRPr="00496D1D">
        <w:rPr>
          <w:rFonts w:ascii="Verdana" w:hAnsi="Verdana" w:cs="Arial"/>
          <w:sz w:val="18"/>
          <w:szCs w:val="18"/>
        </w:rPr>
        <w:t>čtvrtletní monitoring o vývoji uznatelných a neuznatelných nákladů, výsledky zpracuje Zhotovitel ve formě tabulky (v listinné a digitální podobě) jako informativní podklad pro Objednatele,</w:t>
      </w:r>
    </w:p>
    <w:p w14:paraId="0E19ECEF" w14:textId="5A9A449D"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1.2.7.6</w:t>
      </w:r>
      <w:r w:rsidRPr="00496D1D">
        <w:rPr>
          <w:rFonts w:ascii="Verdana" w:hAnsi="Verdana" w:cs="Arial"/>
          <w:sz w:val="18"/>
          <w:szCs w:val="18"/>
        </w:rPr>
        <w:tab/>
      </w:r>
      <w:r w:rsidR="00355120" w:rsidRPr="00496D1D">
        <w:rPr>
          <w:rFonts w:ascii="Verdana" w:hAnsi="Verdana" w:cs="Arial"/>
          <w:sz w:val="18"/>
          <w:szCs w:val="18"/>
        </w:rPr>
        <w:t>vypracování finálních podkladů pro monitoring o vývoji uznatelných a neuznatelných nákladů, výsledky zpracuje Zhotovitel ve formě tabulky (v listinné a digitální podobě) jako informativní podklad pro Objednatele.</w:t>
      </w:r>
    </w:p>
    <w:p w14:paraId="13A34A32" w14:textId="39423345" w:rsidR="00CD4F20" w:rsidRPr="00496D1D" w:rsidRDefault="00CD4F20" w:rsidP="00CD4F20">
      <w:pPr>
        <w:suppressAutoHyphens/>
        <w:spacing w:before="240" w:after="120"/>
        <w:rPr>
          <w:rFonts w:ascii="Verdana" w:hAnsi="Verdana" w:cs="Arial"/>
          <w:b/>
          <w:sz w:val="18"/>
          <w:szCs w:val="18"/>
        </w:rPr>
      </w:pPr>
      <w:r w:rsidRPr="00496D1D">
        <w:rPr>
          <w:rFonts w:ascii="Verdana" w:hAnsi="Verdana" w:cs="Arial"/>
          <w:b/>
          <w:sz w:val="18"/>
          <w:szCs w:val="18"/>
        </w:rPr>
        <w:t>1.2.8.</w:t>
      </w:r>
      <w:r w:rsidRPr="00496D1D">
        <w:rPr>
          <w:rFonts w:ascii="Verdana" w:hAnsi="Verdana" w:cs="Arial"/>
          <w:b/>
          <w:sz w:val="18"/>
          <w:szCs w:val="18"/>
        </w:rPr>
        <w:tab/>
        <w:t>pravidelná aktualizace výchozího stavu (monitoring průběhu realizace)</w:t>
      </w:r>
    </w:p>
    <w:p w14:paraId="3D456D8E" w14:textId="2C1AB096"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1.2.8.1</w:t>
      </w:r>
      <w:r w:rsidRPr="00496D1D">
        <w:rPr>
          <w:rFonts w:ascii="Verdana" w:hAnsi="Verdana" w:cs="Arial"/>
          <w:sz w:val="18"/>
          <w:szCs w:val="18"/>
        </w:rPr>
        <w:tab/>
        <w:t xml:space="preserve">po ověření a odsouhlasení výchozího stavu podle bodu </w:t>
      </w:r>
      <w:r w:rsidR="009A030F" w:rsidRPr="00496D1D">
        <w:rPr>
          <w:rFonts w:ascii="Verdana" w:hAnsi="Verdana" w:cs="Arial"/>
          <w:sz w:val="18"/>
          <w:szCs w:val="18"/>
        </w:rPr>
        <w:t>1</w:t>
      </w:r>
      <w:r w:rsidRPr="00496D1D">
        <w:rPr>
          <w:rFonts w:ascii="Verdana" w:hAnsi="Verdana" w:cs="Arial"/>
          <w:sz w:val="18"/>
          <w:szCs w:val="18"/>
        </w:rPr>
        <w:t>.2.3. bude v měsíčních intervalech aktualizován monitorovací systém vložením:</w:t>
      </w:r>
    </w:p>
    <w:p w14:paraId="7F764664" w14:textId="77777777" w:rsidR="00CD4F20" w:rsidRPr="00496D1D"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496D1D">
        <w:rPr>
          <w:rFonts w:ascii="Verdana" w:hAnsi="Verdana" w:cs="Arial"/>
          <w:sz w:val="18"/>
          <w:szCs w:val="18"/>
        </w:rPr>
        <w:t>údajů o měsíční fakturaci na úrovni všech fakturovaných položek</w:t>
      </w:r>
    </w:p>
    <w:p w14:paraId="1169FFF3" w14:textId="5159DCBE" w:rsidR="00CD4F20" w:rsidRPr="00496D1D"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496D1D">
        <w:rPr>
          <w:rFonts w:ascii="Verdana" w:hAnsi="Verdana" w:cs="Arial"/>
          <w:sz w:val="18"/>
          <w:szCs w:val="18"/>
        </w:rPr>
        <w:t>všech schválených změn po jednotlivých položkách</w:t>
      </w:r>
    </w:p>
    <w:p w14:paraId="2A8CB524" w14:textId="3D81C1D5"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1.2.8.2</w:t>
      </w:r>
      <w:r w:rsidRPr="00496D1D">
        <w:rPr>
          <w:rFonts w:ascii="Verdana" w:hAnsi="Verdana" w:cs="Arial"/>
          <w:sz w:val="18"/>
          <w:szCs w:val="18"/>
        </w:rPr>
        <w:tab/>
        <w:t>aktuální výstupy z monitorovacího systému budou pravidelnými přílohami měsíčních zpráv.</w:t>
      </w:r>
    </w:p>
    <w:p w14:paraId="730DF1D4" w14:textId="290CF06A" w:rsidR="00CD4F20" w:rsidRPr="00496D1D" w:rsidRDefault="00CD4F20" w:rsidP="00CD4F20">
      <w:pPr>
        <w:suppressAutoHyphens/>
        <w:spacing w:before="240" w:after="120"/>
        <w:rPr>
          <w:rFonts w:ascii="Verdana" w:hAnsi="Verdana" w:cs="Arial"/>
          <w:b/>
          <w:sz w:val="18"/>
          <w:szCs w:val="18"/>
        </w:rPr>
      </w:pPr>
      <w:r w:rsidRPr="00496D1D">
        <w:rPr>
          <w:rFonts w:ascii="Verdana" w:hAnsi="Verdana" w:cs="Arial"/>
          <w:b/>
          <w:sz w:val="18"/>
          <w:szCs w:val="18"/>
        </w:rPr>
        <w:t>1.2.9.</w:t>
      </w:r>
      <w:r w:rsidRPr="00496D1D">
        <w:rPr>
          <w:rFonts w:ascii="Verdana" w:hAnsi="Verdana" w:cs="Arial"/>
          <w:b/>
          <w:sz w:val="18"/>
          <w:szCs w:val="18"/>
        </w:rPr>
        <w:tab/>
        <w:t>pravidelný měsíční reporting</w:t>
      </w:r>
    </w:p>
    <w:p w14:paraId="7903445A" w14:textId="6703F705" w:rsidR="00CD4F20" w:rsidRPr="00496D1D" w:rsidRDefault="00CD4F20" w:rsidP="00CD4F20">
      <w:pPr>
        <w:pStyle w:val="Odstavecseseznamem"/>
        <w:numPr>
          <w:ilvl w:val="0"/>
          <w:numId w:val="37"/>
        </w:numPr>
        <w:suppressAutoHyphens/>
        <w:spacing w:before="240" w:after="120"/>
        <w:jc w:val="both"/>
        <w:rPr>
          <w:rFonts w:ascii="Verdana" w:hAnsi="Verdana" w:cs="Arial"/>
          <w:b/>
          <w:sz w:val="18"/>
          <w:szCs w:val="18"/>
        </w:rPr>
      </w:pPr>
      <w:r w:rsidRPr="00496D1D">
        <w:rPr>
          <w:rFonts w:ascii="Verdana" w:hAnsi="Verdana" w:cs="Arial"/>
          <w:sz w:val="18"/>
          <w:szCs w:val="18"/>
        </w:rPr>
        <w:t>realizace stavby bude předmětem pravidelného měsíčního reportingu v rozsahu výše uvedených činností</w:t>
      </w:r>
      <w:r w:rsidRPr="00496D1D">
        <w:rPr>
          <w:rFonts w:ascii="Verdana" w:hAnsi="Verdana" w:cs="Arial"/>
          <w:b/>
          <w:sz w:val="18"/>
          <w:szCs w:val="18"/>
        </w:rPr>
        <w:t>.</w:t>
      </w:r>
    </w:p>
    <w:p w14:paraId="0D623818" w14:textId="1A3E2A7F" w:rsidR="00CD4F20" w:rsidRPr="00496D1D" w:rsidRDefault="00396AF3" w:rsidP="00CD4F20">
      <w:pPr>
        <w:suppressAutoHyphens/>
        <w:spacing w:before="240" w:after="120"/>
        <w:ind w:left="720" w:hanging="709"/>
        <w:rPr>
          <w:rFonts w:ascii="Verdana" w:hAnsi="Verdana" w:cs="Arial"/>
          <w:b/>
          <w:sz w:val="18"/>
          <w:szCs w:val="18"/>
        </w:rPr>
      </w:pPr>
      <w:proofErr w:type="gramStart"/>
      <w:r w:rsidRPr="00496D1D">
        <w:rPr>
          <w:rFonts w:ascii="Verdana" w:hAnsi="Verdana" w:cs="Arial"/>
          <w:b/>
          <w:sz w:val="18"/>
          <w:szCs w:val="18"/>
        </w:rPr>
        <w:t>1.2.10</w:t>
      </w:r>
      <w:proofErr w:type="gramEnd"/>
      <w:r w:rsidRPr="00496D1D">
        <w:rPr>
          <w:rFonts w:ascii="Verdana" w:hAnsi="Verdana" w:cs="Arial"/>
          <w:b/>
          <w:sz w:val="18"/>
          <w:szCs w:val="18"/>
        </w:rPr>
        <w:t>.</w:t>
      </w:r>
      <w:proofErr w:type="gramStart"/>
      <w:r w:rsidRPr="00496D1D">
        <w:rPr>
          <w:rFonts w:ascii="Verdana" w:hAnsi="Verdana" w:cs="Arial"/>
          <w:b/>
          <w:sz w:val="18"/>
          <w:szCs w:val="18"/>
        </w:rPr>
        <w:t>podklady</w:t>
      </w:r>
      <w:proofErr w:type="gramEnd"/>
      <w:r w:rsidRPr="00496D1D">
        <w:rPr>
          <w:rFonts w:ascii="Verdana" w:hAnsi="Verdana" w:cs="Arial"/>
          <w:b/>
          <w:sz w:val="18"/>
          <w:szCs w:val="18"/>
        </w:rPr>
        <w:t xml:space="preserve"> pro oficiální monitoring průběhu realizace (spolupráce při zpracování průběžných monitorovacích zpráv pro potřeby </w:t>
      </w:r>
      <w:r w:rsidR="00355120" w:rsidRPr="00496D1D">
        <w:rPr>
          <w:rFonts w:ascii="Verdana" w:hAnsi="Verdana" w:cs="Arial"/>
          <w:b/>
          <w:sz w:val="18"/>
          <w:szCs w:val="18"/>
        </w:rPr>
        <w:t>RRF</w:t>
      </w:r>
      <w:r w:rsidRPr="00496D1D">
        <w:rPr>
          <w:rFonts w:ascii="Verdana" w:hAnsi="Verdana" w:cs="Arial"/>
          <w:b/>
          <w:sz w:val="18"/>
          <w:szCs w:val="18"/>
        </w:rPr>
        <w:t>)</w:t>
      </w:r>
    </w:p>
    <w:p w14:paraId="0C0EACE4" w14:textId="544C14D8" w:rsidR="00CD4F20" w:rsidRPr="00496D1D" w:rsidRDefault="00205E21"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1.2.10.1</w:t>
      </w:r>
      <w:r w:rsidRPr="00496D1D">
        <w:rPr>
          <w:rFonts w:ascii="Verdana" w:hAnsi="Verdana" w:cs="Arial"/>
          <w:sz w:val="18"/>
          <w:szCs w:val="18"/>
        </w:rPr>
        <w:tab/>
        <w:t>podle požadavku O</w:t>
      </w:r>
      <w:r w:rsidR="00CD4F20" w:rsidRPr="00496D1D">
        <w:rPr>
          <w:rFonts w:ascii="Verdana" w:hAnsi="Verdana" w:cs="Arial"/>
          <w:sz w:val="18"/>
          <w:szCs w:val="18"/>
        </w:rPr>
        <w:t>bjednatele zajistit potřebné tabulkové podklady pro průběžné monitorovací zprávy o vývoji projektu,</w:t>
      </w:r>
    </w:p>
    <w:p w14:paraId="2A0B54D6" w14:textId="6AFCA769"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1.2.10.</w:t>
      </w:r>
      <w:r w:rsidR="00355120" w:rsidRPr="00496D1D">
        <w:rPr>
          <w:rFonts w:ascii="Verdana" w:hAnsi="Verdana" w:cs="Arial"/>
          <w:sz w:val="18"/>
          <w:szCs w:val="18"/>
        </w:rPr>
        <w:t>2</w:t>
      </w:r>
      <w:r w:rsidRPr="00496D1D">
        <w:rPr>
          <w:rFonts w:ascii="Verdana" w:hAnsi="Verdana" w:cs="Arial"/>
          <w:sz w:val="18"/>
          <w:szCs w:val="18"/>
        </w:rPr>
        <w:tab/>
        <w:t>zpracování dalších podkladů pro průběžnou monitorovací zprávu podle pokynů oddělení externího financování GŘ SŽ</w:t>
      </w:r>
      <w:r w:rsidR="00205E21" w:rsidRPr="00496D1D">
        <w:rPr>
          <w:rFonts w:ascii="Verdana" w:hAnsi="Verdana" w:cs="Arial"/>
          <w:sz w:val="18"/>
          <w:szCs w:val="18"/>
        </w:rPr>
        <w:t xml:space="preserve"> jako informativní podklad pro O</w:t>
      </w:r>
      <w:r w:rsidRPr="00496D1D">
        <w:rPr>
          <w:rFonts w:ascii="Verdana" w:hAnsi="Verdana" w:cs="Arial"/>
          <w:sz w:val="18"/>
          <w:szCs w:val="18"/>
        </w:rPr>
        <w:t>bjednatele.</w:t>
      </w:r>
    </w:p>
    <w:p w14:paraId="0FC25D74" w14:textId="50996C6A" w:rsidR="00CD4F20" w:rsidRPr="00496D1D" w:rsidRDefault="00CD4F20" w:rsidP="00CD4F20">
      <w:pPr>
        <w:suppressAutoHyphens/>
        <w:spacing w:before="240" w:after="120"/>
        <w:rPr>
          <w:rFonts w:ascii="Verdana" w:hAnsi="Verdana" w:cs="Arial"/>
          <w:b/>
          <w:sz w:val="18"/>
          <w:szCs w:val="18"/>
        </w:rPr>
      </w:pPr>
      <w:proofErr w:type="gramStart"/>
      <w:r w:rsidRPr="00496D1D">
        <w:rPr>
          <w:rFonts w:ascii="Verdana" w:hAnsi="Verdana" w:cs="Arial"/>
          <w:b/>
          <w:sz w:val="18"/>
          <w:szCs w:val="18"/>
        </w:rPr>
        <w:t>1.2.11</w:t>
      </w:r>
      <w:proofErr w:type="gramEnd"/>
      <w:r w:rsidRPr="00496D1D">
        <w:rPr>
          <w:rFonts w:ascii="Verdana" w:hAnsi="Verdana" w:cs="Arial"/>
          <w:b/>
          <w:sz w:val="18"/>
          <w:szCs w:val="18"/>
        </w:rPr>
        <w:t>.</w:t>
      </w:r>
      <w:r w:rsidRPr="00496D1D">
        <w:rPr>
          <w:rFonts w:ascii="Verdana" w:hAnsi="Verdana" w:cs="Arial"/>
          <w:b/>
          <w:sz w:val="18"/>
          <w:szCs w:val="18"/>
        </w:rPr>
        <w:tab/>
      </w:r>
      <w:r w:rsidR="009A030F" w:rsidRPr="00496D1D">
        <w:rPr>
          <w:rFonts w:ascii="Verdana" w:hAnsi="Verdana" w:cs="Arial"/>
          <w:b/>
          <w:sz w:val="18"/>
          <w:szCs w:val="18"/>
        </w:rPr>
        <w:t xml:space="preserve"> </w:t>
      </w:r>
      <w:r w:rsidRPr="00496D1D">
        <w:rPr>
          <w:rFonts w:ascii="Verdana" w:hAnsi="Verdana" w:cs="Arial"/>
          <w:b/>
          <w:sz w:val="18"/>
          <w:szCs w:val="18"/>
        </w:rPr>
        <w:t>další podpora činnosti TDS</w:t>
      </w:r>
    </w:p>
    <w:p w14:paraId="2E87D819" w14:textId="6A70709D"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1.2.11.1</w:t>
      </w:r>
      <w:r w:rsidRPr="00496D1D">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496D1D">
        <w:rPr>
          <w:rFonts w:ascii="Verdana" w:hAnsi="Verdana" w:cs="Arial"/>
          <w:sz w:val="18"/>
          <w:szCs w:val="18"/>
        </w:rPr>
        <w:t>Z</w:t>
      </w:r>
      <w:r w:rsidRPr="00496D1D">
        <w:rPr>
          <w:rFonts w:ascii="Verdana" w:hAnsi="Verdana" w:cs="Arial"/>
          <w:sz w:val="18"/>
          <w:szCs w:val="18"/>
        </w:rPr>
        <w:t xml:space="preserve">hotovitel zpracuje ve </w:t>
      </w:r>
      <w:r w:rsidR="00205E21" w:rsidRPr="00496D1D">
        <w:rPr>
          <w:rFonts w:ascii="Verdana" w:hAnsi="Verdana" w:cs="Arial"/>
          <w:sz w:val="18"/>
          <w:szCs w:val="18"/>
        </w:rPr>
        <w:t>formě písemného stanoviska pro O</w:t>
      </w:r>
      <w:r w:rsidRPr="00496D1D">
        <w:rPr>
          <w:rFonts w:ascii="Verdana" w:hAnsi="Verdana" w:cs="Arial"/>
          <w:sz w:val="18"/>
          <w:szCs w:val="18"/>
        </w:rPr>
        <w:t>bjednatele,</w:t>
      </w:r>
    </w:p>
    <w:p w14:paraId="2C7A1053" w14:textId="4A4DC2E0"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lastRenderedPageBreak/>
        <w:t>1.2.11.2</w:t>
      </w:r>
      <w:r w:rsidRPr="00496D1D">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496D1D">
        <w:rPr>
          <w:rFonts w:ascii="Verdana" w:hAnsi="Verdana" w:cs="Arial"/>
          <w:sz w:val="18"/>
          <w:szCs w:val="18"/>
        </w:rPr>
        <w:t>Z</w:t>
      </w:r>
      <w:r w:rsidRPr="00496D1D">
        <w:rPr>
          <w:rFonts w:ascii="Verdana" w:hAnsi="Verdana" w:cs="Arial"/>
          <w:sz w:val="18"/>
          <w:szCs w:val="18"/>
        </w:rPr>
        <w:t xml:space="preserve">hotovitel zpracuje ve </w:t>
      </w:r>
      <w:r w:rsidR="00205E21" w:rsidRPr="00496D1D">
        <w:rPr>
          <w:rFonts w:ascii="Verdana" w:hAnsi="Verdana" w:cs="Arial"/>
          <w:sz w:val="18"/>
          <w:szCs w:val="18"/>
        </w:rPr>
        <w:t>formě písemného stanoviska pro O</w:t>
      </w:r>
      <w:r w:rsidRPr="00496D1D">
        <w:rPr>
          <w:rFonts w:ascii="Verdana" w:hAnsi="Verdana" w:cs="Arial"/>
          <w:sz w:val="18"/>
          <w:szCs w:val="18"/>
        </w:rPr>
        <w:t>bjednatele,</w:t>
      </w:r>
    </w:p>
    <w:p w14:paraId="61D10070" w14:textId="5CE8952E"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1.2.11.3</w:t>
      </w:r>
      <w:r w:rsidRPr="00496D1D">
        <w:rPr>
          <w:rFonts w:ascii="Verdana" w:hAnsi="Verdana" w:cs="Arial"/>
          <w:sz w:val="18"/>
          <w:szCs w:val="18"/>
        </w:rPr>
        <w:tab/>
        <w:t xml:space="preserve">měsíční kontrola oprávnění a finanční správnosti fakturace v datovém formátu XML (viz. </w:t>
      </w:r>
      <w:proofErr w:type="gramStart"/>
      <w:r w:rsidRPr="00496D1D">
        <w:rPr>
          <w:rFonts w:ascii="Verdana" w:hAnsi="Verdana" w:cs="Arial"/>
          <w:sz w:val="18"/>
          <w:szCs w:val="18"/>
        </w:rPr>
        <w:t>datový</w:t>
      </w:r>
      <w:proofErr w:type="gramEnd"/>
      <w:r w:rsidRPr="00496D1D">
        <w:rPr>
          <w:rFonts w:ascii="Verdana" w:hAnsi="Verdana" w:cs="Arial"/>
          <w:sz w:val="18"/>
          <w:szCs w:val="18"/>
        </w:rPr>
        <w:t xml:space="preserve"> pře</w:t>
      </w:r>
      <w:r w:rsidR="009A7B63" w:rsidRPr="00496D1D">
        <w:rPr>
          <w:rFonts w:ascii="Verdana" w:hAnsi="Verdana" w:cs="Arial"/>
          <w:sz w:val="18"/>
          <w:szCs w:val="18"/>
        </w:rPr>
        <w:t>pis XDC</w:t>
      </w:r>
      <w:r w:rsidRPr="00496D1D">
        <w:rPr>
          <w:rFonts w:ascii="Verdana" w:hAnsi="Verdana" w:cs="Arial"/>
          <w:sz w:val="18"/>
          <w:szCs w:val="18"/>
        </w:rPr>
        <w:t xml:space="preserve">, </w:t>
      </w:r>
      <w:r w:rsidR="009A7B63" w:rsidRPr="00496D1D">
        <w:rPr>
          <w:rFonts w:ascii="Verdana" w:hAnsi="Verdana" w:cs="Arial"/>
          <w:sz w:val="18"/>
          <w:szCs w:val="18"/>
        </w:rPr>
        <w:t>https://xdc.szdc.cz</w:t>
      </w:r>
      <w:r w:rsidRPr="00496D1D">
        <w:rPr>
          <w:rFonts w:ascii="Verdana" w:hAnsi="Verdana" w:cs="Arial"/>
          <w:sz w:val="18"/>
          <w:szCs w:val="18"/>
        </w:rPr>
        <w:t xml:space="preserve">) a dle Směrnice č. 41 „Oběh účetních </w:t>
      </w:r>
      <w:r w:rsidR="005A1B4E" w:rsidRPr="00496D1D">
        <w:rPr>
          <w:rFonts w:ascii="Verdana" w:hAnsi="Verdana" w:cs="Arial"/>
          <w:sz w:val="18"/>
          <w:szCs w:val="18"/>
        </w:rPr>
        <w:t>dokladů“, výsledky vyhodnocení Z</w:t>
      </w:r>
      <w:r w:rsidRPr="00496D1D">
        <w:rPr>
          <w:rFonts w:ascii="Verdana" w:hAnsi="Verdana" w:cs="Arial"/>
          <w:sz w:val="18"/>
          <w:szCs w:val="18"/>
        </w:rPr>
        <w:t xml:space="preserve">hotovitel zpracuje ve </w:t>
      </w:r>
      <w:r w:rsidR="00205E21" w:rsidRPr="00496D1D">
        <w:rPr>
          <w:rFonts w:ascii="Verdana" w:hAnsi="Verdana" w:cs="Arial"/>
          <w:sz w:val="18"/>
          <w:szCs w:val="18"/>
        </w:rPr>
        <w:t>formě písemného stanoviska pro O</w:t>
      </w:r>
      <w:r w:rsidRPr="00496D1D">
        <w:rPr>
          <w:rFonts w:ascii="Verdana" w:hAnsi="Verdana" w:cs="Arial"/>
          <w:sz w:val="18"/>
          <w:szCs w:val="18"/>
        </w:rPr>
        <w:t>bjednatele,</w:t>
      </w:r>
    </w:p>
    <w:p w14:paraId="2A0AC30C" w14:textId="6CE2867F" w:rsidR="00CD4F20" w:rsidRPr="00496D1D" w:rsidRDefault="00CD4F20" w:rsidP="00CD4F20">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1.2.11.4</w:t>
      </w:r>
      <w:r w:rsidRPr="00496D1D">
        <w:rPr>
          <w:rFonts w:ascii="Verdana" w:hAnsi="Verdana" w:cs="Arial"/>
          <w:sz w:val="18"/>
          <w:szCs w:val="18"/>
        </w:rPr>
        <w:tab/>
        <w:t xml:space="preserve">finální kontrola oprávnění a finanční správnosti fakturace v datovém formátu XML (viz. </w:t>
      </w:r>
      <w:proofErr w:type="gramStart"/>
      <w:r w:rsidRPr="00496D1D">
        <w:rPr>
          <w:rFonts w:ascii="Verdana" w:hAnsi="Verdana" w:cs="Arial"/>
          <w:sz w:val="18"/>
          <w:szCs w:val="18"/>
        </w:rPr>
        <w:t>datový</w:t>
      </w:r>
      <w:proofErr w:type="gramEnd"/>
      <w:r w:rsidRPr="00496D1D">
        <w:rPr>
          <w:rFonts w:ascii="Verdana" w:hAnsi="Verdana" w:cs="Arial"/>
          <w:sz w:val="18"/>
          <w:szCs w:val="18"/>
        </w:rPr>
        <w:t xml:space="preserve"> přepis</w:t>
      </w:r>
      <w:r w:rsidR="009A7B63" w:rsidRPr="00496D1D">
        <w:rPr>
          <w:rFonts w:ascii="Verdana" w:hAnsi="Verdana" w:cs="Arial"/>
          <w:sz w:val="18"/>
          <w:szCs w:val="18"/>
        </w:rPr>
        <w:t xml:space="preserve"> XDC</w:t>
      </w:r>
      <w:r w:rsidRPr="00496D1D">
        <w:rPr>
          <w:rFonts w:ascii="Verdana" w:hAnsi="Verdana" w:cs="Arial"/>
          <w:sz w:val="18"/>
          <w:szCs w:val="18"/>
        </w:rPr>
        <w:t xml:space="preserve">, </w:t>
      </w:r>
      <w:r w:rsidR="009A7B63" w:rsidRPr="00496D1D">
        <w:rPr>
          <w:rFonts w:ascii="Verdana" w:hAnsi="Verdana" w:cs="Arial"/>
          <w:sz w:val="18"/>
          <w:szCs w:val="18"/>
        </w:rPr>
        <w:t>https://xdc.szdc.cz</w:t>
      </w:r>
      <w:r w:rsidRPr="00496D1D">
        <w:rPr>
          <w:rFonts w:ascii="Verdana" w:hAnsi="Verdana" w:cs="Arial"/>
          <w:sz w:val="18"/>
          <w:szCs w:val="18"/>
        </w:rPr>
        <w:t xml:space="preserve">) dle Směrnice č. 41 „Oběh účetních </w:t>
      </w:r>
      <w:r w:rsidR="005A1B4E" w:rsidRPr="00496D1D">
        <w:rPr>
          <w:rFonts w:ascii="Verdana" w:hAnsi="Verdana" w:cs="Arial"/>
          <w:sz w:val="18"/>
          <w:szCs w:val="18"/>
        </w:rPr>
        <w:t>dokladů“, výsledky vyhodnocení Z</w:t>
      </w:r>
      <w:r w:rsidRPr="00496D1D">
        <w:rPr>
          <w:rFonts w:ascii="Verdana" w:hAnsi="Verdana" w:cs="Arial"/>
          <w:sz w:val="18"/>
          <w:szCs w:val="18"/>
        </w:rPr>
        <w:t xml:space="preserve">hotovitel zpracuje ve formě písemného stanoviska pro </w:t>
      </w:r>
      <w:r w:rsidR="00205E21" w:rsidRPr="00496D1D">
        <w:rPr>
          <w:rFonts w:ascii="Verdana" w:hAnsi="Verdana" w:cs="Arial"/>
          <w:sz w:val="18"/>
          <w:szCs w:val="18"/>
        </w:rPr>
        <w:t>O</w:t>
      </w:r>
      <w:r w:rsidRPr="00496D1D">
        <w:rPr>
          <w:rFonts w:ascii="Verdana" w:hAnsi="Verdana" w:cs="Arial"/>
          <w:sz w:val="18"/>
          <w:szCs w:val="18"/>
        </w:rPr>
        <w:t>bjednatele.</w:t>
      </w:r>
    </w:p>
    <w:p w14:paraId="79E96E96" w14:textId="22B2CFF5" w:rsidR="00CD4F20" w:rsidRPr="00496D1D" w:rsidRDefault="00CD4F20" w:rsidP="00FD38F7">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 xml:space="preserve">1.2.11.5 průběžná aktualizace souhrnných rozpočtů počínaje fází 4 „po soutěži“ až do </w:t>
      </w:r>
      <w:r w:rsidR="008B0519" w:rsidRPr="00496D1D">
        <w:rPr>
          <w:rFonts w:ascii="Verdana" w:hAnsi="Verdana" w:cs="Arial"/>
          <w:sz w:val="18"/>
          <w:szCs w:val="18"/>
        </w:rPr>
        <w:t>f</w:t>
      </w:r>
      <w:r w:rsidRPr="00496D1D">
        <w:rPr>
          <w:rFonts w:ascii="Verdana" w:hAnsi="Verdana" w:cs="Arial"/>
          <w:sz w:val="18"/>
          <w:szCs w:val="18"/>
        </w:rPr>
        <w:t>áze 6 „po skončení realizace“.</w:t>
      </w:r>
    </w:p>
    <w:p w14:paraId="40E0BE73" w14:textId="642525A3" w:rsidR="00786564" w:rsidRPr="00496D1D" w:rsidRDefault="00786564" w:rsidP="00FD38F7">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 xml:space="preserve">1.2.11.6 ostatní činnosti požadované </w:t>
      </w:r>
      <w:r w:rsidR="00205E21" w:rsidRPr="00496D1D">
        <w:rPr>
          <w:rFonts w:ascii="Verdana" w:hAnsi="Verdana" w:cs="Arial"/>
          <w:sz w:val="18"/>
          <w:szCs w:val="18"/>
        </w:rPr>
        <w:t>O</w:t>
      </w:r>
      <w:r w:rsidRPr="00496D1D">
        <w:rPr>
          <w:rFonts w:ascii="Verdana" w:hAnsi="Verdana" w:cs="Arial"/>
          <w:sz w:val="18"/>
          <w:szCs w:val="18"/>
        </w:rPr>
        <w:t>bjednatelem související s předmětem plnění této smlouvy</w:t>
      </w:r>
      <w:r w:rsidR="00562B6C" w:rsidRPr="00496D1D">
        <w:rPr>
          <w:rFonts w:ascii="Verdana" w:hAnsi="Verdana" w:cs="Arial"/>
          <w:sz w:val="18"/>
          <w:szCs w:val="18"/>
        </w:rPr>
        <w:t>.</w:t>
      </w:r>
    </w:p>
    <w:p w14:paraId="0B44586C" w14:textId="41B2A25D" w:rsidR="00CD4F20" w:rsidRPr="00496D1D" w:rsidRDefault="009A030F" w:rsidP="009A030F">
      <w:pPr>
        <w:suppressAutoHyphens/>
        <w:spacing w:before="240" w:after="120"/>
        <w:rPr>
          <w:rFonts w:ascii="Verdana" w:hAnsi="Verdana" w:cs="Arial"/>
          <w:b/>
          <w:sz w:val="18"/>
          <w:szCs w:val="18"/>
        </w:rPr>
      </w:pPr>
      <w:proofErr w:type="gramStart"/>
      <w:r w:rsidRPr="00496D1D">
        <w:rPr>
          <w:rFonts w:ascii="Verdana" w:hAnsi="Verdana" w:cs="Arial"/>
          <w:b/>
          <w:sz w:val="18"/>
          <w:szCs w:val="18"/>
        </w:rPr>
        <w:t>1</w:t>
      </w:r>
      <w:r w:rsidR="00CD4F20" w:rsidRPr="00496D1D">
        <w:rPr>
          <w:rFonts w:ascii="Verdana" w:hAnsi="Verdana" w:cs="Arial"/>
          <w:b/>
          <w:sz w:val="18"/>
          <w:szCs w:val="18"/>
        </w:rPr>
        <w:t>.2.12</w:t>
      </w:r>
      <w:proofErr w:type="gramEnd"/>
      <w:r w:rsidR="00CD4F20" w:rsidRPr="00496D1D">
        <w:rPr>
          <w:rFonts w:ascii="Verdana" w:hAnsi="Verdana" w:cs="Arial"/>
          <w:b/>
          <w:sz w:val="18"/>
          <w:szCs w:val="18"/>
        </w:rPr>
        <w:t>.</w:t>
      </w:r>
      <w:r w:rsidR="00CD4F20" w:rsidRPr="00496D1D">
        <w:rPr>
          <w:rFonts w:ascii="Verdana" w:hAnsi="Verdana" w:cs="Arial"/>
          <w:b/>
          <w:sz w:val="18"/>
          <w:szCs w:val="18"/>
        </w:rPr>
        <w:tab/>
      </w:r>
      <w:r w:rsidRPr="00496D1D">
        <w:rPr>
          <w:rFonts w:ascii="Verdana" w:hAnsi="Verdana" w:cs="Arial"/>
          <w:b/>
          <w:sz w:val="18"/>
          <w:szCs w:val="18"/>
        </w:rPr>
        <w:t xml:space="preserve"> </w:t>
      </w:r>
      <w:r w:rsidR="00CD4F20" w:rsidRPr="00496D1D">
        <w:rPr>
          <w:rFonts w:ascii="Verdana" w:hAnsi="Verdana" w:cs="Arial"/>
          <w:b/>
          <w:sz w:val="18"/>
          <w:szCs w:val="18"/>
        </w:rPr>
        <w:t xml:space="preserve">zpracování Závěrečné zprávy o realizaci stavby pro </w:t>
      </w:r>
      <w:r w:rsidR="00205E21" w:rsidRPr="00496D1D">
        <w:rPr>
          <w:rFonts w:ascii="Verdana" w:hAnsi="Verdana" w:cs="Arial"/>
          <w:b/>
          <w:sz w:val="18"/>
          <w:szCs w:val="18"/>
        </w:rPr>
        <w:t>O</w:t>
      </w:r>
      <w:r w:rsidR="00CD4F20" w:rsidRPr="00496D1D">
        <w:rPr>
          <w:rFonts w:ascii="Verdana" w:hAnsi="Verdana" w:cs="Arial"/>
          <w:b/>
          <w:sz w:val="18"/>
          <w:szCs w:val="18"/>
        </w:rPr>
        <w:t>bjednatele</w:t>
      </w:r>
    </w:p>
    <w:p w14:paraId="5800D850" w14:textId="3D5DA12F" w:rsidR="00CD4F20" w:rsidRPr="00496D1D" w:rsidRDefault="009A030F" w:rsidP="009A030F">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w:t>
      </w:r>
      <w:r w:rsidR="00CD4F20" w:rsidRPr="00496D1D">
        <w:rPr>
          <w:rFonts w:ascii="Verdana" w:hAnsi="Verdana" w:cs="Arial"/>
          <w:sz w:val="18"/>
          <w:szCs w:val="18"/>
        </w:rPr>
        <w:t>.2.12.1</w:t>
      </w:r>
      <w:r w:rsidR="00CD4F20" w:rsidRPr="00496D1D">
        <w:rPr>
          <w:rFonts w:ascii="Verdana" w:hAnsi="Verdana" w:cs="Arial"/>
          <w:sz w:val="18"/>
          <w:szCs w:val="18"/>
        </w:rPr>
        <w:tab/>
        <w:t xml:space="preserve">po </w:t>
      </w:r>
      <w:r w:rsidR="006E0C47" w:rsidRPr="00496D1D">
        <w:rPr>
          <w:rFonts w:ascii="Verdana" w:hAnsi="Verdana" w:cs="Arial"/>
          <w:sz w:val="18"/>
          <w:szCs w:val="18"/>
        </w:rPr>
        <w:t>dokončení realizace</w:t>
      </w:r>
      <w:r w:rsidR="00CD4F20" w:rsidRPr="00496D1D">
        <w:rPr>
          <w:rFonts w:ascii="Verdana" w:hAnsi="Verdana" w:cs="Arial"/>
          <w:sz w:val="18"/>
          <w:szCs w:val="18"/>
        </w:rPr>
        <w:t xml:space="preserve"> stavby bude zpracována Závěrečná zpráva rekapitulující především:</w:t>
      </w:r>
    </w:p>
    <w:p w14:paraId="0E346833" w14:textId="77777777" w:rsidR="009A030F" w:rsidRPr="00496D1D" w:rsidRDefault="00CD4F20" w:rsidP="009A030F">
      <w:pPr>
        <w:pStyle w:val="Odstavecseseznamem"/>
        <w:numPr>
          <w:ilvl w:val="0"/>
          <w:numId w:val="37"/>
        </w:numPr>
        <w:suppressAutoHyphens/>
        <w:spacing w:before="240" w:after="120"/>
        <w:rPr>
          <w:rFonts w:ascii="Verdana" w:hAnsi="Verdana" w:cs="Arial"/>
          <w:sz w:val="18"/>
          <w:szCs w:val="18"/>
        </w:rPr>
      </w:pPr>
      <w:r w:rsidRPr="00496D1D">
        <w:rPr>
          <w:rFonts w:ascii="Verdana" w:hAnsi="Verdana" w:cs="Arial"/>
          <w:sz w:val="18"/>
          <w:szCs w:val="18"/>
        </w:rPr>
        <w:t>rozsah a termín hlavních prováděných prací,</w:t>
      </w:r>
    </w:p>
    <w:p w14:paraId="02F56746" w14:textId="72ADBCE4" w:rsidR="00CD4F20" w:rsidRPr="00496D1D" w:rsidRDefault="00CD4F20" w:rsidP="009A030F">
      <w:pPr>
        <w:pStyle w:val="Odstavecseseznamem"/>
        <w:numPr>
          <w:ilvl w:val="0"/>
          <w:numId w:val="37"/>
        </w:numPr>
        <w:suppressAutoHyphens/>
        <w:spacing w:before="240" w:after="120"/>
        <w:rPr>
          <w:rFonts w:ascii="Verdana" w:hAnsi="Verdana" w:cs="Arial"/>
          <w:sz w:val="18"/>
          <w:szCs w:val="18"/>
        </w:rPr>
      </w:pPr>
      <w:r w:rsidRPr="00496D1D">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496D1D" w:rsidRDefault="009A030F" w:rsidP="009A030F">
      <w:pPr>
        <w:suppressAutoHyphens/>
        <w:spacing w:before="120" w:line="280" w:lineRule="exact"/>
        <w:ind w:left="539"/>
        <w:jc w:val="both"/>
        <w:rPr>
          <w:rFonts w:ascii="Verdana" w:hAnsi="Verdana" w:cs="Arial"/>
          <w:sz w:val="18"/>
          <w:szCs w:val="18"/>
        </w:rPr>
      </w:pPr>
      <w:r w:rsidRPr="00496D1D">
        <w:rPr>
          <w:rFonts w:ascii="Verdana" w:hAnsi="Verdana" w:cs="Arial"/>
          <w:sz w:val="18"/>
          <w:szCs w:val="18"/>
        </w:rPr>
        <w:t>1</w:t>
      </w:r>
      <w:r w:rsidR="00CD4F20" w:rsidRPr="00496D1D">
        <w:rPr>
          <w:rFonts w:ascii="Verdana" w:hAnsi="Verdana" w:cs="Arial"/>
          <w:sz w:val="18"/>
          <w:szCs w:val="18"/>
        </w:rPr>
        <w:t>.2.12.2</w:t>
      </w:r>
      <w:r w:rsidR="00CD4F20" w:rsidRPr="00496D1D">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496D1D" w:rsidRDefault="009A030F" w:rsidP="009A030F">
      <w:pPr>
        <w:suppressAutoHyphens/>
        <w:spacing w:before="120" w:line="280" w:lineRule="exact"/>
        <w:ind w:left="539" w:hanging="539"/>
        <w:jc w:val="both"/>
        <w:rPr>
          <w:rFonts w:ascii="Verdana" w:hAnsi="Verdana" w:cs="Arial"/>
          <w:sz w:val="18"/>
          <w:szCs w:val="18"/>
        </w:rPr>
      </w:pPr>
      <w:proofErr w:type="gramStart"/>
      <w:r w:rsidRPr="00496D1D">
        <w:rPr>
          <w:rFonts w:ascii="Verdana" w:hAnsi="Verdana" w:cs="Arial"/>
          <w:b/>
          <w:sz w:val="18"/>
          <w:szCs w:val="18"/>
        </w:rPr>
        <w:t>1</w:t>
      </w:r>
      <w:r w:rsidR="00CD4F20" w:rsidRPr="00496D1D">
        <w:rPr>
          <w:rFonts w:ascii="Verdana" w:hAnsi="Verdana" w:cs="Arial"/>
          <w:b/>
          <w:sz w:val="18"/>
          <w:szCs w:val="18"/>
        </w:rPr>
        <w:t>.3</w:t>
      </w:r>
      <w:proofErr w:type="gramEnd"/>
      <w:r w:rsidR="00CD4F20" w:rsidRPr="00496D1D">
        <w:rPr>
          <w:rFonts w:ascii="Verdana" w:hAnsi="Verdana" w:cs="Arial"/>
          <w:b/>
          <w:sz w:val="18"/>
          <w:szCs w:val="18"/>
        </w:rPr>
        <w:t>.</w:t>
      </w:r>
      <w:r w:rsidR="00CD4F20" w:rsidRPr="00496D1D">
        <w:rPr>
          <w:rFonts w:ascii="Verdana" w:hAnsi="Verdana" w:cs="Arial"/>
          <w:b/>
          <w:sz w:val="18"/>
          <w:szCs w:val="18"/>
        </w:rPr>
        <w:tab/>
      </w:r>
      <w:r w:rsidR="00205E21" w:rsidRPr="00496D1D">
        <w:rPr>
          <w:rFonts w:ascii="Verdana" w:hAnsi="Verdana" w:cs="Arial"/>
          <w:sz w:val="18"/>
          <w:szCs w:val="18"/>
        </w:rPr>
        <w:t>Podle požadavku O</w:t>
      </w:r>
      <w:r w:rsidR="00CD4F20" w:rsidRPr="00496D1D">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496D1D">
        <w:rPr>
          <w:rFonts w:ascii="Verdana" w:hAnsi="Verdana" w:cs="Arial"/>
          <w:sz w:val="18"/>
          <w:szCs w:val="18"/>
        </w:rPr>
        <w:t>1</w:t>
      </w:r>
      <w:r w:rsidR="00CD4F20" w:rsidRPr="00496D1D">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496D1D" w:rsidRDefault="009A030F" w:rsidP="00E012DE">
      <w:pPr>
        <w:suppressAutoHyphens/>
        <w:spacing w:before="120" w:line="280" w:lineRule="exact"/>
        <w:ind w:left="539" w:hanging="539"/>
        <w:jc w:val="both"/>
        <w:rPr>
          <w:rFonts w:ascii="Verdana" w:hAnsi="Verdana" w:cs="Arial"/>
          <w:sz w:val="18"/>
          <w:szCs w:val="18"/>
        </w:rPr>
      </w:pPr>
      <w:proofErr w:type="gramStart"/>
      <w:r w:rsidRPr="00496D1D">
        <w:rPr>
          <w:rFonts w:ascii="Verdana" w:hAnsi="Verdana" w:cs="Arial"/>
          <w:b/>
          <w:sz w:val="18"/>
          <w:szCs w:val="18"/>
        </w:rPr>
        <w:t>1</w:t>
      </w:r>
      <w:r w:rsidR="00CD4F20" w:rsidRPr="00496D1D">
        <w:rPr>
          <w:rFonts w:ascii="Verdana" w:hAnsi="Verdana" w:cs="Arial"/>
          <w:b/>
          <w:sz w:val="18"/>
          <w:szCs w:val="18"/>
        </w:rPr>
        <w:t>.4</w:t>
      </w:r>
      <w:proofErr w:type="gramEnd"/>
      <w:r w:rsidR="00CD4F20" w:rsidRPr="00496D1D">
        <w:rPr>
          <w:rFonts w:ascii="Verdana" w:hAnsi="Verdana" w:cs="Arial"/>
          <w:b/>
          <w:sz w:val="18"/>
          <w:szCs w:val="18"/>
        </w:rPr>
        <w:t>.</w:t>
      </w:r>
      <w:r w:rsidR="00CD4F20" w:rsidRPr="00496D1D">
        <w:rPr>
          <w:rFonts w:ascii="Verdana" w:hAnsi="Verdana" w:cs="Arial"/>
          <w:sz w:val="18"/>
          <w:szCs w:val="18"/>
        </w:rPr>
        <w:tab/>
        <w:t>Objednatel se zavazuje k předložení dalších doplňujících po</w:t>
      </w:r>
      <w:r w:rsidR="005A1B4E" w:rsidRPr="00496D1D">
        <w:rPr>
          <w:rFonts w:ascii="Verdana" w:hAnsi="Verdana" w:cs="Arial"/>
          <w:sz w:val="18"/>
          <w:szCs w:val="18"/>
        </w:rPr>
        <w:t>dkladů, nezbytných pro činnost Z</w:t>
      </w:r>
      <w:r w:rsidR="00CD4F20" w:rsidRPr="00496D1D">
        <w:rPr>
          <w:rFonts w:ascii="Verdana" w:hAnsi="Verdana" w:cs="Arial"/>
          <w:sz w:val="18"/>
          <w:szCs w:val="18"/>
        </w:rPr>
        <w:t>hotovitele, na základě jeho písemné výzvy. D</w:t>
      </w:r>
      <w:r w:rsidR="005A1B4E" w:rsidRPr="00496D1D">
        <w:rPr>
          <w:rFonts w:ascii="Verdana" w:hAnsi="Verdana" w:cs="Arial"/>
          <w:sz w:val="18"/>
          <w:szCs w:val="18"/>
        </w:rPr>
        <w:t>alší doplňující podklady budou Z</w:t>
      </w:r>
      <w:r w:rsidR="00CD4F20" w:rsidRPr="00496D1D">
        <w:rPr>
          <w:rFonts w:ascii="Verdana" w:hAnsi="Verdana" w:cs="Arial"/>
          <w:sz w:val="18"/>
          <w:szCs w:val="18"/>
        </w:rPr>
        <w:t>hotoviteli předány v písemné formě potvrzené správcem nebo hlavním inženýrem stavby bez zbytečného odkladu.</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06F1FE04" w:rsidR="00CB78AC" w:rsidRPr="00734C0E" w:rsidRDefault="00CB78AC" w:rsidP="004D3E69">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4D3E69" w:rsidRPr="004D3E69">
        <w:rPr>
          <w:rFonts w:ascii="Verdana" w:hAnsi="Verdana" w:cs="Arial"/>
          <w:sz w:val="18"/>
          <w:szCs w:val="18"/>
        </w:rPr>
        <w:t>19475/2022-SŽ-SSZ-OVZ</w:t>
      </w:r>
      <w:r w:rsidR="004D3E69">
        <w:rPr>
          <w:rFonts w:ascii="Verdana" w:hAnsi="Verdana" w:cs="Arial"/>
          <w:sz w:val="18"/>
          <w:szCs w:val="18"/>
        </w:rPr>
        <w:t xml:space="preserve"> </w:t>
      </w:r>
      <w:r w:rsidRPr="00734C0E">
        <w:rPr>
          <w:rFonts w:ascii="Verdana" w:hAnsi="Verdana" w:cs="Arial"/>
          <w:sz w:val="18"/>
          <w:szCs w:val="18"/>
        </w:rPr>
        <w:t xml:space="preserve">ze </w:t>
      </w:r>
      <w:r w:rsidRPr="004D3E69">
        <w:rPr>
          <w:rFonts w:ascii="Verdana" w:hAnsi="Verdana" w:cs="Arial"/>
          <w:sz w:val="18"/>
          <w:szCs w:val="18"/>
        </w:rPr>
        <w:t xml:space="preserve">dne </w:t>
      </w:r>
      <w:r w:rsidR="004D3E69" w:rsidRPr="004D3E69">
        <w:rPr>
          <w:rFonts w:ascii="Verdana" w:hAnsi="Verdana" w:cs="Arial"/>
          <w:sz w:val="18"/>
          <w:szCs w:val="18"/>
        </w:rPr>
        <w:t>21. 10. 2022</w:t>
      </w:r>
      <w:r w:rsidRPr="004D3E69">
        <w:rPr>
          <w:rFonts w:ascii="Verdana" w:hAnsi="Verdana" w:cs="Arial"/>
          <w:sz w:val="18"/>
          <w:szCs w:val="18"/>
        </w:rPr>
        <w:t xml:space="preserve">, </w:t>
      </w:r>
      <w:r w:rsidR="004547EF" w:rsidRPr="004D3E69">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590A5609" w:rsidR="00CB78AC" w:rsidRDefault="004547EF" w:rsidP="004D5B4D">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Smlouva, vč. příloh</w:t>
      </w:r>
    </w:p>
    <w:p w14:paraId="0C517264" w14:textId="1E0A2037" w:rsidR="004D5B4D" w:rsidRPr="004D5B4D" w:rsidRDefault="004D5B4D" w:rsidP="00E6228D">
      <w:pPr>
        <w:pStyle w:val="Odstavecseseznamem"/>
        <w:numPr>
          <w:ilvl w:val="0"/>
          <w:numId w:val="20"/>
        </w:numPr>
        <w:spacing w:after="60"/>
        <w:rPr>
          <w:rFonts w:ascii="Verdana" w:hAnsi="Verdana" w:cs="Arial"/>
          <w:sz w:val="18"/>
          <w:szCs w:val="18"/>
        </w:rPr>
      </w:pPr>
      <w:r w:rsidRPr="004D5B4D">
        <w:rPr>
          <w:rFonts w:ascii="Verdana" w:hAnsi="Verdana" w:cs="Arial"/>
          <w:sz w:val="18"/>
          <w:szCs w:val="18"/>
        </w:rPr>
        <w:t>Projektová dokumentace stavby</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4D5B4D"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 xml:space="preserve">SŽDC č. 20 pro stanovení a členění investičních nákladů staveb státní organizace </w:t>
      </w:r>
      <w:r w:rsidRPr="004D5B4D">
        <w:rPr>
          <w:rFonts w:ascii="Verdana" w:hAnsi="Verdana"/>
          <w:sz w:val="18"/>
          <w:szCs w:val="18"/>
        </w:rPr>
        <w:t>Správa železniční dopravní cesty, v platném znění</w:t>
      </w:r>
    </w:p>
    <w:p w14:paraId="77C098F0" w14:textId="46F42BA5" w:rsidR="00CB78AC" w:rsidRPr="004D5B4D"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5B4D">
        <w:rPr>
          <w:rFonts w:ascii="Verdana" w:hAnsi="Verdana" w:cs="Arial"/>
          <w:sz w:val="18"/>
          <w:szCs w:val="18"/>
        </w:rPr>
        <w:lastRenderedPageBreak/>
        <w:t>Směrnice SŽ SM0</w:t>
      </w:r>
      <w:r w:rsidR="0053637C" w:rsidRPr="004D5B4D">
        <w:rPr>
          <w:rFonts w:ascii="Verdana" w:hAnsi="Verdana" w:cs="Arial"/>
          <w:sz w:val="18"/>
          <w:szCs w:val="18"/>
        </w:rPr>
        <w:t xml:space="preserve">41, </w:t>
      </w:r>
      <w:r w:rsidRPr="004D5B4D">
        <w:rPr>
          <w:rFonts w:ascii="Verdana" w:hAnsi="Verdana" w:cs="Arial"/>
          <w:sz w:val="18"/>
          <w:szCs w:val="18"/>
        </w:rPr>
        <w:t xml:space="preserve">Oběh účetních dokladů, </w:t>
      </w:r>
      <w:r w:rsidR="0053637C" w:rsidRPr="004D5B4D">
        <w:rPr>
          <w:rFonts w:ascii="Verdana" w:hAnsi="Verdana" w:cs="Arial"/>
          <w:sz w:val="18"/>
          <w:szCs w:val="18"/>
        </w:rPr>
        <w:t>v platném znění</w:t>
      </w:r>
    </w:p>
    <w:p w14:paraId="32B81E02" w14:textId="0BAB3B0B" w:rsidR="00CB78AC" w:rsidRPr="004D5B4D"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5B4D">
        <w:rPr>
          <w:rFonts w:ascii="Verdana" w:hAnsi="Verdana" w:cs="Arial"/>
          <w:sz w:val="18"/>
          <w:szCs w:val="18"/>
        </w:rPr>
        <w:t>Směrnice SŽ</w:t>
      </w:r>
      <w:r w:rsidR="00B5685A" w:rsidRPr="004D5B4D">
        <w:rPr>
          <w:rFonts w:ascii="Verdana" w:hAnsi="Verdana" w:cs="Arial"/>
          <w:sz w:val="18"/>
          <w:szCs w:val="18"/>
        </w:rPr>
        <w:t xml:space="preserve">DC </w:t>
      </w:r>
      <w:r w:rsidRPr="004D5B4D">
        <w:rPr>
          <w:rFonts w:ascii="Verdana" w:hAnsi="Verdana" w:cs="Arial"/>
          <w:sz w:val="18"/>
          <w:szCs w:val="18"/>
        </w:rPr>
        <w:t xml:space="preserve"> </w:t>
      </w:r>
      <w:r w:rsidR="00B5685A" w:rsidRPr="004D5B4D">
        <w:rPr>
          <w:rFonts w:ascii="Verdana" w:hAnsi="Verdana" w:cs="Arial"/>
          <w:sz w:val="18"/>
          <w:szCs w:val="18"/>
        </w:rPr>
        <w:t>SM105</w:t>
      </w:r>
      <w:r w:rsidRPr="004D5B4D">
        <w:rPr>
          <w:rFonts w:ascii="Verdana" w:hAnsi="Verdana" w:cs="Arial"/>
          <w:sz w:val="18"/>
          <w:szCs w:val="18"/>
        </w:rPr>
        <w:t>,</w:t>
      </w:r>
      <w:r w:rsidR="00B5685A" w:rsidRPr="004D5B4D">
        <w:rPr>
          <w:rFonts w:ascii="Verdana" w:hAnsi="Verdana" w:cs="Arial"/>
          <w:sz w:val="18"/>
          <w:szCs w:val="18"/>
        </w:rPr>
        <w:t xml:space="preserve"> Změny během výstavby, </w:t>
      </w:r>
      <w:r w:rsidRPr="004D5B4D">
        <w:rPr>
          <w:rFonts w:ascii="Verdana" w:hAnsi="Verdana" w:cs="Arial"/>
          <w:sz w:val="18"/>
          <w:szCs w:val="18"/>
        </w:rPr>
        <w:t xml:space="preserve"> v platném znění</w:t>
      </w:r>
    </w:p>
    <w:p w14:paraId="033D7FA1" w14:textId="77777777" w:rsidR="00CB78AC" w:rsidRPr="004D5B4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5B4D">
        <w:rPr>
          <w:rFonts w:ascii="Verdana" w:hAnsi="Verdana" w:cs="Arial"/>
          <w:sz w:val="18"/>
          <w:szCs w:val="18"/>
        </w:rPr>
        <w:t>Technické kvalitativní podmínky staveb státních drah, v platném znění (dále jen „TKP  staveb“)</w:t>
      </w:r>
    </w:p>
    <w:p w14:paraId="69560366" w14:textId="52BD7EF0" w:rsidR="00B5681D" w:rsidRPr="004D5B4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4D5B4D">
        <w:rPr>
          <w:rFonts w:ascii="Verdana" w:hAnsi="Verdana" w:cs="Arial"/>
          <w:sz w:val="18"/>
          <w:szCs w:val="18"/>
        </w:rPr>
        <w:t xml:space="preserve">České technické normy a interní předpisy </w:t>
      </w:r>
      <w:r w:rsidR="00667FAA" w:rsidRPr="004D5B4D">
        <w:rPr>
          <w:rFonts w:ascii="Verdana" w:hAnsi="Verdana" w:cs="Arial"/>
          <w:sz w:val="18"/>
          <w:szCs w:val="18"/>
        </w:rPr>
        <w:t>Objednatel</w:t>
      </w:r>
      <w:r w:rsidRPr="004D5B4D">
        <w:rPr>
          <w:rFonts w:ascii="Verdana" w:hAnsi="Verdana" w:cs="Arial"/>
          <w:sz w:val="18"/>
          <w:szCs w:val="18"/>
        </w:rPr>
        <w:t>e vyjmenované v příslušných kapitolách   TKP staveb a v Technických kvalitativních podmínkách staveb pozemních komunikací (dále také jen „TKP PK“</w:t>
      </w:r>
      <w:r w:rsidR="00743006" w:rsidRPr="004D5B4D">
        <w:rPr>
          <w:rFonts w:ascii="Verdana" w:hAnsi="Verdana" w:cs="Arial"/>
          <w:sz w:val="18"/>
          <w:szCs w:val="18"/>
        </w:rPr>
        <w:t>)</w:t>
      </w:r>
      <w:r w:rsidRPr="004D5B4D">
        <w:rPr>
          <w:rFonts w:ascii="Verdana" w:hAnsi="Verdana" w:cs="Arial"/>
          <w:sz w:val="18"/>
          <w:szCs w:val="18"/>
        </w:rPr>
        <w:t xml:space="preserve"> – přístupné na </w:t>
      </w:r>
      <w:hyperlink r:id="rId11" w:history="1">
        <w:r w:rsidRPr="004D5B4D">
          <w:rPr>
            <w:rFonts w:ascii="Verdana" w:hAnsi="Verdana"/>
            <w:sz w:val="18"/>
            <w:szCs w:val="18"/>
          </w:rPr>
          <w:t>http://typdok.tudc.cz</w:t>
        </w:r>
      </w:hyperlink>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2"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3"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4"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4D5B4D">
        <w:rPr>
          <w:rFonts w:ascii="Verdana" w:hAnsi="Verdana"/>
          <w:sz w:val="20"/>
          <w:szCs w:val="18"/>
          <w:u w:val="single"/>
        </w:rPr>
        <w:t>Čl</w:t>
      </w:r>
      <w:r w:rsidR="00224A90" w:rsidRPr="004D5B4D">
        <w:rPr>
          <w:rFonts w:ascii="Verdana" w:hAnsi="Verdana"/>
          <w:sz w:val="20"/>
          <w:szCs w:val="18"/>
          <w:u w:val="single"/>
        </w:rPr>
        <w:t>ánek</w:t>
      </w:r>
      <w:r w:rsidRPr="004D5B4D">
        <w:rPr>
          <w:rFonts w:ascii="Verdana" w:hAnsi="Verdana"/>
          <w:sz w:val="20"/>
          <w:szCs w:val="18"/>
          <w:u w:val="single"/>
        </w:rPr>
        <w:t xml:space="preserve"> </w:t>
      </w:r>
      <w:r w:rsidR="00567417" w:rsidRPr="004D5B4D">
        <w:rPr>
          <w:rFonts w:ascii="Verdana" w:hAnsi="Verdana"/>
          <w:sz w:val="20"/>
          <w:szCs w:val="18"/>
          <w:u w:val="single"/>
        </w:rPr>
        <w:t>3</w:t>
      </w:r>
      <w:r w:rsidRPr="004D5B4D">
        <w:rPr>
          <w:rFonts w:ascii="Verdana" w:hAnsi="Verdana"/>
          <w:sz w:val="20"/>
          <w:szCs w:val="18"/>
          <w:u w:val="single"/>
        </w:rPr>
        <w:t xml:space="preserve"> - Lhůty </w:t>
      </w:r>
      <w:r w:rsidR="006037C1" w:rsidRPr="004D5B4D">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7D8D5F5" w:rsidR="000D5824" w:rsidRDefault="00567417" w:rsidP="008B0519">
      <w:pPr>
        <w:suppressAutoHyphens/>
        <w:spacing w:before="120"/>
        <w:ind w:left="426" w:hanging="426"/>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proofErr w:type="gramStart"/>
      <w:r w:rsidRPr="006037C1">
        <w:rPr>
          <w:rFonts w:ascii="Verdana" w:hAnsi="Verdana" w:cs="Arial"/>
          <w:b/>
          <w:sz w:val="18"/>
          <w:szCs w:val="18"/>
        </w:rPr>
        <w:t>3.3</w:t>
      </w:r>
      <w:proofErr w:type="gramEnd"/>
      <w:r w:rsidRPr="006037C1">
        <w:rPr>
          <w:rFonts w:ascii="Verdana" w:hAnsi="Verdana" w:cs="Arial"/>
          <w:b/>
          <w:sz w:val="18"/>
          <w:szCs w:val="18"/>
        </w:rPr>
        <w:t>.</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DEDDAD9"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1.2.7.1 - měsíčně, nejpozději do 12 dnů od předání podkladů</w:t>
      </w:r>
    </w:p>
    <w:p w14:paraId="63BA43ED" w14:textId="3F1972A9"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 xml:space="preserve">Pokud by došlo k mimořádnosti, že předaná fakturace neodpovídá výsledné skladbě uznatelných a neuznatelných nákladů, upozorní na to </w:t>
      </w:r>
      <w:r w:rsidR="005A1B4E">
        <w:rPr>
          <w:rFonts w:ascii="Verdana" w:hAnsi="Verdana" w:cs="Arial"/>
          <w:sz w:val="18"/>
          <w:szCs w:val="18"/>
        </w:rPr>
        <w:t>Z</w:t>
      </w:r>
      <w:r w:rsidRPr="008B0519">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1.2.7.2, 1.2.7.4 a 1.2.7.6 - do 3 měsíců od ukončení stavby,</w:t>
      </w:r>
    </w:p>
    <w:p w14:paraId="7A2BCB7D" w14:textId="3AB237E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1.2.7.3 - na vyžádání po předložení změnového listu, nejpozději do 20 dnů od předání podkladů,</w:t>
      </w:r>
    </w:p>
    <w:p w14:paraId="7D2A8519" w14:textId="6581E40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1.2.7.5 - nejpozději do 30 dnů od konce předmětného kalendářního čtvrtletí,</w:t>
      </w:r>
    </w:p>
    <w:p w14:paraId="634118AD" w14:textId="1EFB02A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 xml:space="preserve">bod 1.2.10.1, 1.2.10.2 a 1.2.10.3 - dle pokynu </w:t>
      </w:r>
      <w:r w:rsidR="00205E21">
        <w:rPr>
          <w:rFonts w:ascii="Verdana" w:hAnsi="Verdana" w:cs="Arial"/>
          <w:sz w:val="18"/>
          <w:szCs w:val="18"/>
        </w:rPr>
        <w:t>O</w:t>
      </w:r>
      <w:r w:rsidRPr="00067BF3">
        <w:rPr>
          <w:rFonts w:ascii="Verdana" w:hAnsi="Verdana" w:cs="Arial"/>
          <w:sz w:val="18"/>
          <w:szCs w:val="18"/>
        </w:rPr>
        <w:t xml:space="preserve">bjednatele do 30 dnů od předání podkladů, </w:t>
      </w:r>
    </w:p>
    <w:p w14:paraId="0B04DA40" w14:textId="0B82A16B" w:rsidR="00067BF3"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lastRenderedPageBreak/>
        <w:t>bod 1.2.11.1 a 1.2.11.3 - nejpozději do 5 dnů od před</w:t>
      </w:r>
      <w:r w:rsidR="00067BF3" w:rsidRPr="00067BF3">
        <w:rPr>
          <w:rFonts w:ascii="Verdana" w:hAnsi="Verdana" w:cs="Arial"/>
          <w:sz w:val="18"/>
          <w:szCs w:val="18"/>
        </w:rPr>
        <w:t>ání podkladů o skutečné výměře,</w:t>
      </w:r>
    </w:p>
    <w:p w14:paraId="0E49F0B9" w14:textId="77777777" w:rsid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1.2.11.2 a 1.2.11.4 - nejpozději do 12 dnů od předání podkladů</w:t>
      </w:r>
    </w:p>
    <w:p w14:paraId="262DFF3B" w14:textId="69A7B959" w:rsidR="006E0C47" w:rsidRPr="009A7B63" w:rsidRDefault="006E0C47" w:rsidP="00067BF3">
      <w:pPr>
        <w:pStyle w:val="Odstavecseseznamem"/>
        <w:numPr>
          <w:ilvl w:val="0"/>
          <w:numId w:val="49"/>
        </w:numPr>
        <w:suppressAutoHyphens/>
        <w:spacing w:before="120"/>
        <w:jc w:val="both"/>
        <w:rPr>
          <w:rFonts w:ascii="Verdana" w:hAnsi="Verdana" w:cs="Arial"/>
          <w:sz w:val="18"/>
          <w:szCs w:val="18"/>
        </w:rPr>
      </w:pPr>
      <w:r w:rsidRPr="009A7B63">
        <w:rPr>
          <w:rFonts w:ascii="Verdana" w:hAnsi="Verdana" w:cs="Arial"/>
          <w:sz w:val="18"/>
          <w:szCs w:val="18"/>
        </w:rPr>
        <w:t xml:space="preserve">bod </w:t>
      </w:r>
      <w:proofErr w:type="gramStart"/>
      <w:r w:rsidRPr="009A7B63">
        <w:rPr>
          <w:rFonts w:ascii="Verdana" w:hAnsi="Verdana" w:cs="Arial"/>
          <w:sz w:val="18"/>
          <w:szCs w:val="18"/>
        </w:rPr>
        <w:t>1.2.12</w:t>
      </w:r>
      <w:proofErr w:type="gramEnd"/>
      <w:r w:rsidRPr="009A7B63">
        <w:rPr>
          <w:rFonts w:ascii="Verdana" w:hAnsi="Verdana" w:cs="Arial"/>
          <w:sz w:val="18"/>
          <w:szCs w:val="18"/>
        </w:rPr>
        <w:t xml:space="preserve"> – </w:t>
      </w:r>
      <w:r w:rsidRPr="00D853FA">
        <w:rPr>
          <w:rFonts w:ascii="Verdana" w:hAnsi="Verdana" w:cs="Arial"/>
          <w:sz w:val="18"/>
          <w:szCs w:val="18"/>
        </w:rPr>
        <w:t xml:space="preserve">nejpozději do </w:t>
      </w:r>
      <w:r w:rsidR="00463EE2" w:rsidRPr="00D853FA">
        <w:rPr>
          <w:rFonts w:ascii="Verdana" w:hAnsi="Verdana" w:cs="Arial"/>
          <w:sz w:val="18"/>
          <w:szCs w:val="18"/>
        </w:rPr>
        <w:t>30-ti</w:t>
      </w:r>
      <w:r w:rsidRPr="00D853FA">
        <w:rPr>
          <w:rFonts w:ascii="Verdana" w:hAnsi="Verdana" w:cs="Arial"/>
          <w:sz w:val="18"/>
          <w:szCs w:val="18"/>
        </w:rPr>
        <w:t xml:space="preserve"> dnů od dokončení</w:t>
      </w:r>
      <w:r w:rsidRPr="009A7B63">
        <w:rPr>
          <w:rFonts w:ascii="Verdana" w:hAnsi="Verdana" w:cs="Arial"/>
          <w:sz w:val="18"/>
          <w:szCs w:val="18"/>
        </w:rPr>
        <w:t xml:space="preserve"> </w:t>
      </w:r>
      <w:r w:rsidR="00D853FA">
        <w:rPr>
          <w:rFonts w:ascii="Verdana" w:hAnsi="Verdana" w:cs="Arial"/>
          <w:sz w:val="18"/>
          <w:szCs w:val="18"/>
        </w:rPr>
        <w:t xml:space="preserve">celého </w:t>
      </w:r>
      <w:r w:rsidR="00463EE2">
        <w:rPr>
          <w:rFonts w:ascii="Verdana" w:hAnsi="Verdana" w:cs="Arial"/>
          <w:sz w:val="18"/>
          <w:szCs w:val="18"/>
        </w:rPr>
        <w:t>Díla</w:t>
      </w:r>
      <w:r w:rsidR="00297CA5">
        <w:rPr>
          <w:rFonts w:ascii="Verdana" w:hAnsi="Verdana" w:cs="Arial"/>
          <w:sz w:val="18"/>
          <w:szCs w:val="18"/>
        </w:rPr>
        <w:t>.</w:t>
      </w:r>
      <w:r w:rsidRPr="009A7B63">
        <w:rPr>
          <w:rFonts w:ascii="Verdana" w:hAnsi="Verdana" w:cs="Arial"/>
          <w:sz w:val="18"/>
          <w:szCs w:val="18"/>
        </w:rPr>
        <w:t xml:space="preserve"> </w:t>
      </w:r>
    </w:p>
    <w:p w14:paraId="75AC956A" w14:textId="44D002F2" w:rsidR="00BB712C" w:rsidRPr="00734C0E" w:rsidRDefault="00E02E85" w:rsidP="008B0519">
      <w:pPr>
        <w:suppressAutoHyphens/>
        <w:spacing w:before="120"/>
        <w:ind w:left="426" w:hanging="539"/>
        <w:jc w:val="both"/>
        <w:rPr>
          <w:rFonts w:ascii="Verdana" w:hAnsi="Verdana" w:cs="Arial"/>
          <w:sz w:val="18"/>
          <w:szCs w:val="18"/>
        </w:rPr>
      </w:pPr>
      <w:proofErr w:type="gramStart"/>
      <w:r>
        <w:rPr>
          <w:rFonts w:ascii="Verdana" w:hAnsi="Verdana" w:cs="Arial"/>
          <w:b/>
          <w:sz w:val="18"/>
          <w:szCs w:val="18"/>
        </w:rPr>
        <w:t>3.4</w:t>
      </w:r>
      <w:proofErr w:type="gramEnd"/>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6037C1" w:rsidRPr="00297CA5">
        <w:rPr>
          <w:rFonts w:ascii="Verdana" w:hAnsi="Verdana" w:cs="Arial"/>
          <w:sz w:val="18"/>
          <w:szCs w:val="18"/>
        </w:rPr>
        <w:t>„</w:t>
      </w:r>
      <w:r w:rsidR="00297CA5" w:rsidRPr="00297CA5">
        <w:rPr>
          <w:rFonts w:ascii="Verdana" w:hAnsi="Verdana" w:cs="Arial"/>
          <w:sz w:val="18"/>
          <w:szCs w:val="18"/>
        </w:rPr>
        <w:t xml:space="preserve">Rekonstrukce výpravní budovy v </w:t>
      </w:r>
      <w:proofErr w:type="spellStart"/>
      <w:r w:rsidR="00297CA5" w:rsidRPr="00297CA5">
        <w:rPr>
          <w:rFonts w:ascii="Verdana" w:hAnsi="Verdana" w:cs="Arial"/>
          <w:sz w:val="18"/>
          <w:szCs w:val="18"/>
        </w:rPr>
        <w:t>žst</w:t>
      </w:r>
      <w:proofErr w:type="spellEnd"/>
      <w:r w:rsidR="00297CA5" w:rsidRPr="00297CA5">
        <w:rPr>
          <w:rFonts w:ascii="Verdana" w:hAnsi="Verdana" w:cs="Arial"/>
          <w:sz w:val="18"/>
          <w:szCs w:val="18"/>
        </w:rPr>
        <w:t>. Bílina</w:t>
      </w:r>
      <w:r w:rsidR="00396AF3" w:rsidRPr="00297CA5">
        <w:rPr>
          <w:rFonts w:ascii="Verdana" w:hAnsi="Verdana" w:cs="Arial"/>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6749B28E"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w:t>
      </w:r>
      <w:r w:rsidR="000D5824" w:rsidRPr="00067BF3">
        <w:rPr>
          <w:rFonts w:ascii="Verdana" w:hAnsi="Verdana" w:cs="Arial"/>
          <w:sz w:val="18"/>
          <w:szCs w:val="18"/>
        </w:rPr>
        <w:t>Výše uvedená celková cena je nejvýše přípustná</w:t>
      </w:r>
      <w:r w:rsidR="002179F1" w:rsidRPr="00067BF3">
        <w:rPr>
          <w:rFonts w:ascii="Verdana" w:hAnsi="Verdana" w:cs="Arial"/>
          <w:sz w:val="18"/>
          <w:szCs w:val="18"/>
        </w:rPr>
        <w:t xml:space="preserve"> a nepřekročitelná</w:t>
      </w:r>
      <w:r w:rsidR="000D5824" w:rsidRPr="00067BF3">
        <w:rPr>
          <w:rFonts w:ascii="Verdana" w:hAnsi="Verdana" w:cs="Arial"/>
          <w:sz w:val="18"/>
          <w:szCs w:val="18"/>
        </w:rPr>
        <w:t>, nebude upravována v závislosti na vývoji inflace</w:t>
      </w:r>
      <w:r w:rsidR="002179F1" w:rsidRPr="00067BF3">
        <w:rPr>
          <w:rFonts w:ascii="Verdana" w:hAnsi="Verdana" w:cs="Arial"/>
          <w:sz w:val="18"/>
          <w:szCs w:val="18"/>
        </w:rPr>
        <w:t xml:space="preserve"> </w:t>
      </w:r>
      <w:r w:rsidR="00786564" w:rsidRPr="00067BF3">
        <w:rPr>
          <w:rFonts w:ascii="Verdana" w:hAnsi="Verdana" w:cs="Arial"/>
          <w:sz w:val="18"/>
          <w:szCs w:val="18"/>
        </w:rPr>
        <w:t>a</w:t>
      </w:r>
      <w:r w:rsidR="002179F1" w:rsidRPr="00067BF3">
        <w:rPr>
          <w:rFonts w:ascii="Verdana" w:hAnsi="Verdana" w:cs="Arial"/>
          <w:sz w:val="18"/>
          <w:szCs w:val="18"/>
        </w:rPr>
        <w:t xml:space="preserve"> je stanovena s ohledem na skutečnou dobu dokončení realizace stavby</w:t>
      </w:r>
      <w:r w:rsidR="00786564" w:rsidRPr="00067BF3">
        <w:rPr>
          <w:rFonts w:ascii="Verdana" w:hAnsi="Verdana" w:cs="Arial"/>
          <w:sz w:val="18"/>
          <w:szCs w:val="18"/>
        </w:rPr>
        <w:t>. Výše uvedená cena</w:t>
      </w:r>
      <w:r w:rsidR="000D5824" w:rsidRPr="00067BF3">
        <w:rPr>
          <w:rFonts w:ascii="Verdana" w:hAnsi="Verdana" w:cs="Arial"/>
          <w:sz w:val="18"/>
          <w:szCs w:val="18"/>
        </w:rPr>
        <w:t xml:space="preserve"> zahrnuje veškeré náklady potřebné k provádění činností a související náklady s provedením prací a je stanovena na základě skutečných výkonů </w:t>
      </w:r>
      <w:r w:rsidR="009E504E" w:rsidRPr="00067BF3">
        <w:rPr>
          <w:rFonts w:ascii="Verdana" w:hAnsi="Verdana" w:cs="Arial"/>
          <w:sz w:val="18"/>
          <w:szCs w:val="18"/>
        </w:rPr>
        <w:t xml:space="preserve">dle jednotkových cen </w:t>
      </w:r>
      <w:r w:rsidR="009E504E" w:rsidRPr="00D71129">
        <w:rPr>
          <w:rFonts w:ascii="Verdana" w:hAnsi="Verdana" w:cs="Arial"/>
          <w:sz w:val="18"/>
          <w:szCs w:val="18"/>
        </w:rPr>
        <w:t>uvedených v </w:t>
      </w:r>
      <w:r w:rsidR="003636BE" w:rsidRPr="00D71129">
        <w:rPr>
          <w:rFonts w:ascii="Verdana" w:hAnsi="Verdana" w:cs="Arial"/>
          <w:sz w:val="18"/>
          <w:szCs w:val="18"/>
        </w:rPr>
        <w:t>P</w:t>
      </w:r>
      <w:r w:rsidR="009E504E" w:rsidRPr="00D71129">
        <w:rPr>
          <w:rFonts w:ascii="Verdana" w:hAnsi="Verdana" w:cs="Arial"/>
          <w:sz w:val="18"/>
          <w:szCs w:val="18"/>
        </w:rPr>
        <w:t xml:space="preserve">říloze č. </w:t>
      </w:r>
      <w:r w:rsidR="003636BE" w:rsidRPr="00D71129">
        <w:rPr>
          <w:rFonts w:ascii="Verdana" w:hAnsi="Verdana" w:cs="Arial"/>
          <w:sz w:val="18"/>
          <w:szCs w:val="18"/>
        </w:rPr>
        <w:t>2</w:t>
      </w:r>
      <w:r w:rsidR="009E504E" w:rsidRPr="00D71129">
        <w:rPr>
          <w:rFonts w:ascii="Verdana" w:hAnsi="Verdana" w:cs="Arial"/>
          <w:sz w:val="18"/>
          <w:szCs w:val="18"/>
        </w:rPr>
        <w:t xml:space="preserve"> </w:t>
      </w:r>
      <w:r w:rsidR="00786564" w:rsidRPr="00D71129">
        <w:rPr>
          <w:rFonts w:ascii="Verdana" w:hAnsi="Verdana" w:cs="Arial"/>
          <w:sz w:val="18"/>
          <w:szCs w:val="18"/>
        </w:rPr>
        <w:t>bez</w:t>
      </w:r>
      <w:r w:rsidR="00786564" w:rsidRPr="00067BF3">
        <w:rPr>
          <w:rFonts w:ascii="Verdana" w:hAnsi="Verdana" w:cs="Arial"/>
          <w:sz w:val="18"/>
          <w:szCs w:val="18"/>
        </w:rPr>
        <w:t xml:space="preserve"> ohledu na místa jejich provádění vč. času potřebného k cestě na místo </w:t>
      </w:r>
      <w:r w:rsidR="00AD32C6" w:rsidRPr="00067BF3">
        <w:rPr>
          <w:rFonts w:ascii="Verdana" w:hAnsi="Verdana" w:cs="Arial"/>
          <w:sz w:val="18"/>
          <w:szCs w:val="18"/>
        </w:rPr>
        <w:t>plnění</w:t>
      </w:r>
      <w:r w:rsidR="00786564" w:rsidRPr="00067BF3">
        <w:rPr>
          <w:rFonts w:ascii="Verdana" w:hAnsi="Verdana" w:cs="Arial"/>
          <w:sz w:val="18"/>
          <w:szCs w:val="18"/>
        </w:rPr>
        <w:t xml:space="preserve"> a zpět</w:t>
      </w:r>
      <w:r w:rsidR="009E504E" w:rsidRPr="00067BF3">
        <w:rPr>
          <w:rFonts w:ascii="Verdana" w:hAnsi="Verdana" w:cs="Arial"/>
          <w:sz w:val="18"/>
          <w:szCs w:val="18"/>
        </w:rPr>
        <w:t>, a to</w:t>
      </w:r>
      <w:r w:rsidR="00786564" w:rsidRPr="00067BF3">
        <w:rPr>
          <w:rFonts w:ascii="Verdana" w:hAnsi="Verdana" w:cs="Arial"/>
          <w:sz w:val="18"/>
          <w:szCs w:val="18"/>
        </w:rPr>
        <w:t xml:space="preserve"> do </w:t>
      </w:r>
      <w:r w:rsidR="00AD32C6" w:rsidRPr="00067BF3">
        <w:rPr>
          <w:rFonts w:ascii="Verdana" w:hAnsi="Verdana" w:cs="Arial"/>
          <w:sz w:val="18"/>
          <w:szCs w:val="18"/>
        </w:rPr>
        <w:t xml:space="preserve">doby </w:t>
      </w:r>
      <w:r w:rsidR="00786564" w:rsidRPr="00067BF3">
        <w:rPr>
          <w:rFonts w:ascii="Verdana" w:hAnsi="Verdana" w:cs="Arial"/>
          <w:sz w:val="18"/>
          <w:szCs w:val="18"/>
        </w:rPr>
        <w:t>skutečného dokončení realizace stavby.</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557123CD"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AD32C6">
        <w:rPr>
          <w:rFonts w:ascii="Verdana" w:hAnsi="Verdana" w:cs="Arial"/>
          <w:b/>
          <w:sz w:val="18"/>
          <w:szCs w:val="18"/>
        </w:rPr>
        <w:t>4</w:t>
      </w:r>
      <w:proofErr w:type="gramEnd"/>
      <w:r w:rsidR="00680DF3">
        <w:rPr>
          <w:rFonts w:ascii="Verdana" w:hAnsi="Verdana" w:cs="Arial"/>
          <w:b/>
          <w:sz w:val="18"/>
          <w:szCs w:val="18"/>
        </w:rPr>
        <w:t>.</w:t>
      </w:r>
      <w:r>
        <w:rPr>
          <w:rFonts w:ascii="Verdana" w:hAnsi="Verdana" w:cs="Arial"/>
          <w:sz w:val="18"/>
          <w:szCs w:val="18"/>
        </w:rPr>
        <w:tab/>
      </w:r>
      <w:r w:rsidRPr="00A7493C">
        <w:rPr>
          <w:rFonts w:ascii="Verdana" w:hAnsi="Verdana" w:cs="Arial"/>
          <w:sz w:val="18"/>
          <w:szCs w:val="18"/>
        </w:rPr>
        <w:t xml:space="preserve">Jménem </w:t>
      </w:r>
      <w:r w:rsidR="00205E21" w:rsidRPr="00A7493C">
        <w:rPr>
          <w:rFonts w:ascii="Verdana" w:hAnsi="Verdana" w:cs="Arial"/>
          <w:sz w:val="18"/>
          <w:szCs w:val="18"/>
        </w:rPr>
        <w:t>O</w:t>
      </w:r>
      <w:r w:rsidR="00667FAA" w:rsidRPr="00A7493C">
        <w:rPr>
          <w:rFonts w:ascii="Verdana" w:hAnsi="Verdana" w:cs="Arial"/>
          <w:sz w:val="18"/>
          <w:szCs w:val="18"/>
        </w:rPr>
        <w:t>bjednatel</w:t>
      </w:r>
      <w:r w:rsidRPr="00A7493C">
        <w:rPr>
          <w:rFonts w:ascii="Verdana" w:hAnsi="Verdana" w:cs="Arial"/>
          <w:sz w:val="18"/>
          <w:szCs w:val="18"/>
        </w:rPr>
        <w:t xml:space="preserve">e bude počet odpracovaných hodin a soupis provedených činností potvrzovat </w:t>
      </w:r>
      <w:r w:rsidR="00A7493C" w:rsidRPr="00A7493C">
        <w:rPr>
          <w:rFonts w:ascii="Verdana" w:hAnsi="Verdana" w:cs="Arial"/>
          <w:sz w:val="18"/>
          <w:szCs w:val="18"/>
        </w:rPr>
        <w:t>Mgr. et Bc. Jiří Klášterka</w:t>
      </w:r>
      <w:r w:rsidR="004D3E69">
        <w:rPr>
          <w:rFonts w:ascii="Verdana" w:hAnsi="Verdana" w:cs="Arial"/>
          <w:sz w:val="18"/>
          <w:szCs w:val="18"/>
        </w:rPr>
        <w:t>, D. T., tel.: +420 722 957 095</w:t>
      </w:r>
      <w:bookmarkStart w:id="1" w:name="_GoBack"/>
      <w:bookmarkEnd w:id="1"/>
      <w:r w:rsidR="00A7493C" w:rsidRPr="00A7493C">
        <w:rPr>
          <w:rFonts w:ascii="Verdana" w:hAnsi="Verdana" w:cs="Arial"/>
          <w:sz w:val="18"/>
          <w:szCs w:val="18"/>
        </w:rPr>
        <w:t xml:space="preserve">, e-mail: </w:t>
      </w:r>
      <w:hyperlink r:id="rId15" w:history="1">
        <w:r w:rsidR="00A7493C" w:rsidRPr="00A7493C">
          <w:rPr>
            <w:rStyle w:val="Hypertextovodkaz"/>
            <w:rFonts w:ascii="Verdana" w:hAnsi="Verdana" w:cs="Arial"/>
            <w:sz w:val="18"/>
            <w:szCs w:val="18"/>
          </w:rPr>
          <w:t>Klasterkaj@spravazeleznic.cz</w:t>
        </w:r>
      </w:hyperlink>
      <w:r w:rsidR="00A7493C" w:rsidRPr="00A7493C">
        <w:rPr>
          <w:rFonts w:ascii="Verdana" w:hAnsi="Verdana" w:cs="Arial"/>
          <w:sz w:val="18"/>
          <w:szCs w:val="18"/>
        </w:rPr>
        <w:t xml:space="preserve"> .</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lastRenderedPageBreak/>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543E49BC" w:rsidR="0019414C" w:rsidRPr="00C805B9" w:rsidRDefault="0019414C" w:rsidP="00383697">
      <w:pPr>
        <w:suppressAutoHyphens/>
        <w:spacing w:before="120" w:after="120" w:line="280" w:lineRule="exact"/>
        <w:ind w:left="539" w:hanging="539"/>
        <w:jc w:val="both"/>
        <w:rPr>
          <w:rFonts w:ascii="Verdana" w:hAnsi="Verdana" w:cs="Arial"/>
          <w:sz w:val="18"/>
          <w:szCs w:val="18"/>
        </w:rPr>
      </w:pPr>
      <w:proofErr w:type="gramStart"/>
      <w:r w:rsidRPr="0019414C">
        <w:rPr>
          <w:rFonts w:ascii="Verdana" w:hAnsi="Verdana" w:cs="Arial"/>
          <w:b/>
          <w:sz w:val="18"/>
          <w:szCs w:val="18"/>
        </w:rPr>
        <w:t>6.3</w:t>
      </w:r>
      <w:proofErr w:type="gramEnd"/>
      <w:r w:rsidRPr="0019414C">
        <w:rPr>
          <w:rFonts w:ascii="Verdana" w:hAnsi="Verdana" w:cs="Arial"/>
          <w:b/>
          <w:sz w:val="18"/>
          <w:szCs w:val="18"/>
        </w:rPr>
        <w:t>.</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E0A62">
        <w:rPr>
          <w:rFonts w:ascii="Verdana" w:hAnsi="Verdana" w:cs="Arial"/>
          <w:sz w:val="18"/>
          <w:szCs w:val="18"/>
        </w:rPr>
        <w:t xml:space="preserve"> z této smlouvy</w:t>
      </w:r>
      <w:r w:rsidR="00F025AC">
        <w:rPr>
          <w:rFonts w:ascii="Verdana" w:hAnsi="Verdana" w:cs="Arial"/>
          <w:sz w:val="18"/>
          <w:szCs w:val="18"/>
        </w:rPr>
        <w:t xml:space="preserve"> („zádržné“).</w:t>
      </w:r>
    </w:p>
    <w:p w14:paraId="265B1A55" w14:textId="4E5B3371" w:rsidR="00BB721B" w:rsidRPr="00C805B9" w:rsidRDefault="00447614"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w:t>
      </w:r>
      <w:r w:rsidR="0019414C" w:rsidRPr="00C805B9">
        <w:rPr>
          <w:rFonts w:ascii="Verdana" w:hAnsi="Verdana" w:cs="Arial"/>
          <w:b/>
          <w:sz w:val="18"/>
          <w:szCs w:val="18"/>
        </w:rPr>
        <w:t>4</w:t>
      </w:r>
      <w:proofErr w:type="gramEnd"/>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F025AC">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4416DD82" w:rsidR="00BB721B" w:rsidRDefault="0019414C"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6.5</w:t>
      </w:r>
      <w:proofErr w:type="gramEnd"/>
      <w:r w:rsidRPr="00C805B9">
        <w:rPr>
          <w:rFonts w:ascii="Verdana" w:hAnsi="Verdana" w:cs="Arial"/>
          <w:b/>
          <w:sz w:val="18"/>
          <w:szCs w:val="18"/>
        </w:rPr>
        <w:t>.</w:t>
      </w:r>
      <w:r w:rsidRPr="00C805B9">
        <w:rPr>
          <w:rFonts w:ascii="Verdana" w:hAnsi="Verdana" w:cs="Arial"/>
          <w:sz w:val="18"/>
          <w:szCs w:val="18"/>
        </w:rPr>
        <w:tab/>
      </w:r>
      <w:r w:rsidR="00051359" w:rsidRPr="00051359">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.6</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lastRenderedPageBreak/>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32F6993"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w:t>
      </w:r>
      <w:r w:rsidR="00FE0A62">
        <w:rPr>
          <w:rFonts w:ascii="Verdana" w:hAnsi="Verdana" w:cs="Arial"/>
          <w:sz w:val="18"/>
          <w:szCs w:val="18"/>
        </w:rPr>
        <w:t>s</w:t>
      </w:r>
      <w:r w:rsidR="005E7A59" w:rsidRPr="00D00187">
        <w:rPr>
          <w:rFonts w:ascii="Verdana" w:hAnsi="Verdana" w:cs="Arial"/>
          <w:sz w:val="18"/>
          <w:szCs w:val="18"/>
        </w:rPr>
        <w:t>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w:t>
      </w:r>
      <w:r w:rsidR="00067BF3">
        <w:rPr>
          <w:rFonts w:ascii="Verdana" w:hAnsi="Verdana" w:cs="Arial"/>
          <w:sz w:val="18"/>
          <w:szCs w:val="18"/>
        </w:rPr>
        <w:t>3</w:t>
      </w:r>
      <w:r w:rsidRPr="00D26EBD">
        <w:rPr>
          <w:rFonts w:ascii="Verdana" w:hAnsi="Verdana" w:cs="Arial"/>
          <w:sz w:val="18"/>
          <w:szCs w:val="18"/>
        </w:rPr>
        <w:t>.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1396E242"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lastRenderedPageBreak/>
        <w:t xml:space="preserve">b) za prodlení s předáním hmotně zachycených výsledků dle čl. 1 v termínech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244FC8EC" w14:textId="68E037B1"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lastRenderedPageBreak/>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40616E">
        <w:rPr>
          <w:rFonts w:ascii="Verdana" w:hAnsi="Verdana" w:cs="Arial"/>
          <w:b/>
          <w:sz w:val="18"/>
          <w:szCs w:val="18"/>
        </w:rPr>
        <w:t>4</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5</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6</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88E2966"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1C8ABB6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 xml:space="preserve">e o tomto právním požadavku před </w:t>
      </w:r>
      <w:r w:rsidR="003F656B" w:rsidRPr="00734C0E">
        <w:rPr>
          <w:rFonts w:ascii="Verdana" w:hAnsi="Verdana" w:cs="Arial"/>
          <w:sz w:val="18"/>
          <w:szCs w:val="18"/>
        </w:rPr>
        <w:lastRenderedPageBreak/>
        <w:t>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w:t>
      </w:r>
      <w:r w:rsidRPr="00734C0E">
        <w:rPr>
          <w:rFonts w:ascii="Verdana" w:hAnsi="Verdana" w:cs="Arial"/>
          <w:bCs/>
          <w:sz w:val="18"/>
          <w:szCs w:val="18"/>
        </w:rPr>
        <w:lastRenderedPageBreak/>
        <w:t xml:space="preserve">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lastRenderedPageBreak/>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 xml:space="preserve">mlouvu je možné měnit, doplňovat nebo rušit pouze v téže formě, v jaké byla tato smlouva uzavřena, nebo ve formě přísnější, a to prostřednictvím vzestupně číslovaných dodatků, které mohou navrhnout </w:t>
      </w:r>
      <w:r w:rsidR="00A63250" w:rsidRPr="00734C0E">
        <w:rPr>
          <w:rFonts w:ascii="Verdana" w:hAnsi="Verdana" w:cs="Arial"/>
          <w:sz w:val="18"/>
          <w:szCs w:val="18"/>
        </w:rPr>
        <w:lastRenderedPageBreak/>
        <w:t>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1D25CD" w:rsidRDefault="005B5064" w:rsidP="00D00187">
      <w:pPr>
        <w:suppressAutoHyphens/>
        <w:spacing w:before="120" w:after="120" w:line="280" w:lineRule="exact"/>
        <w:ind w:left="539"/>
        <w:jc w:val="both"/>
        <w:rPr>
          <w:rFonts w:ascii="Verdana" w:hAnsi="Verdana" w:cs="Arial"/>
          <w:b/>
          <w:bCs/>
          <w:sz w:val="18"/>
          <w:szCs w:val="18"/>
        </w:rPr>
      </w:pPr>
      <w:r w:rsidRPr="001D25CD">
        <w:rPr>
          <w:rFonts w:ascii="Verdana" w:hAnsi="Verdana" w:cs="Arial"/>
          <w:b/>
          <w:bCs/>
          <w:sz w:val="18"/>
          <w:szCs w:val="18"/>
        </w:rPr>
        <w:t>P</w:t>
      </w:r>
      <w:r w:rsidR="00D00187" w:rsidRPr="001D25CD">
        <w:rPr>
          <w:rFonts w:ascii="Verdana" w:hAnsi="Verdana" w:cs="Arial"/>
          <w:b/>
          <w:bCs/>
          <w:sz w:val="18"/>
          <w:szCs w:val="18"/>
        </w:rPr>
        <w:t>říloha č. 1 – Seznam odborného personálu zhotovitele podílející se na plnění zakázky</w:t>
      </w:r>
    </w:p>
    <w:p w14:paraId="76C1582F" w14:textId="6C8138AB" w:rsidR="00D00187" w:rsidRPr="001D25CD" w:rsidRDefault="005B5064" w:rsidP="00D00187">
      <w:pPr>
        <w:suppressAutoHyphens/>
        <w:spacing w:before="120" w:after="120" w:line="280" w:lineRule="exact"/>
        <w:ind w:left="539"/>
        <w:jc w:val="both"/>
        <w:rPr>
          <w:rFonts w:ascii="Verdana" w:hAnsi="Verdana" w:cs="Arial"/>
          <w:b/>
          <w:bCs/>
          <w:sz w:val="18"/>
          <w:szCs w:val="18"/>
        </w:rPr>
      </w:pPr>
      <w:r w:rsidRPr="001D25CD">
        <w:rPr>
          <w:rFonts w:ascii="Verdana" w:hAnsi="Verdana" w:cs="Arial"/>
          <w:b/>
          <w:bCs/>
          <w:sz w:val="18"/>
          <w:szCs w:val="18"/>
        </w:rPr>
        <w:t>P</w:t>
      </w:r>
      <w:r w:rsidR="00D00187" w:rsidRPr="001D25CD">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1D25CD">
        <w:rPr>
          <w:rFonts w:ascii="Verdana" w:hAnsi="Verdana" w:cs="Arial"/>
          <w:b/>
          <w:bCs/>
          <w:sz w:val="18"/>
          <w:szCs w:val="18"/>
        </w:rPr>
        <w:tab/>
      </w:r>
      <w:r w:rsidR="005B5064" w:rsidRPr="001D25CD">
        <w:rPr>
          <w:rFonts w:ascii="Verdana" w:hAnsi="Verdana" w:cs="Arial"/>
          <w:b/>
          <w:bCs/>
          <w:sz w:val="18"/>
          <w:szCs w:val="18"/>
        </w:rPr>
        <w:t>P</w:t>
      </w:r>
      <w:r w:rsidRPr="001D25CD">
        <w:rPr>
          <w:rFonts w:ascii="Verdana" w:hAnsi="Verdana" w:cs="Arial"/>
          <w:b/>
          <w:bCs/>
          <w:sz w:val="18"/>
          <w:szCs w:val="18"/>
        </w:rPr>
        <w:t>říloha č. 3 – Mezinárodní sankce</w:t>
      </w:r>
      <w:r w:rsidRPr="00D71129">
        <w:rPr>
          <w:rFonts w:ascii="Verdana" w:hAnsi="Verdana" w:cs="Arial"/>
          <w:b/>
          <w:bCs/>
          <w:sz w:val="18"/>
          <w:szCs w:val="18"/>
        </w:rPr>
        <w:t xml:space="preserve">  </w:t>
      </w: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lastRenderedPageBreak/>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27D5636"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29584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AAE15F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E51B8B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5AA8AB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D4B5B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BBC2B02"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CC855F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3FD41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B329A7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03AD8D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4F0E84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B9876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A6969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lastRenderedPageBreak/>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lastRenderedPageBreak/>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w:t>
      </w:r>
      <w:r w:rsidRPr="003F4C79">
        <w:rPr>
          <w:rFonts w:ascii="Verdana" w:hAnsi="Verdana"/>
          <w:sz w:val="20"/>
          <w:szCs w:val="19"/>
        </w:rPr>
        <w:lastRenderedPageBreak/>
        <w:t xml:space="preserve">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6"/>
      <w:footerReference w:type="default" r:id="rId17"/>
      <w:headerReference w:type="first" r:id="rId18"/>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DC321" w14:textId="77777777" w:rsidR="00FF26BC" w:rsidRDefault="00FF26BC">
      <w:r>
        <w:separator/>
      </w:r>
    </w:p>
  </w:endnote>
  <w:endnote w:type="continuationSeparator" w:id="0">
    <w:p w14:paraId="7E435B04" w14:textId="77777777" w:rsidR="00FF26BC" w:rsidRDefault="00FF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036752BF"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3D0EAC">
            <w:rPr>
              <w:rStyle w:val="slostrnky"/>
              <w:noProof/>
              <w:sz w:val="16"/>
            </w:rPr>
            <w:t>23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D0EAC">
            <w:rPr>
              <w:rStyle w:val="slostrnky"/>
              <w:noProof/>
              <w:sz w:val="16"/>
            </w:rPr>
            <w:t>23</w:t>
          </w:r>
          <w:r w:rsidRPr="00640531">
            <w:rPr>
              <w:rStyle w:val="slostrnky"/>
              <w:sz w:val="16"/>
            </w:rPr>
            <w:fldChar w:fldCharType="end"/>
          </w:r>
        </w:p>
      </w:tc>
      <w:tc>
        <w:tcPr>
          <w:tcW w:w="0" w:type="auto"/>
          <w:vAlign w:val="bottom"/>
        </w:tcPr>
        <w:p w14:paraId="0F8F3302" w14:textId="5167CBAC" w:rsidR="00B755E5" w:rsidRDefault="00B755E5" w:rsidP="00936A82">
          <w:pPr>
            <w:pStyle w:val="Zpatvlevo"/>
          </w:pPr>
          <w:r>
            <w:t>„</w:t>
          </w:r>
          <w:r w:rsidR="006A4B86" w:rsidRPr="006A4B86">
            <w:t xml:space="preserve">Rekonstrukce výpravní budovy v </w:t>
          </w:r>
          <w:proofErr w:type="spellStart"/>
          <w:r w:rsidR="006A4B86" w:rsidRPr="006A4B86">
            <w:t>žst</w:t>
          </w:r>
          <w:proofErr w:type="spellEnd"/>
          <w:r w:rsidR="006A4B86" w:rsidRPr="006A4B86">
            <w:t>. Bílina</w:t>
          </w:r>
          <w:r w:rsidRPr="00734C0E">
            <w:t>"</w:t>
          </w:r>
        </w:p>
        <w:p w14:paraId="6B63C051" w14:textId="51038842"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FFA34" w14:textId="77777777" w:rsidR="00FF26BC" w:rsidRDefault="00FF26BC">
      <w:r>
        <w:separator/>
      </w:r>
    </w:p>
  </w:footnote>
  <w:footnote w:type="continuationSeparator" w:id="0">
    <w:p w14:paraId="116189FC" w14:textId="77777777" w:rsidR="00FF26BC" w:rsidRDefault="00FF26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5D56C3B"/>
    <w:multiLevelType w:val="hybridMultilevel"/>
    <w:tmpl w:val="DE0E83A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2"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3"/>
  </w:num>
  <w:num w:numId="3">
    <w:abstractNumId w:val="30"/>
  </w:num>
  <w:num w:numId="4">
    <w:abstractNumId w:val="28"/>
  </w:num>
  <w:num w:numId="5">
    <w:abstractNumId w:val="26"/>
  </w:num>
  <w:num w:numId="6">
    <w:abstractNumId w:val="47"/>
  </w:num>
  <w:num w:numId="7">
    <w:abstractNumId w:val="13"/>
  </w:num>
  <w:num w:numId="8">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6"/>
  </w:num>
  <w:num w:numId="17">
    <w:abstractNumId w:val="3"/>
  </w:num>
  <w:num w:numId="18">
    <w:abstractNumId w:val="6"/>
  </w:num>
  <w:num w:numId="19">
    <w:abstractNumId w:val="38"/>
  </w:num>
  <w:num w:numId="20">
    <w:abstractNumId w:val="11"/>
  </w:num>
  <w:num w:numId="21">
    <w:abstractNumId w:val="3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42"/>
  </w:num>
  <w:num w:numId="25">
    <w:abstractNumId w:val="1"/>
  </w:num>
  <w:num w:numId="26">
    <w:abstractNumId w:val="10"/>
  </w:num>
  <w:num w:numId="27">
    <w:abstractNumId w:val="40"/>
  </w:num>
  <w:num w:numId="28">
    <w:abstractNumId w:val="29"/>
  </w:num>
  <w:num w:numId="29">
    <w:abstractNumId w:val="24"/>
  </w:num>
  <w:num w:numId="30">
    <w:abstractNumId w:val="27"/>
  </w:num>
  <w:num w:numId="31">
    <w:abstractNumId w:val="41"/>
  </w:num>
  <w:num w:numId="32">
    <w:abstractNumId w:val="19"/>
  </w:num>
  <w:num w:numId="33">
    <w:abstractNumId w:val="39"/>
  </w:num>
  <w:num w:numId="34">
    <w:abstractNumId w:val="32"/>
  </w:num>
  <w:num w:numId="35">
    <w:abstractNumId w:val="21"/>
  </w:num>
  <w:num w:numId="36">
    <w:abstractNumId w:val="5"/>
  </w:num>
  <w:num w:numId="37">
    <w:abstractNumId w:val="22"/>
  </w:num>
  <w:num w:numId="38">
    <w:abstractNumId w:val="2"/>
  </w:num>
  <w:num w:numId="39">
    <w:abstractNumId w:val="8"/>
  </w:num>
  <w:num w:numId="40">
    <w:abstractNumId w:val="23"/>
  </w:num>
  <w:num w:numId="41">
    <w:abstractNumId w:val="15"/>
  </w:num>
  <w:num w:numId="42">
    <w:abstractNumId w:val="45"/>
  </w:num>
  <w:num w:numId="43">
    <w:abstractNumId w:val="34"/>
  </w:num>
  <w:num w:numId="44">
    <w:abstractNumId w:val="16"/>
  </w:num>
  <w:num w:numId="45">
    <w:abstractNumId w:val="4"/>
  </w:num>
  <w:num w:numId="46">
    <w:abstractNumId w:val="35"/>
  </w:num>
  <w:num w:numId="47">
    <w:abstractNumId w:val="14"/>
  </w:num>
  <w:num w:numId="48">
    <w:abstractNumId w:val="9"/>
  </w:num>
  <w:num w:numId="49">
    <w:abstractNumId w:val="7"/>
  </w:num>
  <w:num w:numId="5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230A1"/>
    <w:rsid w:val="00031071"/>
    <w:rsid w:val="00031620"/>
    <w:rsid w:val="00033A17"/>
    <w:rsid w:val="00034E29"/>
    <w:rsid w:val="00040544"/>
    <w:rsid w:val="00046F12"/>
    <w:rsid w:val="00047FB6"/>
    <w:rsid w:val="0005097B"/>
    <w:rsid w:val="00051359"/>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25CD"/>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97CA5"/>
    <w:rsid w:val="002A528B"/>
    <w:rsid w:val="002A62C6"/>
    <w:rsid w:val="002A6F13"/>
    <w:rsid w:val="002A7686"/>
    <w:rsid w:val="002B6CB3"/>
    <w:rsid w:val="002C19C8"/>
    <w:rsid w:val="002C2449"/>
    <w:rsid w:val="002C2D95"/>
    <w:rsid w:val="002C2DCE"/>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5120"/>
    <w:rsid w:val="00356426"/>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EAC"/>
    <w:rsid w:val="003D27E9"/>
    <w:rsid w:val="003D6A5C"/>
    <w:rsid w:val="003E3ACA"/>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3EE2"/>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6D1D"/>
    <w:rsid w:val="004972D1"/>
    <w:rsid w:val="00497C87"/>
    <w:rsid w:val="004A0991"/>
    <w:rsid w:val="004A0F90"/>
    <w:rsid w:val="004A1EF9"/>
    <w:rsid w:val="004A4EB8"/>
    <w:rsid w:val="004A6A97"/>
    <w:rsid w:val="004B2857"/>
    <w:rsid w:val="004C0C6C"/>
    <w:rsid w:val="004C0EEF"/>
    <w:rsid w:val="004C49DC"/>
    <w:rsid w:val="004D0508"/>
    <w:rsid w:val="004D133A"/>
    <w:rsid w:val="004D16C1"/>
    <w:rsid w:val="004D1BB2"/>
    <w:rsid w:val="004D3E69"/>
    <w:rsid w:val="004D3EE7"/>
    <w:rsid w:val="004D5B4D"/>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2B6C"/>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1B4E"/>
    <w:rsid w:val="005A23E6"/>
    <w:rsid w:val="005A29B6"/>
    <w:rsid w:val="005A32E4"/>
    <w:rsid w:val="005A3EE2"/>
    <w:rsid w:val="005A3FB8"/>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1B93"/>
    <w:rsid w:val="006A45B7"/>
    <w:rsid w:val="006A4B86"/>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036"/>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91A"/>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7493C"/>
    <w:rsid w:val="00A8172C"/>
    <w:rsid w:val="00A81965"/>
    <w:rsid w:val="00A82EC8"/>
    <w:rsid w:val="00A853AA"/>
    <w:rsid w:val="00A92925"/>
    <w:rsid w:val="00A947A9"/>
    <w:rsid w:val="00A978D4"/>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3FA"/>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28D"/>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25AC"/>
    <w:rsid w:val="00F02D54"/>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0A62"/>
    <w:rsid w:val="00FE5EC3"/>
    <w:rsid w:val="00FE5F19"/>
    <w:rsid w:val="00FF133C"/>
    <w:rsid w:val="00FF26B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varnicky@spravazeleznic.cz" TargetMode="External"/><Relationship Id="rId13" Type="http://schemas.openxmlformats.org/officeDocument/2006/relationships/hyperlink" Target="https://www.sz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yperlink" Target="mailto:Klasterkaj@spravazeleznic.cz" TargetMode="External"/><Relationship Id="rId23" Type="http://schemas.microsoft.com/office/2016/09/relationships/commentsIds" Target="commentsIds.xml"/><Relationship Id="rId10" Type="http://schemas.openxmlformats.org/officeDocument/2006/relationships/hyperlink" Target="mailto:ePodatelnaCFU@spravazelezni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lasterkaj@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63276"/>
    <w:rsid w:val="00104C76"/>
    <w:rsid w:val="001D2697"/>
    <w:rsid w:val="00252E98"/>
    <w:rsid w:val="002D4217"/>
    <w:rsid w:val="002E62C8"/>
    <w:rsid w:val="003C0A70"/>
    <w:rsid w:val="003C2C13"/>
    <w:rsid w:val="004E62D9"/>
    <w:rsid w:val="004F5C51"/>
    <w:rsid w:val="00507BA9"/>
    <w:rsid w:val="005A2A81"/>
    <w:rsid w:val="005D7D24"/>
    <w:rsid w:val="00636012"/>
    <w:rsid w:val="00655775"/>
    <w:rsid w:val="006E6D94"/>
    <w:rsid w:val="006F43C6"/>
    <w:rsid w:val="00707222"/>
    <w:rsid w:val="00771A8F"/>
    <w:rsid w:val="008644DC"/>
    <w:rsid w:val="00864D84"/>
    <w:rsid w:val="00881D70"/>
    <w:rsid w:val="008C2F26"/>
    <w:rsid w:val="008D7458"/>
    <w:rsid w:val="00920586"/>
    <w:rsid w:val="009826B2"/>
    <w:rsid w:val="00B306BC"/>
    <w:rsid w:val="00B41DBF"/>
    <w:rsid w:val="00B845B8"/>
    <w:rsid w:val="00C37097"/>
    <w:rsid w:val="00C55CB0"/>
    <w:rsid w:val="00C56320"/>
    <w:rsid w:val="00CB3262"/>
    <w:rsid w:val="00DC4BB9"/>
    <w:rsid w:val="00E1186E"/>
    <w:rsid w:val="00E742A9"/>
    <w:rsid w:val="00F17A74"/>
    <w:rsid w:val="00F37B58"/>
    <w:rsid w:val="00F47AAF"/>
    <w:rsid w:val="00F5652E"/>
    <w:rsid w:val="00F82F1A"/>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F62A4-228B-4F9F-9714-709417E36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23</Pages>
  <Words>8578</Words>
  <Characters>50616</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25</cp:revision>
  <cp:lastPrinted>2019-05-15T11:03:00Z</cp:lastPrinted>
  <dcterms:created xsi:type="dcterms:W3CDTF">2022-10-19T11:21:00Z</dcterms:created>
  <dcterms:modified xsi:type="dcterms:W3CDTF">2022-10-21T07:24:00Z</dcterms:modified>
</cp:coreProperties>
</file>