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6F34A5" w:rsidRPr="006F34A5">
        <w:t>Bystřice (</w:t>
      </w:r>
      <w:proofErr w:type="spellStart"/>
      <w:r w:rsidR="006F34A5" w:rsidRPr="006F34A5">
        <w:t>Bystrzyca</w:t>
      </w:r>
      <w:proofErr w:type="spellEnd"/>
      <w:r w:rsidR="006F34A5" w:rsidRPr="006F34A5">
        <w:t>), nádražní budova –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6F34A5" w:rsidP="00F91101">
      <w:pPr>
        <w:spacing w:after="120"/>
        <w:ind w:left="567"/>
        <w:jc w:val="both"/>
        <w:rPr>
          <w:rFonts w:ascii="Verdana" w:hAnsi="Verdana" w:cs="Calibri"/>
        </w:rPr>
      </w:pPr>
      <w:r w:rsidRPr="006F34A5">
        <w:t xml:space="preserve">Mgr. Jan Foldyna, tel.: </w:t>
      </w:r>
      <w:r w:rsidR="000225C4">
        <w:t xml:space="preserve">+420 </w:t>
      </w:r>
      <w:r w:rsidRPr="006F34A5">
        <w:t>601 160 009</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0225C4" w:rsidP="00F91101">
      <w:pPr>
        <w:spacing w:after="120"/>
        <w:ind w:left="567"/>
        <w:jc w:val="both"/>
        <w:rPr>
          <w:rFonts w:ascii="Verdana" w:hAnsi="Verdana" w:cs="Calibri"/>
        </w:rPr>
      </w:pPr>
      <w:r>
        <w:t>Bc. Pavel Divín, MBA</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0225C4">
        <w:t>+420 724 932 367</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ISPROFOND</w:t>
      </w:r>
      <w:r w:rsidR="002F19BD">
        <w:t>/SUBISPROFIN</w:t>
      </w:r>
      <w:r>
        <w:t>:</w:t>
      </w:r>
      <w:r w:rsidR="002F19BD">
        <w:t xml:space="preserve"> 5003520139/</w:t>
      </w:r>
      <w:r w:rsidR="000225C4" w:rsidRPr="000225C4">
        <w:t>5813510037</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6F34A5" w:rsidRPr="008A7B26">
        <w:rPr>
          <w:rFonts w:eastAsia="Times New Roman" w:cs="Times New Roman"/>
          <w:b/>
          <w:lang w:eastAsia="cs-CZ"/>
        </w:rPr>
        <w:t>Bystřice (</w:t>
      </w:r>
      <w:proofErr w:type="spellStart"/>
      <w:r w:rsidR="006F34A5" w:rsidRPr="008A7B26">
        <w:rPr>
          <w:rFonts w:eastAsia="Times New Roman" w:cs="Times New Roman"/>
          <w:b/>
          <w:lang w:eastAsia="cs-CZ"/>
        </w:rPr>
        <w:t>Bystrzyca</w:t>
      </w:r>
      <w:proofErr w:type="spellEnd"/>
      <w:r w:rsidR="006F34A5" w:rsidRPr="008A7B26">
        <w:rPr>
          <w:rFonts w:eastAsia="Times New Roman" w:cs="Times New Roman"/>
          <w:b/>
          <w:lang w:eastAsia="cs-CZ"/>
        </w:rPr>
        <w:t>), nádražní budova</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dávat podněty a na vyžádání zhotovitele a/nebo poddodavatele doporučovat technická řešení nebo opatření k zajištění BOZP pro stanovení pracovních nebo technologických postupů a plánování bezpečného provádění prací, které se </w:t>
      </w:r>
      <w:r w:rsidRPr="005C7EED">
        <w:rPr>
          <w:rFonts w:ascii="Verdana" w:hAnsi="Verdana" w:cs="Calibri"/>
          <w:color w:val="000000"/>
        </w:rPr>
        <w:lastRenderedPageBreak/>
        <w:t>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 xml:space="preserve">e a třetích osob určených dohodou smluvních stran nebo třetích osob v nezbytném rozsahu za účelem plnění </w:t>
      </w:r>
      <w:r w:rsidRPr="005C7EED">
        <w:lastRenderedPageBreak/>
        <w:t>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lastRenderedPageBreak/>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6F34A5" w:rsidRPr="006F34A5">
        <w:rPr>
          <w:rFonts w:cs="Arial"/>
          <w:b/>
        </w:rPr>
        <w:t xml:space="preserve">9 </w:t>
      </w:r>
      <w:r w:rsidRPr="006F34A5">
        <w:rPr>
          <w:b/>
        </w:rPr>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lastRenderedPageBreak/>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rsidR="008F4602" w:rsidRPr="00A77065"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A77065" w:rsidRPr="00B459C0" w:rsidRDefault="00A77065" w:rsidP="00A77065">
      <w:pPr>
        <w:pStyle w:val="Text1-1"/>
        <w:numPr>
          <w:ilvl w:val="1"/>
          <w:numId w:val="8"/>
        </w:numPr>
        <w:tabs>
          <w:tab w:val="clear" w:pos="1446"/>
          <w:tab w:val="num" w:pos="737"/>
        </w:tabs>
        <w:ind w:left="737"/>
      </w:pPr>
      <w:r w:rsidRPr="00B459C0">
        <w:t>Požadavek na Poddodavatele</w:t>
      </w:r>
    </w:p>
    <w:p w:rsidR="00A77065" w:rsidRPr="00B459C0" w:rsidRDefault="00A77065" w:rsidP="00A77065">
      <w:pPr>
        <w:pStyle w:val="Text1-2"/>
        <w:numPr>
          <w:ilvl w:val="2"/>
          <w:numId w:val="8"/>
        </w:numPr>
        <w:tabs>
          <w:tab w:val="clear" w:pos="1474"/>
          <w:tab w:val="num" w:pos="1503"/>
        </w:tabs>
        <w:ind w:left="1503" w:hanging="794"/>
      </w:pPr>
      <w:r w:rsidRPr="00B459C0">
        <w:t>Zhotovitel prohlašuje, že žádný z jeho Poddodavatelů nebyl v zemi svého sídla v posledních 5 letech pravomocně odsouzen pro trestný čin uvedený v příloze č.</w:t>
      </w:r>
      <w:r w:rsidR="002247AA">
        <w:t> </w:t>
      </w:r>
      <w:r w:rsidRPr="00B459C0">
        <w:t xml:space="preserve">3 k ZZVZ nebo obdobný trestný čin podle právního řádu země sídla Poddodavatele, přičemž k zahlazeným odsouzením se nepřihlíží. Je-li Poddodavatelem právnická osoba, musí tuto podmínku splňovat tato právnická </w:t>
      </w:r>
      <w:r w:rsidRPr="00B459C0">
        <w:lastRenderedPageBreak/>
        <w:t>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rsidR="00A77065" w:rsidRPr="008F4602"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lastRenderedPageBreak/>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Pr="00A77065"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 xml:space="preserve">.2, je Objednatel oprávněn odstoupit od této Smlouvy. Zhotovitel je dále povinen zaplatit za každé jednotlivé porušení povinností dle předchozí věty, s výjimkou oznamovací povinnosti dle odstavce </w:t>
      </w:r>
      <w:r>
        <w:t>5.8</w:t>
      </w:r>
      <w:r w:rsidRPr="00B459C0">
        <w:t xml:space="preserve">.2 této Smlouvy, smluvní pokutu ve výši 100.000 Kč. Zhotovitel je dále povinen zaplatit za každé jednotlivé porušení oznamovací povinnosti dle odstavce </w:t>
      </w:r>
      <w:r>
        <w:t>5.8</w:t>
      </w:r>
      <w:r w:rsidRPr="00B459C0">
        <w:t>.2, smluvní pokutu ve výši 50.000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w:t>
      </w:r>
      <w:r w:rsidRPr="005C7EED">
        <w:lastRenderedPageBreak/>
        <w:t xml:space="preserve">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lastRenderedPageBreak/>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B43088" w:rsidRDefault="00B43088" w:rsidP="00342DC7">
      <w:pPr>
        <w:pStyle w:val="Textbezodsazen"/>
        <w:rPr>
          <w:rStyle w:val="Tun"/>
        </w:rPr>
      </w:pPr>
    </w:p>
    <w:p w:rsidR="00B43088" w:rsidRDefault="00B43088" w:rsidP="00342DC7">
      <w:pPr>
        <w:pStyle w:val="Textbezodsazen"/>
        <w:rPr>
          <w:rStyle w:val="Tun"/>
        </w:rPr>
      </w:pPr>
    </w:p>
    <w:p w:rsidR="00B43088" w:rsidRDefault="00B43088" w:rsidP="00342DC7">
      <w:pPr>
        <w:pStyle w:val="Textbezodsazen"/>
        <w:rPr>
          <w:rStyle w:val="Tun"/>
        </w:rPr>
      </w:pPr>
    </w:p>
    <w:p w:rsidR="007D26F9" w:rsidRPr="00342DC7" w:rsidRDefault="007D26F9" w:rsidP="00342DC7">
      <w:pPr>
        <w:pStyle w:val="Textbezodsazen"/>
        <w:rPr>
          <w:rStyle w:val="Tun"/>
        </w:rPr>
      </w:pPr>
      <w:bookmarkStart w:id="2" w:name="_GoBack"/>
      <w:bookmarkEnd w:id="2"/>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088">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088">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5C4"/>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19BD"/>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34A5"/>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43088"/>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B9BC107"/>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microsoft.com/office/2006/metadata/properties"/>
    <ds:schemaRef ds:uri="http://purl.org/dc/elements/1.1/"/>
    <ds:schemaRef ds:uri="http://schemas.microsoft.com/sharepoint/v3/field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518BCF-C702-4B64-9A3F-3C4F6D039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33</TotalTime>
  <Pages>14</Pages>
  <Words>6572</Words>
  <Characters>38776</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2019-03-12T14:16:00Z</cp:lastPrinted>
  <dcterms:created xsi:type="dcterms:W3CDTF">2022-09-29T11:44:00Z</dcterms:created>
  <dcterms:modified xsi:type="dcterms:W3CDTF">2022-10-12T09:41:00Z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