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02F46FC" w14:textId="77777777" w:rsidR="00B55409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55409">
        <w:rPr>
          <w:b/>
          <w:color w:val="FF5200" w:themeColor="accent2"/>
          <w:sz w:val="36"/>
          <w:szCs w:val="36"/>
          <w:u w:val="single"/>
        </w:rPr>
        <w:t>„</w:t>
      </w:r>
      <w:r w:rsidR="00B55409" w:rsidRPr="00B55409">
        <w:rPr>
          <w:b/>
          <w:color w:val="FF5200" w:themeColor="accent2"/>
          <w:sz w:val="36"/>
          <w:szCs w:val="36"/>
          <w:u w:val="single"/>
        </w:rPr>
        <w:t>Diagnostika a přepočty strategických přemostění v oblasti OŘ Ústí nad Labem</w:t>
      </w:r>
      <w:r w:rsidR="00B55409">
        <w:rPr>
          <w:b/>
          <w:color w:val="FF5200" w:themeColor="accent2"/>
          <w:sz w:val="36"/>
          <w:szCs w:val="36"/>
          <w:u w:val="single"/>
        </w:rPr>
        <w:t xml:space="preserve"> – I. etapa</w:t>
      </w:r>
      <w:r w:rsidR="0031280B" w:rsidRPr="00B55409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29EFA756" w14:textId="77777777" w:rsidR="00B55409" w:rsidRDefault="00B55409" w:rsidP="00B87D91">
      <w:pPr>
        <w:rPr>
          <w:b/>
          <w:color w:val="FF5200" w:themeColor="accent2"/>
          <w:sz w:val="36"/>
          <w:szCs w:val="36"/>
        </w:rPr>
      </w:pPr>
    </w:p>
    <w:p w14:paraId="523FE11F" w14:textId="63E6B2E0" w:rsidR="008B1A2C" w:rsidRPr="00E355B6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E355B6">
        <w:rPr>
          <w:b/>
          <w:color w:val="FF5200" w:themeColor="accent2"/>
          <w:sz w:val="32"/>
          <w:szCs w:val="32"/>
        </w:rPr>
        <w:t xml:space="preserve">vedené pod </w:t>
      </w:r>
      <w:r w:rsidRPr="00E355B6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E355B6" w:rsidRPr="00E355B6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17829/2022-SŽ-OŘ UNL-OVZ</w:t>
      </w:r>
    </w:p>
    <w:p w14:paraId="52E6C5AD" w14:textId="77777777" w:rsidR="00B55409" w:rsidRPr="00B87D91" w:rsidRDefault="00B55409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B5540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b/>
              <w:sz w:val="24"/>
              <w:szCs w:val="24"/>
            </w:rPr>
          </w:pPr>
          <w:r w:rsidRPr="00B55409">
            <w:rPr>
              <w:b/>
              <w:sz w:val="24"/>
              <w:szCs w:val="24"/>
            </w:rPr>
            <w:t>Obsah</w:t>
          </w:r>
        </w:p>
        <w:p w14:paraId="77871685" w14:textId="77777777" w:rsidR="00B55409" w:rsidRPr="00B55409" w:rsidRDefault="00B55409">
          <w:pPr>
            <w:pStyle w:val="Obsah2"/>
            <w:tabs>
              <w:tab w:val="left" w:pos="1320"/>
              <w:tab w:val="right" w:leader="dot" w:pos="8692"/>
            </w:tabs>
            <w:rPr>
              <w:rFonts w:asciiTheme="majorHAnsi" w:eastAsiaTheme="majorEastAsia" w:hAnsiTheme="majorHAnsi" w:cstheme="majorBidi"/>
              <w:color w:val="001F42" w:themeColor="accent1" w:themeShade="BF"/>
              <w:sz w:val="16"/>
              <w:szCs w:val="16"/>
              <w:lang w:val="en-US"/>
            </w:rPr>
          </w:pPr>
        </w:p>
        <w:p w14:paraId="2387A7A3" w14:textId="6900D991" w:rsidR="00E34D19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2994132" w:history="1">
            <w:r w:rsidR="00E34D19" w:rsidRPr="00F80E7C">
              <w:rPr>
                <w:rStyle w:val="Hypertextovodkaz"/>
                <w:noProof/>
              </w:rPr>
              <w:t>Kapitola 1.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Základní údaje k nabídce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_Toc102994132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2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636D908" w14:textId="3088A3E0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3" w:history="1">
            <w:r w:rsidR="00E34D19" w:rsidRPr="00F80E7C">
              <w:rPr>
                <w:rStyle w:val="Hypertextovodkaz"/>
                <w:noProof/>
              </w:rPr>
              <w:t>Kapitola 2.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základní způsobilosti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_Toc102994133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3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30BFF4" w14:textId="6AE83BBB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4" w:history="1">
            <w:r w:rsidR="00E34D19" w:rsidRPr="00F80E7C">
              <w:rPr>
                <w:rStyle w:val="Hypertextovodkaz"/>
                <w:noProof/>
              </w:rPr>
              <w:t>Kapitola 3.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o střetu zájmů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_Toc102994134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4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640C862" w14:textId="5801E886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5" w:history="1">
            <w:r w:rsidR="00E34D19" w:rsidRPr="00F80E7C">
              <w:rPr>
                <w:rStyle w:val="Hypertextovodkaz"/>
                <w:noProof/>
              </w:rPr>
              <w:t>Kapitola 4.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účastníka k neuzavření zakázaných dohod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_Toc102994135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5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5E544226" w14:textId="77CF009E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6" w:history="1">
            <w:r w:rsidR="00E34D19" w:rsidRPr="00F80E7C">
              <w:rPr>
                <w:rStyle w:val="Hypertextovodkaz"/>
                <w:noProof/>
              </w:rPr>
              <w:t>Kapitola 5.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splnění technické kvalifikace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_Toc102994136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6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17A90E2" w14:textId="10486F0F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7" w:history="1">
            <w:r w:rsidR="00E34D19" w:rsidRPr="00F80E7C">
              <w:rPr>
                <w:rStyle w:val="Hypertextovodkaz"/>
                <w:noProof/>
              </w:rPr>
              <w:t>Kapitola 6.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Seznam osob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_Toc102994137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7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36150937" w14:textId="5144F3F4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8" w:history="1">
            <w:r w:rsidR="00E34D19" w:rsidRPr="00F80E7C">
              <w:rPr>
                <w:rStyle w:val="Hypertextovodkaz"/>
                <w:noProof/>
              </w:rPr>
              <w:t>Kapitola 7.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 prohlášení o ekonomické kvalifikaci</w:t>
            </w:r>
            <w:r w:rsidR="00E34D19">
              <w:rPr>
                <w:noProof/>
                <w:webHidden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_Toc102994138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8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600F5806" w14:textId="31610367" w:rsidR="00E34D19" w:rsidRDefault="00B20579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2994139" w:history="1">
            <w:r w:rsidR="00E34D19" w:rsidRPr="00F80E7C">
              <w:rPr>
                <w:rStyle w:val="Hypertextovodkaz"/>
                <w:rFonts w:eastAsia="Times New Roman"/>
                <w:noProof/>
              </w:rPr>
              <w:t>Kapitola 8.</w:t>
            </w:r>
            <w:r w:rsidR="00E34D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34D19" w:rsidRPr="00F80E7C">
              <w:rPr>
                <w:rStyle w:val="Hypertextovodkaz"/>
                <w:noProof/>
              </w:rPr>
              <w:t>Čestné</w:t>
            </w:r>
            <w:r w:rsidR="00E34D19" w:rsidRPr="00F80E7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34D19">
              <w:rPr>
                <w:noProof/>
                <w:webHidden/>
              </w:rPr>
              <w:tab/>
            </w:r>
            <w:r w:rsidR="00E34D19" w:rsidRPr="00E34D19">
              <w:rPr>
                <w:noProof/>
              </w:rPr>
              <w:tab/>
            </w:r>
            <w:r w:rsidR="00E34D19">
              <w:rPr>
                <w:noProof/>
                <w:webHidden/>
              </w:rPr>
              <w:fldChar w:fldCharType="begin"/>
            </w:r>
            <w:r w:rsidR="00E34D19">
              <w:rPr>
                <w:noProof/>
                <w:webHidden/>
              </w:rPr>
              <w:instrText xml:space="preserve"> PAGEREF _Toc102994139 \h </w:instrText>
            </w:r>
            <w:r w:rsidR="00E34D19">
              <w:rPr>
                <w:noProof/>
                <w:webHidden/>
              </w:rPr>
            </w:r>
            <w:r w:rsidR="00E34D19">
              <w:rPr>
                <w:noProof/>
                <w:webHidden/>
              </w:rPr>
              <w:fldChar w:fldCharType="separate"/>
            </w:r>
            <w:r w:rsidR="006F5496">
              <w:rPr>
                <w:noProof/>
                <w:webHidden/>
              </w:rPr>
              <w:t>9</w:t>
            </w:r>
            <w:r w:rsidR="00E34D19">
              <w:rPr>
                <w:noProof/>
                <w:webHidden/>
              </w:rPr>
              <w:fldChar w:fldCharType="end"/>
            </w:r>
          </w:hyperlink>
        </w:p>
        <w:p w14:paraId="218BAFDF" w14:textId="0456379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299413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8129D4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55409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3D74724" w14:textId="77777777" w:rsidR="00B55409" w:rsidRDefault="00B55409" w:rsidP="008B1A2C">
      <w:pPr>
        <w:rPr>
          <w:b/>
        </w:rPr>
      </w:pPr>
    </w:p>
    <w:p w14:paraId="5197F617" w14:textId="01DA03FA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D3DAB1B" w14:textId="14D10833" w:rsidR="00B55409" w:rsidRPr="00B55409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1286176F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2057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2057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299413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29941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32344806" w:rsid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B5540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1ABBCA33" w14:textId="77777777" w:rsidR="00B55409" w:rsidRPr="00A327CB" w:rsidRDefault="00B55409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299413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2994136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9FACA73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A25840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A25840">
        <w:rPr>
          <w:rFonts w:eastAsia="Times New Roman" w:cs="Times New Roman"/>
          <w:lang w:eastAsia="cs-CZ"/>
        </w:rPr>
        <w:t>5 a 10</w:t>
      </w:r>
      <w:r w:rsidR="00E85D44">
        <w:rPr>
          <w:rFonts w:eastAsia="Times New Roman" w:cs="Times New Roman"/>
          <w:lang w:eastAsia="cs-CZ"/>
        </w:rPr>
        <w:t xml:space="preserve"> </w:t>
      </w:r>
      <w:r w:rsidR="00A25840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353A1F">
        <w:rPr>
          <w:rFonts w:eastAsia="Times New Roman" w:cs="Times New Roman"/>
          <w:lang w:eastAsia="cs-CZ"/>
        </w:rPr>
        <w:t>3</w:t>
      </w:r>
      <w:r w:rsidR="00E85D44" w:rsidRPr="00B55409">
        <w:rPr>
          <w:rFonts w:eastAsia="Times New Roman" w:cs="Times New Roman"/>
          <w:lang w:eastAsia="cs-CZ"/>
        </w:rPr>
        <w:t xml:space="preserve"> významn</w:t>
      </w:r>
      <w:r w:rsidR="00353A1F">
        <w:rPr>
          <w:rFonts w:eastAsia="Times New Roman" w:cs="Times New Roman"/>
          <w:lang w:eastAsia="cs-CZ"/>
        </w:rPr>
        <w:t>é</w:t>
      </w:r>
      <w:r w:rsidR="00E85D44" w:rsidRPr="00B55409">
        <w:rPr>
          <w:rFonts w:eastAsia="Times New Roman" w:cs="Times New Roman"/>
          <w:lang w:eastAsia="cs-CZ"/>
        </w:rPr>
        <w:t xml:space="preserve"> služb</w:t>
      </w:r>
      <w:r w:rsidR="00353A1F">
        <w:rPr>
          <w:rFonts w:eastAsia="Times New Roman" w:cs="Times New Roman"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353A1F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373549" w:rsidRPr="00373549">
        <w:rPr>
          <w:rFonts w:eastAsia="Times New Roman" w:cs="Times New Roman"/>
          <w:lang w:eastAsia="cs-CZ"/>
        </w:rPr>
        <w:t>7.5.1.1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nabídky.</w:t>
      </w:r>
    </w:p>
    <w:p w14:paraId="051F68E0" w14:textId="77777777" w:rsidR="00B55409" w:rsidRDefault="00B55409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D418F8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72B202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C1A6FD9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D3EC50D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68D8A20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</w:t>
            </w:r>
            <w:r w:rsidRPr="00373549">
              <w:rPr>
                <w:rFonts w:eastAsia="Times New Roman" w:cs="Times New Roman"/>
                <w:spacing w:val="-6"/>
                <w:lang w:eastAsia="cs-CZ"/>
              </w:rPr>
              <w:t xml:space="preserve">datum od-do, v rámci </w:t>
            </w:r>
            <w:r w:rsidR="00B55409" w:rsidRPr="00373549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373549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373549" w:rsidRPr="00373549">
              <w:rPr>
                <w:rFonts w:eastAsia="Times New Roman" w:cs="Times New Roman"/>
                <w:spacing w:val="-6"/>
                <w:lang w:eastAsia="cs-CZ"/>
              </w:rPr>
              <w:t xml:space="preserve">a 10 </w:t>
            </w:r>
            <w:r w:rsidRPr="00373549">
              <w:rPr>
                <w:rFonts w:eastAsia="Times New Roman" w:cs="Times New Roman"/>
                <w:spacing w:val="-6"/>
                <w:lang w:eastAsia="cs-CZ"/>
              </w:rPr>
              <w:t>kalendářních let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55409" w14:paraId="652E3A78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68AE7" w14:textId="77777777" w:rsidR="00B55409" w:rsidRDefault="00B5540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7B7C" w14:textId="77777777" w:rsidR="00B55409" w:rsidRDefault="00B55409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2D66" w14:textId="77777777" w:rsidR="00B55409" w:rsidRDefault="00B55409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3645D" w14:textId="77777777" w:rsidR="00B55409" w:rsidRDefault="00B5540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55409" w14:paraId="02A84ED7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B59811D" w14:textId="77777777" w:rsidR="00B55409" w:rsidRDefault="00B5540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3BAE857" w14:textId="77777777" w:rsidR="00B55409" w:rsidRDefault="00B55409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4700AED" w14:textId="77777777" w:rsidR="00B55409" w:rsidRDefault="00B55409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FE37" w14:textId="77777777" w:rsidR="00B55409" w:rsidRDefault="00B5540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299413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8D794E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8D794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8D794E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8D794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8D794E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8D794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8D794E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8D794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8D794E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8D794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B55409" w:rsidRPr="008D794E" w14:paraId="293E2FA7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5EBFDDC" w14:textId="55380C06" w:rsidR="00B55409" w:rsidRPr="008D794E" w:rsidRDefault="00B55409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0976AFAD" w14:textId="77777777" w:rsidR="00B55409" w:rsidRPr="008D794E" w:rsidRDefault="00B55409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8D794E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8D794E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8D794E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8D794E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8D794E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8D794E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8D794E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8D794E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8D794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8D794E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8D794E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8D794E">
        <w:rPr>
          <w:rFonts w:eastAsia="Times New Roman" w:cs="Times New Roman"/>
          <w:highlight w:val="green"/>
          <w:lang w:eastAsia="cs-CZ"/>
        </w:rPr>
        <w:t>Životopis Název funkce</w:t>
      </w:r>
    </w:p>
    <w:p w14:paraId="37DB50D5" w14:textId="77777777" w:rsidR="00F44645" w:rsidRPr="008D794E" w:rsidRDefault="00F44645" w:rsidP="00F44645">
      <w:pPr>
        <w:spacing w:after="0"/>
        <w:rPr>
          <w:rFonts w:eastAsia="Times New Roman" w:cs="Times New Roman"/>
          <w:highlight w:val="green"/>
          <w:lang w:eastAsia="cs-CZ"/>
        </w:rPr>
      </w:pPr>
      <w:r w:rsidRPr="008D794E">
        <w:rPr>
          <w:rFonts w:eastAsia="Times New Roman" w:cs="Times New Roman"/>
          <w:highlight w:val="green"/>
          <w:lang w:eastAsia="cs-CZ"/>
        </w:rPr>
        <w:t>Výpisy z rejstříku trestů ke všem osobám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8D794E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02994138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304C9329" w:rsidR="000128D4" w:rsidRPr="005F2481" w:rsidRDefault="000128D4" w:rsidP="000128D4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5F2481">
        <w:rPr>
          <w:rFonts w:eastAsia="Times New Roman" w:cs="Times New Roman"/>
          <w:i/>
          <w:lang w:eastAsia="cs-CZ"/>
        </w:rPr>
        <w:t>minimální roční obrat dodavatele</w:t>
      </w:r>
      <w:r w:rsidRPr="005F2481">
        <w:rPr>
          <w:rFonts w:eastAsia="Times New Roman" w:cs="Times New Roman"/>
          <w:lang w:eastAsia="cs-CZ"/>
        </w:rPr>
        <w:t xml:space="preserve"> </w:t>
      </w:r>
      <w:r w:rsidRPr="005F2481">
        <w:rPr>
          <w:rFonts w:eastAsia="Times New Roman" w:cs="Times New Roman"/>
          <w:i/>
          <w:lang w:eastAsia="cs-CZ"/>
        </w:rPr>
        <w:t>zjištěný podle zvláštních právních předpisů</w:t>
      </w:r>
      <w:r w:rsidRPr="005F2481">
        <w:rPr>
          <w:rFonts w:eastAsia="Times New Roman" w:cs="Times New Roman"/>
          <w:vertAlign w:val="superscript"/>
          <w:lang w:eastAsia="cs-CZ"/>
        </w:rPr>
        <w:footnoteReference w:id="4"/>
      </w:r>
      <w:r w:rsidRPr="005F2481">
        <w:rPr>
          <w:rFonts w:eastAsia="Times New Roman" w:cs="Times New Roman"/>
          <w:i/>
          <w:lang w:eastAsia="cs-CZ"/>
        </w:rPr>
        <w:t xml:space="preserve"> dosahoval výše </w:t>
      </w:r>
      <w:r w:rsidR="005F2481">
        <w:rPr>
          <w:rFonts w:eastAsia="Times New Roman" w:cs="Times New Roman"/>
          <w:i/>
          <w:lang w:eastAsia="cs-CZ"/>
        </w:rPr>
        <w:t>5 625 000</w:t>
      </w:r>
      <w:r w:rsidRPr="005F2481">
        <w:rPr>
          <w:rFonts w:eastAsia="Times New Roman" w:cs="Times New Roman"/>
          <w:i/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1FC0F9E4" w14:textId="77777777" w:rsidR="005F2481" w:rsidRDefault="005F2481" w:rsidP="000128D4">
      <w:pPr>
        <w:tabs>
          <w:tab w:val="num" w:pos="360"/>
        </w:tabs>
        <w:spacing w:line="240" w:lineRule="auto"/>
        <w:rPr>
          <w:rFonts w:eastAsia="Times New Roman" w:cs="Times New Roman"/>
          <w:i/>
          <w:highlight w:val="yellow"/>
          <w:lang w:eastAsia="cs-CZ"/>
        </w:rPr>
      </w:pPr>
    </w:p>
    <w:p w14:paraId="11182C8D" w14:textId="70AC5EE2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74"/>
        <w:gridCol w:w="1701"/>
        <w:gridCol w:w="1985"/>
        <w:gridCol w:w="2036"/>
      </w:tblGrid>
      <w:tr w:rsidR="000128D4" w14:paraId="64E2B933" w14:textId="77777777" w:rsidTr="005F2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5F2481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5F2481">
              <w:rPr>
                <w:rFonts w:eastAsia="Times New Roman" w:cs="Times New Roman"/>
                <w:b/>
                <w:i/>
                <w:sz w:val="16"/>
                <w:szCs w:val="16"/>
                <w:lang w:eastAsia="cs-CZ"/>
              </w:rPr>
              <w:t>Uzavřené účetní období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036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:rsidRPr="008D794E" w14:paraId="091181B9" w14:textId="77777777" w:rsidTr="005F2481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7777777" w:rsidR="000128D4" w:rsidRPr="008D794E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i/>
                <w:sz w:val="16"/>
                <w:szCs w:val="16"/>
                <w:highlight w:val="green"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8D794E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 w:rsidRPr="008D794E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8D794E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 w:rsidRPr="008D794E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8D794E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8D794E"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 w:rsidRPr="008D794E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</w:tbl>
    <w:p w14:paraId="7FAA3B71" w14:textId="77777777" w:rsidR="000128D4" w:rsidRPr="008D794E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highlight w:val="green"/>
          <w:lang w:eastAsia="cs-CZ"/>
        </w:rPr>
      </w:pPr>
      <w:r w:rsidRPr="008D794E">
        <w:rPr>
          <w:rFonts w:eastAsia="Times New Roman" w:cs="Times New Roman"/>
          <w:highlight w:val="green"/>
          <w:lang w:eastAsia="cs-CZ"/>
        </w:rPr>
        <w:t xml:space="preserve"> </w:t>
      </w:r>
    </w:p>
    <w:p w14:paraId="40B768D1" w14:textId="77777777" w:rsidR="000128D4" w:rsidRPr="008D794E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</w:p>
    <w:p w14:paraId="6F43AB69" w14:textId="377911A9" w:rsidR="00900D7F" w:rsidRPr="008D794E" w:rsidRDefault="00900D7F" w:rsidP="00900D7F">
      <w:pPr>
        <w:pStyle w:val="Zkladntextodsazen"/>
        <w:ind w:left="0"/>
        <w:rPr>
          <w:rFonts w:ascii="Verdana" w:hAnsi="Verdana" w:cstheme="minorHAnsi"/>
          <w:highlight w:val="green"/>
        </w:rPr>
      </w:pPr>
      <w:r w:rsidRPr="008D794E">
        <w:rPr>
          <w:rFonts w:ascii="Verdana" w:hAnsi="Verdana" w:cstheme="minorHAnsi"/>
          <w:highlight w:val="green"/>
        </w:rPr>
        <w:t>Roční obrat odpovídá [DODAVATEL UPRAVÍ DLE POTŘEBY]</w:t>
      </w:r>
    </w:p>
    <w:p w14:paraId="3AA762B3" w14:textId="77777777" w:rsidR="00900D7F" w:rsidRPr="008D794E" w:rsidRDefault="00900D7F" w:rsidP="00900D7F">
      <w:pPr>
        <w:pStyle w:val="Zkladntextodsazen"/>
        <w:ind w:left="0"/>
        <w:rPr>
          <w:rFonts w:ascii="Verdana" w:hAnsi="Verdana" w:cstheme="minorHAnsi"/>
          <w:highlight w:val="green"/>
        </w:rPr>
      </w:pPr>
    </w:p>
    <w:p w14:paraId="1213C9D1" w14:textId="2E5FE2BF" w:rsidR="00900D7F" w:rsidRDefault="00900D7F" w:rsidP="00900D7F">
      <w:pPr>
        <w:pStyle w:val="Zkladntextodsazen"/>
        <w:numPr>
          <w:ilvl w:val="0"/>
          <w:numId w:val="38"/>
        </w:numPr>
        <w:spacing w:after="0" w:line="240" w:lineRule="auto"/>
        <w:jc w:val="both"/>
        <w:rPr>
          <w:rFonts w:ascii="Verdana" w:hAnsi="Verdana" w:cstheme="minorHAnsi"/>
          <w:highlight w:val="green"/>
        </w:rPr>
      </w:pPr>
      <w:r w:rsidRPr="008D794E">
        <w:rPr>
          <w:rFonts w:ascii="Verdana" w:hAnsi="Verdana" w:cstheme="minorHAnsi"/>
          <w:highlight w:val="green"/>
        </w:rPr>
        <w:t xml:space="preserve">v případě všech výše uvedených účetních období / účetního období označeného pořadovým číslem (1., 2., a/nebo 3.): </w:t>
      </w:r>
      <w:r w:rsidRPr="008D794E">
        <w:rPr>
          <w:rFonts w:ascii="Verdana" w:hAnsi="Verdana" w:cstheme="minorHAnsi"/>
          <w:b/>
          <w:highlight w:val="green"/>
        </w:rPr>
        <w:t>obratu dosaženému za účetní období dle § 3 odst. 2</w:t>
      </w:r>
      <w:r w:rsidRPr="008D794E">
        <w:rPr>
          <w:rFonts w:ascii="Verdana" w:hAnsi="Verdana" w:cstheme="minorHAnsi"/>
          <w:highlight w:val="green"/>
        </w:rPr>
        <w:t xml:space="preserve"> zákona č. 563/1991 Sb., o účetnictví, neboť účetním obdobím bylo 12 bezprostředně po sobě jdoucích měsíců;</w:t>
      </w:r>
    </w:p>
    <w:p w14:paraId="2F8A794D" w14:textId="77777777" w:rsidR="008D794E" w:rsidRPr="008D794E" w:rsidRDefault="008D794E" w:rsidP="008D794E">
      <w:pPr>
        <w:pStyle w:val="Zkladntextodsazen"/>
        <w:spacing w:after="0" w:line="240" w:lineRule="auto"/>
        <w:ind w:left="720"/>
        <w:jc w:val="both"/>
        <w:rPr>
          <w:rFonts w:ascii="Verdana" w:hAnsi="Verdana" w:cstheme="minorHAnsi"/>
          <w:highlight w:val="green"/>
        </w:rPr>
      </w:pPr>
    </w:p>
    <w:p w14:paraId="1C321558" w14:textId="77777777" w:rsidR="00900D7F" w:rsidRPr="006564BB" w:rsidRDefault="00900D7F" w:rsidP="00900D7F">
      <w:pPr>
        <w:numPr>
          <w:ilvl w:val="0"/>
          <w:numId w:val="38"/>
        </w:numPr>
        <w:spacing w:after="120" w:line="240" w:lineRule="auto"/>
        <w:jc w:val="both"/>
        <w:rPr>
          <w:rFonts w:ascii="Verdana" w:hAnsi="Verdana" w:cstheme="minorHAnsi"/>
        </w:rPr>
      </w:pPr>
      <w:r w:rsidRPr="008D794E">
        <w:rPr>
          <w:rFonts w:ascii="Verdana" w:hAnsi="Verdana" w:cstheme="minorHAnsi"/>
          <w:highlight w:val="green"/>
        </w:rPr>
        <w:t xml:space="preserve">v případě všech výše uvedených účetních období / účetního období označeného pořadovým číslem (1., 2., a/nebo 3.) </w:t>
      </w:r>
      <w:r w:rsidRPr="008D794E">
        <w:rPr>
          <w:rFonts w:ascii="Verdana" w:hAnsi="Verdana" w:cstheme="minorHAnsi"/>
          <w:b/>
          <w:highlight w:val="green"/>
        </w:rPr>
        <w:t>úhrnu čistého obratu ve smyslu § 1d odst. 2</w:t>
      </w:r>
      <w:r w:rsidRPr="008D794E">
        <w:rPr>
          <w:rFonts w:ascii="Verdana" w:hAnsi="Verdana" w:cstheme="minorHAnsi"/>
          <w:highlight w:val="green"/>
        </w:rPr>
        <w:t xml:space="preserve"> zákona č. 563/1991 Sb., o účetnictví, neboť účetní období bylo kratší nebo</w:t>
      </w:r>
      <w:r w:rsidRPr="006564BB">
        <w:rPr>
          <w:rFonts w:ascii="Verdana" w:hAnsi="Verdana" w:cstheme="minorHAnsi"/>
        </w:rPr>
        <w:t xml:space="preserve"> delší než 12 bezprostředně po sobě jdoucích měsíců.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4C6D9E97" w14:textId="29D47D1C" w:rsidR="002126E7" w:rsidRPr="005F2481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299413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11D56718" w14:textId="77777777" w:rsidR="005F2481" w:rsidRDefault="005F2481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2469E438" w14:textId="6E9CD64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75A93C2F" w14:textId="74E0C970" w:rsidR="005F2481" w:rsidRPr="005F2481" w:rsidRDefault="002126E7" w:rsidP="005F2481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2AFC186" w14:textId="77777777" w:rsidR="005F2481" w:rsidRDefault="005F2481" w:rsidP="005F2481">
      <w:pPr>
        <w:spacing w:line="240" w:lineRule="auto"/>
        <w:jc w:val="both"/>
        <w:rPr>
          <w:lang w:eastAsia="cs-CZ"/>
        </w:rPr>
      </w:pPr>
    </w:p>
    <w:p w14:paraId="1AF35547" w14:textId="42E0BC97" w:rsidR="005F2481" w:rsidRPr="005F2481" w:rsidRDefault="002126E7" w:rsidP="005F2481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5F2481">
        <w:rPr>
          <w:highlight w:val="green"/>
          <w:lang w:eastAsia="cs-CZ"/>
        </w:rPr>
        <w:t>V …………………… dne ………………………</w:t>
      </w:r>
    </w:p>
    <w:p w14:paraId="0DAC905F" w14:textId="6B1EFE20" w:rsidR="00B87D91" w:rsidRPr="005F2481" w:rsidRDefault="002126E7" w:rsidP="005F2481">
      <w:pPr>
        <w:spacing w:after="0"/>
        <w:rPr>
          <w:highlight w:val="green"/>
        </w:rPr>
      </w:pPr>
      <w:r w:rsidRPr="00B87D91">
        <w:rPr>
          <w:highlight w:val="green"/>
        </w:rPr>
        <w:t>Jméno a Příjmení</w:t>
      </w:r>
      <w:r w:rsidR="005F2481">
        <w:rPr>
          <w:lang w:eastAsia="cs-CZ"/>
        </w:rPr>
        <w:t xml:space="preserve">, </w:t>
      </w:r>
      <w:r w:rsidRPr="00B87D91">
        <w:rPr>
          <w:highlight w:val="green"/>
        </w:rPr>
        <w:t>funkce osob</w:t>
      </w:r>
      <w:r w:rsidR="005F2481">
        <w:rPr>
          <w:highlight w:val="green"/>
        </w:rPr>
        <w:t>y</w:t>
      </w:r>
    </w:p>
    <w:sectPr w:rsidR="00B87D91" w:rsidRPr="005F2481" w:rsidSect="005F2481">
      <w:headerReference w:type="first" r:id="rId15"/>
      <w:footerReference w:type="first" r:id="rId16"/>
      <w:type w:val="continuous"/>
      <w:pgSz w:w="11906" w:h="16838" w:code="9"/>
      <w:pgMar w:top="1049" w:right="1134" w:bottom="113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C5EADD7" w14:textId="77777777" w:rsidR="00A327CB" w:rsidRDefault="00B55409" w:rsidP="00460660">
          <w:pPr>
            <w:pStyle w:val="Zpat"/>
          </w:pPr>
          <w:r>
            <w:t>Oblastní ředitelství Ústí nad Labem</w:t>
          </w:r>
        </w:p>
        <w:p w14:paraId="392E37F0" w14:textId="77777777" w:rsidR="00B55409" w:rsidRDefault="00B55409" w:rsidP="00460660">
          <w:pPr>
            <w:pStyle w:val="Zpat"/>
          </w:pPr>
          <w:r>
            <w:t>Železničářská 1386/31</w:t>
          </w:r>
        </w:p>
        <w:p w14:paraId="3F9D14E1" w14:textId="45C38002" w:rsidR="00B55409" w:rsidRDefault="00B55409" w:rsidP="00460660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604348">
    <w:abstractNumId w:val="3"/>
  </w:num>
  <w:num w:numId="2" w16cid:durableId="1923291151">
    <w:abstractNumId w:val="1"/>
  </w:num>
  <w:num w:numId="3" w16cid:durableId="110794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1335620">
    <w:abstractNumId w:val="9"/>
  </w:num>
  <w:num w:numId="5" w16cid:durableId="1409041603">
    <w:abstractNumId w:val="5"/>
  </w:num>
  <w:num w:numId="6" w16cid:durableId="1198010096">
    <w:abstractNumId w:val="6"/>
  </w:num>
  <w:num w:numId="7" w16cid:durableId="334579434">
    <w:abstractNumId w:val="0"/>
  </w:num>
  <w:num w:numId="8" w16cid:durableId="1243684321">
    <w:abstractNumId w:val="7"/>
  </w:num>
  <w:num w:numId="9" w16cid:durableId="11078498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8410548">
    <w:abstractNumId w:val="6"/>
  </w:num>
  <w:num w:numId="11" w16cid:durableId="571089673">
    <w:abstractNumId w:val="1"/>
  </w:num>
  <w:num w:numId="12" w16cid:durableId="2126997908">
    <w:abstractNumId w:val="6"/>
  </w:num>
  <w:num w:numId="13" w16cid:durableId="344794014">
    <w:abstractNumId w:val="6"/>
  </w:num>
  <w:num w:numId="14" w16cid:durableId="1414084543">
    <w:abstractNumId w:val="6"/>
  </w:num>
  <w:num w:numId="15" w16cid:durableId="1279946678">
    <w:abstractNumId w:val="6"/>
  </w:num>
  <w:num w:numId="16" w16cid:durableId="720980325">
    <w:abstractNumId w:val="10"/>
  </w:num>
  <w:num w:numId="17" w16cid:durableId="1905068601">
    <w:abstractNumId w:val="3"/>
  </w:num>
  <w:num w:numId="18" w16cid:durableId="943196330">
    <w:abstractNumId w:val="10"/>
  </w:num>
  <w:num w:numId="19" w16cid:durableId="1388870116">
    <w:abstractNumId w:val="10"/>
  </w:num>
  <w:num w:numId="20" w16cid:durableId="1348487753">
    <w:abstractNumId w:val="10"/>
  </w:num>
  <w:num w:numId="21" w16cid:durableId="717315774">
    <w:abstractNumId w:val="10"/>
  </w:num>
  <w:num w:numId="22" w16cid:durableId="1908488107">
    <w:abstractNumId w:val="6"/>
  </w:num>
  <w:num w:numId="23" w16cid:durableId="1890453337">
    <w:abstractNumId w:val="1"/>
  </w:num>
  <w:num w:numId="24" w16cid:durableId="161360356">
    <w:abstractNumId w:val="6"/>
  </w:num>
  <w:num w:numId="25" w16cid:durableId="631057912">
    <w:abstractNumId w:val="6"/>
  </w:num>
  <w:num w:numId="26" w16cid:durableId="78521581">
    <w:abstractNumId w:val="6"/>
  </w:num>
  <w:num w:numId="27" w16cid:durableId="2066952591">
    <w:abstractNumId w:val="6"/>
  </w:num>
  <w:num w:numId="28" w16cid:durableId="1628393447">
    <w:abstractNumId w:val="10"/>
  </w:num>
  <w:num w:numId="29" w16cid:durableId="880479342">
    <w:abstractNumId w:val="3"/>
  </w:num>
  <w:num w:numId="30" w16cid:durableId="700671518">
    <w:abstractNumId w:val="10"/>
  </w:num>
  <w:num w:numId="31" w16cid:durableId="1306666667">
    <w:abstractNumId w:val="10"/>
  </w:num>
  <w:num w:numId="32" w16cid:durableId="432896225">
    <w:abstractNumId w:val="10"/>
  </w:num>
  <w:num w:numId="33" w16cid:durableId="778568357">
    <w:abstractNumId w:val="10"/>
  </w:num>
  <w:num w:numId="34" w16cid:durableId="1081147420">
    <w:abstractNumId w:val="4"/>
  </w:num>
  <w:num w:numId="35" w16cid:durableId="383797982">
    <w:abstractNumId w:val="13"/>
  </w:num>
  <w:num w:numId="36" w16cid:durableId="315498001">
    <w:abstractNumId w:val="2"/>
  </w:num>
  <w:num w:numId="37" w16cid:durableId="1380785136">
    <w:abstractNumId w:val="11"/>
  </w:num>
  <w:num w:numId="38" w16cid:durableId="15452149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3A1F"/>
    <w:rsid w:val="00354C5C"/>
    <w:rsid w:val="00357BC6"/>
    <w:rsid w:val="0036634F"/>
    <w:rsid w:val="00373549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2622"/>
    <w:rsid w:val="005736B7"/>
    <w:rsid w:val="00575E5A"/>
    <w:rsid w:val="005B219F"/>
    <w:rsid w:val="005D7E39"/>
    <w:rsid w:val="005F1404"/>
    <w:rsid w:val="005F2481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5496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3211"/>
    <w:rsid w:val="00895406"/>
    <w:rsid w:val="008A3568"/>
    <w:rsid w:val="008B1A2C"/>
    <w:rsid w:val="008D03B9"/>
    <w:rsid w:val="008D794E"/>
    <w:rsid w:val="008F18D6"/>
    <w:rsid w:val="008F2D67"/>
    <w:rsid w:val="008F6F10"/>
    <w:rsid w:val="00900D7F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2584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20579"/>
    <w:rsid w:val="00B468D2"/>
    <w:rsid w:val="00B55409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55B6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00D7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00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DFB94B-85D3-48CB-A5F6-1E9084B917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9</Pages>
  <Words>1495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23</cp:revision>
  <cp:lastPrinted>2017-11-28T17:18:00Z</cp:lastPrinted>
  <dcterms:created xsi:type="dcterms:W3CDTF">2022-09-13T08:59:00Z</dcterms:created>
  <dcterms:modified xsi:type="dcterms:W3CDTF">2022-09-16T07:54:00Z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