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0D520E6B" w14:textId="77777777" w:rsidR="001211F7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Pr="00F91F69">
        <w:rPr>
          <w:b/>
        </w:rPr>
        <w:t>„</w:t>
      </w:r>
      <w:r w:rsidR="001211F7">
        <w:rPr>
          <w:b/>
        </w:rPr>
        <w:t>Diagnostika a přepočty strategických přemostění v obvodu OŘ Plzeň</w:t>
      </w:r>
    </w:p>
    <w:p w14:paraId="232A217D" w14:textId="0DCC033C" w:rsidR="00F91F69" w:rsidRDefault="001211F7" w:rsidP="001211F7">
      <w:pPr>
        <w:overflowPunct w:val="0"/>
        <w:autoSpaceDE w:val="0"/>
        <w:autoSpaceDN w:val="0"/>
        <w:adjustRightInd w:val="0"/>
        <w:spacing w:after="0" w:line="240" w:lineRule="auto"/>
        <w:ind w:firstLine="1560"/>
        <w:textAlignment w:val="baseline"/>
        <w:rPr>
          <w:b/>
        </w:rPr>
      </w:pPr>
      <w:r>
        <w:rPr>
          <w:b/>
        </w:rPr>
        <w:t>– I. etapa</w:t>
      </w:r>
      <w:r w:rsidR="00F91F69"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12981238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</w:t>
      </w:r>
      <w:r w:rsidR="00997D16">
        <w:rPr>
          <w:rFonts w:eastAsia="Times New Roman" w:cs="Times New Roman"/>
          <w:b/>
          <w:lang w:eastAsia="cs-CZ"/>
        </w:rPr>
        <w:t>2</w:t>
      </w:r>
    </w:p>
    <w:p w14:paraId="3AD34BAC" w14:textId="1C3FB79C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211F7">
        <w:rPr>
          <w:rFonts w:eastAsia="Times New Roman" w:cs="Times New Roman"/>
          <w:lang w:eastAsia="cs-CZ"/>
        </w:rPr>
        <w:t>Číslo veřejné zakázky:</w:t>
      </w:r>
      <w:r w:rsidRPr="001211F7">
        <w:rPr>
          <w:rFonts w:eastAsia="Times New Roman" w:cs="Times New Roman"/>
          <w:b/>
          <w:lang w:eastAsia="cs-CZ"/>
        </w:rPr>
        <w:t xml:space="preserve"> 6542</w:t>
      </w:r>
      <w:r w:rsidR="00997D16" w:rsidRPr="001211F7">
        <w:rPr>
          <w:rFonts w:eastAsia="Times New Roman" w:cs="Times New Roman"/>
          <w:b/>
          <w:lang w:eastAsia="cs-CZ"/>
        </w:rPr>
        <w:t>2</w:t>
      </w:r>
      <w:r w:rsidR="001211F7" w:rsidRPr="001211F7">
        <w:rPr>
          <w:rFonts w:eastAsia="Times New Roman" w:cs="Times New Roman"/>
          <w:b/>
          <w:lang w:eastAsia="cs-CZ"/>
        </w:rPr>
        <w:t>02</w:t>
      </w:r>
      <w:r w:rsidR="00362AEC">
        <w:rPr>
          <w:rFonts w:eastAsia="Times New Roman" w:cs="Times New Roman"/>
          <w:b/>
          <w:lang w:eastAsia="cs-CZ"/>
        </w:rPr>
        <w:t>7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>"[</w:t>
      </w:r>
      <w:proofErr w:type="gramStart"/>
      <w:r w:rsidRPr="00034C22">
        <w:rPr>
          <w:b/>
          <w:highlight w:val="yellow"/>
        </w:rPr>
        <w:t>VLOŽÍ</w:t>
      </w:r>
      <w:proofErr w:type="gramEnd"/>
      <w:r w:rsidRPr="00034C22">
        <w:rPr>
          <w:b/>
          <w:highlight w:val="yellow"/>
        </w:rPr>
        <w:t xml:space="preserve">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>
        <w:tab/>
      </w:r>
      <w:r w:rsidR="006273A7" w:rsidRPr="001211F7">
        <w:t>na 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2A3DF4CF" w:rsidR="006273A7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25E56B10" w14:textId="7F4646CC" w:rsidR="005D222F" w:rsidRPr="00753F1B" w:rsidRDefault="005D222F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5D222F">
        <w:rPr>
          <w:rFonts w:ascii="Verdana" w:hAnsi="Verdana" w:cstheme="minorHAnsi"/>
          <w:sz w:val="18"/>
          <w:szCs w:val="18"/>
        </w:rPr>
        <w:t>Datová schránka:</w:t>
      </w:r>
      <w:r w:rsidRPr="005D222F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roofErr w:type="spellStart"/>
      <w:r w:rsidRPr="005D222F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proofErr w:type="gramStart"/>
      <w:r w:rsidRPr="00B42F40">
        <w:rPr>
          <w:b/>
          <w:highlight w:val="yellow"/>
        </w:rPr>
        <w:t>VLOŽÍ</w:t>
      </w:r>
      <w:proofErr w:type="gramEnd"/>
      <w:r w:rsidRPr="00B42F40">
        <w:rPr>
          <w:b/>
          <w:highlight w:val="yellow"/>
        </w:rPr>
        <w:t xml:space="preserve">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proofErr w:type="gramStart"/>
      <w:r>
        <w:rPr>
          <w:highlight w:val="yellow"/>
        </w:rPr>
        <w:t>VLOŽÍ</w:t>
      </w:r>
      <w:proofErr w:type="gramEnd"/>
      <w:r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 xml:space="preserve">IČO: </w:t>
      </w:r>
      <w:proofErr w:type="gramStart"/>
      <w:r w:rsidRPr="00B42F40">
        <w:t>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>VLOŽÍ</w:t>
      </w:r>
      <w:proofErr w:type="gramEnd"/>
      <w:r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lastRenderedPageBreak/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05FC6719" w14:textId="77777777" w:rsidR="001211F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1211F7">
        <w:rPr>
          <w:rFonts w:eastAsia="Times New Roman" w:cs="Times New Roman"/>
          <w:b/>
          <w:lang w:eastAsia="cs-CZ"/>
        </w:rPr>
        <w:t>Diagnostika a přepočty strategických přemostění v obvodu OŘ Plzeň – I. etapa</w:t>
      </w:r>
      <w:r w:rsidRPr="004E1498">
        <w:rPr>
          <w:rFonts w:eastAsia="Times New Roman" w:cs="Times New Roman"/>
          <w:lang w:eastAsia="cs-CZ"/>
        </w:rPr>
        <w:t xml:space="preserve">“, </w:t>
      </w:r>
    </w:p>
    <w:p w14:paraId="39ABE117" w14:textId="37FD83DA" w:rsidR="004E1498" w:rsidRDefault="00567AFB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062F9">
        <w:rPr>
          <w:rFonts w:eastAsia="Times New Roman" w:cs="Times New Roman"/>
          <w:lang w:eastAsia="cs-CZ"/>
        </w:rPr>
        <w:t xml:space="preserve">č. j. veřejné </w:t>
      </w:r>
      <w:r w:rsidRPr="001211F7">
        <w:rPr>
          <w:rFonts w:eastAsia="Times New Roman" w:cs="Times New Roman"/>
          <w:lang w:eastAsia="cs-CZ"/>
        </w:rPr>
        <w:t xml:space="preserve">zakázky: </w:t>
      </w:r>
      <w:r w:rsidR="001211F7" w:rsidRPr="001211F7">
        <w:rPr>
          <w:rFonts w:eastAsia="Times New Roman" w:cs="Times New Roman"/>
          <w:lang w:eastAsia="cs-CZ"/>
        </w:rPr>
        <w:t>19392</w:t>
      </w:r>
      <w:r w:rsidRPr="001211F7">
        <w:rPr>
          <w:rFonts w:eastAsia="Times New Roman" w:cs="Times New Roman"/>
          <w:lang w:eastAsia="cs-CZ"/>
        </w:rPr>
        <w:t>/202</w:t>
      </w:r>
      <w:r w:rsidR="00997D16" w:rsidRPr="001211F7">
        <w:rPr>
          <w:rFonts w:eastAsia="Times New Roman" w:cs="Times New Roman"/>
          <w:lang w:eastAsia="cs-CZ"/>
        </w:rPr>
        <w:t>2</w:t>
      </w:r>
      <w:r w:rsidRPr="001211F7">
        <w:rPr>
          <w:rFonts w:eastAsia="Times New Roman" w:cs="Times New Roman"/>
          <w:lang w:eastAsia="cs-CZ"/>
        </w:rPr>
        <w:t>-SŽ-OŘ PLZ-ÚPI</w:t>
      </w:r>
      <w:r w:rsidR="005740C3" w:rsidRPr="001211F7">
        <w:rPr>
          <w:rFonts w:eastAsia="Times New Roman" w:cs="Times New Roman"/>
          <w:lang w:eastAsia="cs-CZ"/>
        </w:rPr>
        <w:t xml:space="preserve"> </w:t>
      </w:r>
      <w:r w:rsidR="004E1498" w:rsidRPr="001211F7">
        <w:rPr>
          <w:rFonts w:eastAsia="Times New Roman" w:cs="Times New Roman"/>
          <w:lang w:eastAsia="cs-CZ"/>
        </w:rPr>
        <w:t>(dále jen</w:t>
      </w:r>
      <w:r w:rsidR="004E1498" w:rsidRPr="004E1498">
        <w:rPr>
          <w:rFonts w:eastAsia="Times New Roman" w:cs="Times New Roman"/>
          <w:lang w:eastAsia="cs-CZ"/>
        </w:rPr>
        <w:t xml:space="preserve">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="004E1498"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3B80928" w14:textId="77777777" w:rsidR="00844E12" w:rsidRPr="004E1498" w:rsidRDefault="00844E12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2E7887A9" w14:textId="1783DDD3" w:rsidR="001211F7" w:rsidRPr="008669A5" w:rsidRDefault="004E1498" w:rsidP="00844E12">
      <w:pPr>
        <w:pStyle w:val="Nadpis2"/>
        <w:jc w:val="left"/>
      </w:pPr>
      <w:r w:rsidRPr="004E1498">
        <w:t>Předmětem díla je</w:t>
      </w:r>
      <w:r w:rsidR="001211F7" w:rsidRPr="001211F7">
        <w:t xml:space="preserve"> </w:t>
      </w:r>
      <w:r w:rsidR="001211F7" w:rsidRPr="008669A5">
        <w:t xml:space="preserve">provedení diagnostiky a statických přepočtů strategických přemostění, a to tří železničních mostů: </w:t>
      </w:r>
    </w:p>
    <w:p w14:paraId="60F92846" w14:textId="77777777" w:rsidR="001211F7" w:rsidRPr="00736B17" w:rsidRDefault="001211F7" w:rsidP="00844E12">
      <w:pPr>
        <w:pStyle w:val="Nadpis2"/>
        <w:numPr>
          <w:ilvl w:val="0"/>
          <w:numId w:val="40"/>
        </w:numPr>
        <w:tabs>
          <w:tab w:val="num" w:pos="993"/>
        </w:tabs>
        <w:ind w:left="432" w:firstLine="277"/>
        <w:jc w:val="left"/>
      </w:pPr>
      <w:proofErr w:type="spellStart"/>
      <w:r w:rsidRPr="00736B17">
        <w:t>Smolov</w:t>
      </w:r>
      <w:proofErr w:type="spellEnd"/>
      <w:r w:rsidRPr="00736B17">
        <w:t xml:space="preserve"> v km 29,099 TÚ 351</w:t>
      </w:r>
      <w:r>
        <w:t>, TUDU 035110</w:t>
      </w:r>
    </w:p>
    <w:p w14:paraId="518AE304" w14:textId="77777777" w:rsidR="001211F7" w:rsidRPr="00736B17" w:rsidRDefault="001211F7" w:rsidP="00844E12">
      <w:pPr>
        <w:pStyle w:val="Nadpis2"/>
        <w:numPr>
          <w:ilvl w:val="0"/>
          <w:numId w:val="40"/>
        </w:numPr>
        <w:tabs>
          <w:tab w:val="num" w:pos="993"/>
        </w:tabs>
        <w:ind w:left="432" w:firstLine="277"/>
        <w:jc w:val="left"/>
      </w:pPr>
      <w:proofErr w:type="spellStart"/>
      <w:r w:rsidRPr="00736B17">
        <w:t>Smržovice</w:t>
      </w:r>
      <w:proofErr w:type="spellEnd"/>
      <w:r w:rsidRPr="00736B17">
        <w:t xml:space="preserve"> v km 12,671 TÚ 351</w:t>
      </w:r>
      <w:r>
        <w:t>, TUDU 035104</w:t>
      </w:r>
    </w:p>
    <w:p w14:paraId="5833E545" w14:textId="77777777" w:rsidR="001211F7" w:rsidRPr="00736B17" w:rsidRDefault="001211F7" w:rsidP="00844E12">
      <w:pPr>
        <w:pStyle w:val="Nadpis2"/>
        <w:numPr>
          <w:ilvl w:val="0"/>
          <w:numId w:val="40"/>
        </w:numPr>
        <w:tabs>
          <w:tab w:val="num" w:pos="993"/>
        </w:tabs>
        <w:ind w:left="432" w:firstLine="277"/>
        <w:jc w:val="left"/>
      </w:pPr>
      <w:r w:rsidRPr="00736B17">
        <w:t>Přes Otavu v km 13,788 TÚ 281</w:t>
      </w:r>
      <w:r>
        <w:t>, TUDU 028106</w:t>
      </w:r>
    </w:p>
    <w:p w14:paraId="03F039C6" w14:textId="1FDA4AD6" w:rsidR="004E1498" w:rsidRPr="004E1498" w:rsidRDefault="004E1498" w:rsidP="001211F7">
      <w:pPr>
        <w:pStyle w:val="Nadpis2"/>
        <w:numPr>
          <w:ilvl w:val="0"/>
          <w:numId w:val="0"/>
        </w:numPr>
        <w:spacing w:after="120"/>
        <w:ind w:left="576" w:hanging="576"/>
        <w:contextualSpacing w:val="0"/>
        <w:jc w:val="left"/>
      </w:pPr>
    </w:p>
    <w:p w14:paraId="31E5226B" w14:textId="50A7B695" w:rsidR="004E1498" w:rsidRPr="001211F7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1211F7">
        <w:t>Předmět díla je blíže specifikován v</w:t>
      </w:r>
      <w:r w:rsidR="001211F7" w:rsidRPr="001211F7">
        <w:t> Technické zprávě, která je</w:t>
      </w:r>
      <w:r w:rsidRPr="001211F7">
        <w:t xml:space="preserve"> přílo</w:t>
      </w:r>
      <w:r w:rsidR="001211F7" w:rsidRPr="001211F7">
        <w:t>hou</w:t>
      </w:r>
      <w:r w:rsidRPr="001211F7">
        <w:t xml:space="preserve"> </w:t>
      </w:r>
      <w:r w:rsidR="00C52151" w:rsidRPr="001211F7">
        <w:t xml:space="preserve">č. 2 </w:t>
      </w:r>
      <w:r w:rsidR="006566F7" w:rsidRPr="001211F7">
        <w:t>S</w:t>
      </w:r>
      <w:r w:rsidRPr="001211F7">
        <w:t>mlouvy.</w:t>
      </w:r>
    </w:p>
    <w:p w14:paraId="4A984C94" w14:textId="54B54E5D" w:rsid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997D16">
        <w:rPr>
          <w:highlight w:val="green"/>
        </w:rPr>
        <w:t>2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8968828" w14:textId="77777777" w:rsidR="006E4E91" w:rsidRPr="006479DD" w:rsidRDefault="006E4E91" w:rsidP="006E4E91">
      <w:pPr>
        <w:pStyle w:val="Nadpis2"/>
        <w:spacing w:line="276" w:lineRule="auto"/>
        <w:jc w:val="left"/>
      </w:pPr>
      <w:r w:rsidRPr="006479DD">
        <w:t xml:space="preserve">Předmět </w:t>
      </w:r>
      <w:r>
        <w:t>D</w:t>
      </w:r>
      <w:r w:rsidRPr="006479DD">
        <w:t xml:space="preserve">íla musí být proveden v souladu </w:t>
      </w:r>
      <w:r>
        <w:t xml:space="preserve">se zadávacími podmínkami Veřejné zakázky, zejména pak </w:t>
      </w:r>
      <w:r w:rsidRPr="006479DD">
        <w:t>s následujícími dokumenty:</w:t>
      </w:r>
    </w:p>
    <w:p w14:paraId="71F244F0" w14:textId="01249480" w:rsidR="006E4E91" w:rsidRDefault="006E4E91" w:rsidP="006E4E91">
      <w:pPr>
        <w:pStyle w:val="Odstavecseseznamem"/>
        <w:numPr>
          <w:ilvl w:val="0"/>
          <w:numId w:val="41"/>
        </w:numPr>
        <w:tabs>
          <w:tab w:val="left" w:pos="567"/>
        </w:tabs>
        <w:rPr>
          <w:lang w:eastAsia="cs-CZ"/>
        </w:rPr>
      </w:pPr>
      <w:r w:rsidRPr="006479DD">
        <w:rPr>
          <w:lang w:eastAsia="cs-CZ"/>
        </w:rPr>
        <w:t xml:space="preserve">Výzva k podání </w:t>
      </w:r>
      <w:r>
        <w:rPr>
          <w:lang w:eastAsia="cs-CZ"/>
        </w:rPr>
        <w:t xml:space="preserve">nabídky (č. j. </w:t>
      </w:r>
      <w:r w:rsidRPr="006E4E91">
        <w:rPr>
          <w:lang w:eastAsia="cs-CZ"/>
        </w:rPr>
        <w:t>19392/2022-SŽ-OŘ PLZ-ÚPI</w:t>
      </w:r>
      <w:r w:rsidRPr="006479DD">
        <w:rPr>
          <w:lang w:eastAsia="cs-CZ"/>
        </w:rPr>
        <w:t>) a Zadávací dokumentace</w:t>
      </w:r>
      <w:r>
        <w:rPr>
          <w:lang w:eastAsia="cs-CZ"/>
        </w:rPr>
        <w:t>.</w:t>
      </w:r>
    </w:p>
    <w:p w14:paraId="764BA64B" w14:textId="77777777" w:rsidR="006E4E91" w:rsidRPr="006E4E91" w:rsidRDefault="006E4E91" w:rsidP="006E4E91">
      <w:pPr>
        <w:pStyle w:val="Odstavecseseznamem"/>
        <w:numPr>
          <w:ilvl w:val="0"/>
          <w:numId w:val="41"/>
        </w:numPr>
        <w:tabs>
          <w:tab w:val="left" w:pos="567"/>
        </w:tabs>
        <w:rPr>
          <w:iCs/>
          <w:lang w:eastAsia="cs-CZ"/>
        </w:rPr>
      </w:pPr>
      <w:r w:rsidRPr="00655AA9">
        <w:rPr>
          <w:rFonts w:ascii="Verdana" w:hAnsi="Verdana"/>
        </w:rPr>
        <w:t xml:space="preserve">Nabídka zhotovitele ze dne </w:t>
      </w:r>
      <w:r w:rsidRPr="00655AA9">
        <w:rPr>
          <w:rFonts w:ascii="Verdana" w:hAnsi="Verdana"/>
          <w:highlight w:val="yellow"/>
        </w:rPr>
        <w:t>XXXX</w:t>
      </w:r>
      <w:r w:rsidRPr="00655AA9">
        <w:rPr>
          <w:rFonts w:ascii="Verdana" w:hAnsi="Verdana"/>
        </w:rPr>
        <w:t xml:space="preserve">, která byla vybrána na základě </w:t>
      </w:r>
      <w:r w:rsidRPr="006E4E91">
        <w:rPr>
          <w:rFonts w:ascii="Verdana" w:hAnsi="Verdana"/>
          <w:iCs/>
        </w:rPr>
        <w:t xml:space="preserve">Rozhodnutí zadavatele o výběru dodavatele vydaného pod č. j. </w:t>
      </w:r>
      <w:r w:rsidRPr="00844E12">
        <w:rPr>
          <w:rFonts w:ascii="Verdana" w:hAnsi="Verdana"/>
          <w:iCs/>
          <w:highlight w:val="green"/>
        </w:rPr>
        <w:t>XXXX</w:t>
      </w:r>
      <w:r w:rsidRPr="006E4E91">
        <w:rPr>
          <w:rFonts w:ascii="Verdana" w:hAnsi="Verdana"/>
          <w:iCs/>
        </w:rPr>
        <w:t xml:space="preserve"> ze dne </w:t>
      </w:r>
      <w:r w:rsidRPr="00844E12">
        <w:rPr>
          <w:rFonts w:ascii="Verdana" w:hAnsi="Verdana"/>
          <w:iCs/>
          <w:highlight w:val="green"/>
        </w:rPr>
        <w:t>XXXX.</w:t>
      </w:r>
    </w:p>
    <w:p w14:paraId="204BFDF4" w14:textId="5E04BE00" w:rsidR="00E5267C" w:rsidRPr="006E4E91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6E4E91">
        <w:t xml:space="preserve">Zhotovitel je v souladu s Obchodními podmínkami </w:t>
      </w:r>
      <w:r w:rsidR="00AE2C43" w:rsidRPr="006E4E91">
        <w:t xml:space="preserve">a čl. 19.3 Výzvy k podání nabídky </w:t>
      </w:r>
      <w:r w:rsidRPr="006E4E91">
        <w:t>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50740C35" w14:textId="77777777" w:rsidR="006E4E91" w:rsidRDefault="006E4E91" w:rsidP="006E4E91">
      <w:pPr>
        <w:pStyle w:val="Nadpis2"/>
        <w:spacing w:line="276" w:lineRule="auto"/>
        <w:jc w:val="left"/>
      </w:pPr>
      <w:r>
        <w:t>Cena</w:t>
      </w:r>
      <w:r w:rsidRPr="008D3C65">
        <w:t xml:space="preserve"> Díla je </w:t>
      </w:r>
      <w:r>
        <w:t xml:space="preserve">uvedena v </w:t>
      </w:r>
      <w:r w:rsidRPr="008D3C65">
        <w:t>přílo</w:t>
      </w:r>
      <w:r>
        <w:t>ze</w:t>
      </w:r>
      <w:r w:rsidRPr="008D3C65">
        <w:t xml:space="preserve"> č. 3 Smlouvy.</w:t>
      </w:r>
      <w:r>
        <w:t xml:space="preserve"> </w:t>
      </w:r>
    </w:p>
    <w:p w14:paraId="0F0522E6" w14:textId="77777777" w:rsidR="006E4E91" w:rsidRPr="008D3C65" w:rsidRDefault="006E4E91" w:rsidP="006E4E91">
      <w:pPr>
        <w:pStyle w:val="Nadpis2"/>
        <w:spacing w:line="276" w:lineRule="auto"/>
        <w:jc w:val="left"/>
      </w:pPr>
      <w:r>
        <w:t>Cena Díla bude hrazena ve dvou částech, a to po provedení první fáze a provedení druhé fáze.</w:t>
      </w:r>
    </w:p>
    <w:p w14:paraId="53189CA2" w14:textId="77777777" w:rsidR="006E4E91" w:rsidRDefault="006E4E91" w:rsidP="006E4E91">
      <w:pPr>
        <w:pStyle w:val="Nadpis2"/>
        <w:spacing w:line="276" w:lineRule="auto"/>
        <w:jc w:val="left"/>
      </w:pPr>
      <w:r>
        <w:t>Zhotovitel je oprávněn učinit výzvu k úhradě ve smyslu Obchodních podmínek pro každou fázi dle odst. 2 tohoto článku po jejím provedení. Část Díla je provedena dnem podpisu předávacího protokolu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77AC63C7" w14:textId="125D4894" w:rsidR="006E4E91" w:rsidRPr="006E4E91" w:rsidRDefault="004E1498" w:rsidP="006E4E91">
      <w:pPr>
        <w:pStyle w:val="Nadpis2"/>
        <w:spacing w:line="276" w:lineRule="auto"/>
      </w:pPr>
      <w:r w:rsidRPr="006E4E91">
        <w:t>Místem</w:t>
      </w:r>
      <w:r w:rsidR="006E4E91" w:rsidRPr="006E4E91">
        <w:t xml:space="preserve"> plnění je podrobně specifikováno v Technické zprávě, která je přílohou č. 2 Smlouvy.</w:t>
      </w:r>
    </w:p>
    <w:p w14:paraId="2B7CBCE9" w14:textId="6689AE6F" w:rsidR="006E4E91" w:rsidRPr="00844E12" w:rsidRDefault="006E4E91" w:rsidP="006E4E91">
      <w:pPr>
        <w:pStyle w:val="Nadpis2"/>
        <w:spacing w:line="276" w:lineRule="auto"/>
        <w:jc w:val="left"/>
      </w:pPr>
      <w:r w:rsidRPr="00844E12">
        <w:lastRenderedPageBreak/>
        <w:t xml:space="preserve">Zhotovitel je povinen provést a předat Dílo </w:t>
      </w:r>
      <w:r w:rsidR="00844E12" w:rsidRPr="00844E12">
        <w:t>v termínech</w:t>
      </w:r>
      <w:r w:rsidRPr="00844E12">
        <w:t>:</w:t>
      </w:r>
    </w:p>
    <w:p w14:paraId="6B67F49C" w14:textId="40D08160" w:rsidR="006E4E91" w:rsidRPr="00844E12" w:rsidRDefault="006E4E91" w:rsidP="006E4E91">
      <w:pPr>
        <w:pStyle w:val="Nadpis2"/>
        <w:numPr>
          <w:ilvl w:val="0"/>
          <w:numId w:val="0"/>
        </w:numPr>
        <w:spacing w:line="276" w:lineRule="auto"/>
        <w:ind w:left="1284" w:firstLine="132"/>
        <w:jc w:val="left"/>
      </w:pPr>
      <w:r w:rsidRPr="00844E12">
        <w:t xml:space="preserve">plnění první fáze (diagnostika): </w:t>
      </w:r>
      <w:r w:rsidRPr="00844E12">
        <w:rPr>
          <w:b/>
        </w:rPr>
        <w:t>nejpozději do 30. 11. 2022</w:t>
      </w:r>
    </w:p>
    <w:p w14:paraId="0E1FE6D5" w14:textId="2583199E" w:rsidR="006E4E91" w:rsidRPr="006F60D8" w:rsidRDefault="006E4E91" w:rsidP="006E4E91">
      <w:pPr>
        <w:spacing w:line="276" w:lineRule="auto"/>
      </w:pPr>
      <w:r w:rsidRPr="00844E12">
        <w:rPr>
          <w:lang w:eastAsia="cs-CZ"/>
        </w:rPr>
        <w:tab/>
      </w:r>
      <w:r w:rsidRPr="00844E12">
        <w:rPr>
          <w:lang w:eastAsia="cs-CZ"/>
        </w:rPr>
        <w:tab/>
      </w:r>
      <w:r w:rsidRPr="00844E12">
        <w:t xml:space="preserve">plnění druhé fáze (přepočty): </w:t>
      </w:r>
      <w:r w:rsidRPr="00844E12">
        <w:tab/>
        <w:t xml:space="preserve"> </w:t>
      </w:r>
      <w:r w:rsidRPr="00844E12">
        <w:rPr>
          <w:b/>
        </w:rPr>
        <w:t xml:space="preserve">nejpozději do 30. </w:t>
      </w:r>
      <w:r w:rsidR="00772C0F" w:rsidRPr="00844E12">
        <w:rPr>
          <w:b/>
        </w:rPr>
        <w:t>0</w:t>
      </w:r>
      <w:r w:rsidRPr="00844E12">
        <w:rPr>
          <w:b/>
        </w:rPr>
        <w:t>6. 2023</w:t>
      </w:r>
    </w:p>
    <w:p w14:paraId="218E51AC" w14:textId="77777777" w:rsidR="00772C0F" w:rsidRPr="004E1498" w:rsidRDefault="00772C0F" w:rsidP="00772C0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6BDFFC3D" w14:textId="77777777" w:rsidR="00772C0F" w:rsidRPr="008D3C65" w:rsidRDefault="00772C0F" w:rsidP="00111B80">
      <w:pPr>
        <w:pStyle w:val="Nadpis2"/>
        <w:spacing w:line="276" w:lineRule="auto"/>
        <w:jc w:val="left"/>
      </w:pPr>
      <w:r w:rsidRPr="008D3C65">
        <w:t xml:space="preserve">Na provedení Díla se budou podílet členové realizačního týmu uvedení v příloze č. </w:t>
      </w:r>
      <w:r>
        <w:t>4</w:t>
      </w:r>
      <w:r w:rsidRPr="008D3C65">
        <w:t xml:space="preserve"> této Smlouvy.</w:t>
      </w:r>
    </w:p>
    <w:p w14:paraId="0ADC9850" w14:textId="230A9320" w:rsidR="00772C0F" w:rsidRDefault="00772C0F" w:rsidP="00111B80">
      <w:pPr>
        <w:pStyle w:val="Nadpis2"/>
        <w:spacing w:line="276" w:lineRule="auto"/>
        <w:jc w:val="left"/>
      </w:pPr>
      <w:r w:rsidRPr="008D3C65">
        <w:t xml:space="preserve">Zhotovitel může v průběhu plnění Předmětu díla nahradit některé osoby z osob uvedených v seznamu realizačního týmu dle přílohy č. </w:t>
      </w:r>
      <w:r>
        <w:t>4</w:t>
      </w:r>
      <w:r w:rsidRPr="008D3C65">
        <w:t xml:space="preserve">. této Smlouvy, pouze po předchozím souhlasu Objednatele na základě písemné žádosti Zhotovitele. V případě, že Zhotovitel požádá o změnu některých členů realizačního týmu uvedeného v příloze č. </w:t>
      </w:r>
      <w:r>
        <w:t>4</w:t>
      </w:r>
      <w:r w:rsidRPr="008D3C65">
        <w:t xml:space="preserve"> této Smlouvy, musí tato osoba, splňovat kvalifikaci požadovanou ve Veřejné zakázce. Změna osoby nepodléhá povinnosti uzavřít dodatek ke Smlouvě a proběhne na základě písemného souhlasu Objednatele s touto změnou.</w:t>
      </w:r>
      <w:r>
        <w:t xml:space="preserve"> </w:t>
      </w:r>
    </w:p>
    <w:p w14:paraId="7C547D40" w14:textId="77777777" w:rsidR="00111B80" w:rsidRPr="004E1498" w:rsidRDefault="00111B80" w:rsidP="00111B80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5055ECAC" w14:textId="77777777" w:rsidR="00111B80" w:rsidRPr="004E1498" w:rsidRDefault="00111B80" w:rsidP="00111B80">
      <w:pPr>
        <w:pStyle w:val="Nadpis2"/>
        <w:spacing w:line="276" w:lineRule="auto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0B655608" w14:textId="77777777" w:rsidR="00111B80" w:rsidRPr="00111B80" w:rsidRDefault="00111B80" w:rsidP="00111B80">
      <w:pPr>
        <w:pStyle w:val="Nadpis2"/>
        <w:spacing w:line="276" w:lineRule="auto"/>
        <w:jc w:val="left"/>
      </w:pPr>
      <w:r w:rsidRPr="00111B80">
        <w:t>Kontaktními osobami smluvních stran jsou</w:t>
      </w:r>
    </w:p>
    <w:p w14:paraId="49A238B0" w14:textId="77777777" w:rsidR="00111B80" w:rsidRPr="004E1498" w:rsidRDefault="00111B80" w:rsidP="00111B80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……………………, tel. …………………, email ……………………,</w:t>
      </w:r>
    </w:p>
    <w:p w14:paraId="6F659239" w14:textId="77777777" w:rsidR="00111B80" w:rsidRPr="009B4030" w:rsidRDefault="00111B80" w:rsidP="00111B80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……………………, tel. …………………, email …………………….</w:t>
      </w:r>
    </w:p>
    <w:p w14:paraId="26A79031" w14:textId="77777777" w:rsidR="00111B80" w:rsidRPr="00D9782E" w:rsidRDefault="00111B80" w:rsidP="00111B80">
      <w:pPr>
        <w:pStyle w:val="Nadpis2"/>
        <w:spacing w:line="276" w:lineRule="auto"/>
        <w:jc w:val="left"/>
      </w:pPr>
      <w:r w:rsidRPr="004E1498">
        <w:rPr>
          <w:rFonts w:eastAsia="Calibri"/>
        </w:rPr>
        <w:t>Smluvní s</w:t>
      </w:r>
      <w:r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5536878" w14:textId="77777777" w:rsidR="00111B80" w:rsidRPr="00D9782E" w:rsidRDefault="00111B80" w:rsidP="00111B80">
      <w:pPr>
        <w:pStyle w:val="Nadpis2"/>
        <w:spacing w:line="276" w:lineRule="auto"/>
        <w:jc w:val="left"/>
      </w:pPr>
      <w:r w:rsidRPr="00D9782E">
        <w:rPr>
          <w:rStyle w:val="Nadpis2Char"/>
          <w:rFonts w:eastAsia="Calibri"/>
        </w:rPr>
        <w:t xml:space="preserve">Zaslání </w:t>
      </w:r>
      <w:r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6BDB6DB3" w14:textId="77777777" w:rsidR="00111B80" w:rsidRPr="00D9782E" w:rsidRDefault="00111B80" w:rsidP="00111B80">
      <w:pPr>
        <w:pStyle w:val="Nadpis2"/>
        <w:spacing w:line="276" w:lineRule="auto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5C0C6F60" w14:textId="77777777" w:rsidR="00111B80" w:rsidRPr="00D9782E" w:rsidRDefault="00111B80" w:rsidP="00111B80">
      <w:pPr>
        <w:pStyle w:val="Nadpis2"/>
        <w:spacing w:line="276" w:lineRule="auto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64199FBF" w14:textId="77777777" w:rsidR="00111B80" w:rsidRPr="00D9782E" w:rsidRDefault="00111B80" w:rsidP="00111B80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612557A" w14:textId="77777777" w:rsidR="00111B80" w:rsidRDefault="00111B80" w:rsidP="00111B80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V případě poskytnutí osobních údajů v rámci plnění </w:t>
      </w:r>
      <w:r>
        <w:rPr>
          <w:rFonts w:eastAsia="Calibri"/>
        </w:rPr>
        <w:t>Sml</w:t>
      </w:r>
      <w:r w:rsidRPr="00D9782E">
        <w:rPr>
          <w:rFonts w:eastAsia="Calibri"/>
        </w:rPr>
        <w:t>uvního vztahu se</w:t>
      </w:r>
      <w:r>
        <w:rPr>
          <w:rFonts w:eastAsia="Calibri"/>
        </w:rPr>
        <w:t xml:space="preserve"> </w:t>
      </w:r>
      <w:r w:rsidRPr="00D9782E">
        <w:rPr>
          <w:rFonts w:eastAsia="Calibri"/>
        </w:rPr>
        <w:t>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8660329" w14:textId="77777777" w:rsidR="00111B80" w:rsidRPr="00117A96" w:rsidRDefault="00111B80" w:rsidP="00111B80">
      <w:pPr>
        <w:pStyle w:val="Nadpis2"/>
        <w:spacing w:line="276" w:lineRule="auto"/>
      </w:pPr>
      <w:r w:rsidRPr="00B53209">
        <w:t xml:space="preserve">Ustanovení odstavců 26., 31., 32 a 33. Obchodních podmínek se pro účely této smlouvy nepoužijí. </w:t>
      </w:r>
      <w:r>
        <w:t xml:space="preserve">Ustanovení odstavce 35 Obchodních podmínek se pro účely této Smlouvy mění následovně: </w:t>
      </w:r>
      <w:r w:rsidRPr="00117A96">
        <w:t>Je-li ve Smlouvě o dílo výslovně stanoveno, že Zhotovitel bude předávat Objednateli Dílo po částech, je Zhotovitel oprávněn vystavit Výzvu k úhradě předávané části Díla poté, co Objednatel převezme příslušnou část Díla.  Ustanovení odstavců 25</w:t>
      </w:r>
      <w:r>
        <w:t xml:space="preserve">, </w:t>
      </w:r>
      <w:proofErr w:type="gramStart"/>
      <w:r>
        <w:t>27</w:t>
      </w:r>
      <w:r w:rsidRPr="00117A96">
        <w:t xml:space="preserve"> - </w:t>
      </w:r>
      <w:r>
        <w:t>30</w:t>
      </w:r>
      <w:proofErr w:type="gramEnd"/>
      <w:r w:rsidRPr="00117A96">
        <w:t xml:space="preserve"> Obchodních podmínek se užijí obdobně.</w:t>
      </w:r>
    </w:p>
    <w:p w14:paraId="0C940D92" w14:textId="77777777" w:rsidR="00111B80" w:rsidRPr="00B53209" w:rsidRDefault="00111B80" w:rsidP="00111B80">
      <w:pPr>
        <w:pStyle w:val="Nadpis2"/>
        <w:spacing w:line="276" w:lineRule="auto"/>
      </w:pPr>
      <w:r w:rsidRPr="00B53209">
        <w:rPr>
          <w:b/>
        </w:rPr>
        <w:t xml:space="preserve">Cena díla bude hrazena po realizaci jednotlivých </w:t>
      </w:r>
      <w:r>
        <w:rPr>
          <w:b/>
        </w:rPr>
        <w:t>fází</w:t>
      </w:r>
      <w:r w:rsidRPr="00B53209">
        <w:rPr>
          <w:b/>
        </w:rPr>
        <w:t>, a to vždy do 60 dnů ode dne doručení každé Výzvy k úhradě Objednateli.</w:t>
      </w:r>
      <w:r w:rsidRPr="00B53209">
        <w:t xml:space="preserve"> Výzvu k úhradě je Zhotovitel povinen vystavit vždy na cenu prací, které byly v předcházejícím kalendářním měsíci provedeny v souladu se Smlouvou za účelem zhotovení Díla.</w:t>
      </w:r>
    </w:p>
    <w:p w14:paraId="26D94D11" w14:textId="77777777" w:rsidR="00111B80" w:rsidRDefault="00111B80" w:rsidP="00111B80">
      <w:pPr>
        <w:pStyle w:val="Nadpis2"/>
        <w:spacing w:line="276" w:lineRule="auto"/>
      </w:pPr>
      <w:r>
        <w:t>Ustanovení odstavce 38. Obchodních podmínek se pro účely této smlouvy nepoužije. Zhotovitel je povinen zahájit provádění Díla bez zbytečného odkladu po nabytí účinnosti Smlouvy.</w:t>
      </w:r>
    </w:p>
    <w:p w14:paraId="796E5366" w14:textId="77777777" w:rsidR="00111B80" w:rsidRDefault="00111B80" w:rsidP="00111B80">
      <w:pPr>
        <w:pStyle w:val="Nadpis2"/>
        <w:spacing w:line="276" w:lineRule="auto"/>
        <w:ind w:left="567"/>
      </w:pPr>
      <w:r>
        <w:t>Ustanovení odstavce 95 Obchodních podmínek se mění následovně:</w:t>
      </w:r>
    </w:p>
    <w:p w14:paraId="1882622C" w14:textId="77777777" w:rsidR="00111B80" w:rsidRPr="00D61E0D" w:rsidRDefault="00111B80" w:rsidP="00111B80">
      <w:pPr>
        <w:spacing w:after="0" w:line="276" w:lineRule="auto"/>
        <w:ind w:left="567"/>
      </w:pPr>
      <w:r>
        <w:rPr>
          <w:rFonts w:eastAsia="Times New Roman" w:cs="Times New Roman"/>
          <w:lang w:eastAsia="cs-CZ"/>
        </w:rPr>
        <w:t xml:space="preserve">S výjimkou Objednatelem v zadávacích podmínkách Veřejné zakázky určených významných činností, jejichž plnění je povinen provést přímo Zhotovitel, je Zhotovitel </w:t>
      </w:r>
      <w:r w:rsidRPr="00126412">
        <w:rPr>
          <w:rFonts w:eastAsia="Times New Roman" w:cs="Times New Roman"/>
          <w:lang w:eastAsia="cs-CZ"/>
        </w:rPr>
        <w:t>oprávněn pověřit provedením části</w:t>
      </w:r>
      <w:r>
        <w:rPr>
          <w:rFonts w:eastAsia="Times New Roman" w:cs="Times New Roman"/>
          <w:lang w:eastAsia="cs-CZ"/>
        </w:rPr>
        <w:t xml:space="preserve">, </w:t>
      </w:r>
      <w:r w:rsidRPr="00126412">
        <w:rPr>
          <w:rFonts w:eastAsia="Times New Roman" w:cs="Times New Roman"/>
          <w:lang w:eastAsia="cs-CZ"/>
        </w:rPr>
        <w:t>třetí osobu – poddodavatele. Zhotovitel odpovídá za činnost poddodavatele tak, jako by činnost prováděl sám</w:t>
      </w:r>
      <w:r>
        <w:rPr>
          <w:rFonts w:eastAsia="Times New Roman" w:cs="Times New Roman"/>
          <w:lang w:eastAsia="cs-CZ"/>
        </w:rPr>
        <w:t>.</w:t>
      </w:r>
    </w:p>
    <w:p w14:paraId="57044420" w14:textId="4A66FF4A" w:rsidR="00030970" w:rsidRDefault="00030970" w:rsidP="00567AFB">
      <w:pPr>
        <w:pStyle w:val="Nadpis1"/>
        <w:rPr>
          <w:rFonts w:eastAsia="Times New Roman"/>
          <w:lang w:eastAsia="cs-CZ"/>
        </w:rPr>
      </w:pPr>
      <w:r w:rsidRPr="00030970">
        <w:rPr>
          <w:rFonts w:eastAsia="Times New Roman"/>
          <w:lang w:eastAsia="cs-CZ"/>
        </w:rPr>
        <w:t>S</w:t>
      </w:r>
      <w:r>
        <w:rPr>
          <w:rFonts w:eastAsia="Times New Roman"/>
          <w:lang w:eastAsia="cs-CZ"/>
        </w:rPr>
        <w:t>třet zájmů, povinnosti zhotovitele v souvislosti s konfliktem na Ukrajině</w:t>
      </w:r>
    </w:p>
    <w:p w14:paraId="40C9CA83" w14:textId="77777777" w:rsidR="00030970" w:rsidRDefault="00030970" w:rsidP="00030970">
      <w:pPr>
        <w:pStyle w:val="Nadpis2"/>
      </w:pPr>
      <w:r w:rsidRPr="00030970">
        <w:rPr>
          <w:rFonts w:eastAsia="Calibri"/>
        </w:rPr>
        <w:t>Zhotovitel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030970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12D08D7A" w14:textId="5D99DCDD" w:rsidR="00030970" w:rsidRDefault="00030970" w:rsidP="00030970">
      <w:pPr>
        <w:pStyle w:val="Nadpis2"/>
      </w:pPr>
      <w:r w:rsidRPr="0029677D">
        <w:t>Zhotovitel prohlašuje, že on, ani žádný z jeho poddodavatelů nebo jiných osob, jejichž způsobilost byla využita ve smyslu evropských směrnic o zadávání veřejných zakázek, nejsou osobami:</w:t>
      </w:r>
    </w:p>
    <w:p w14:paraId="72BAE060" w14:textId="422B1F58" w:rsidR="00030970" w:rsidRDefault="00030970" w:rsidP="00030970">
      <w:pPr>
        <w:pStyle w:val="Nadpis3"/>
      </w:pPr>
      <w:r w:rsidRPr="00030970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</w:t>
      </w:r>
    </w:p>
    <w:p w14:paraId="5957118E" w14:textId="683DC301" w:rsidR="00030970" w:rsidRPr="00030970" w:rsidRDefault="00030970" w:rsidP="00030970">
      <w:pPr>
        <w:pStyle w:val="Nadpis3"/>
      </w:pPr>
      <w:r w:rsidRPr="00030970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17D31239" w14:textId="24CB6A5C" w:rsidR="00030970" w:rsidRPr="0029677D" w:rsidRDefault="00030970" w:rsidP="00030970">
      <w:pPr>
        <w:pStyle w:val="Nadpis2"/>
      </w:pPr>
      <w:r w:rsidRPr="0029677D">
        <w:t xml:space="preserve">Je-li Zhotovitelem sdružení více osob, platí podmínky dle odstavce </w:t>
      </w:r>
      <w:r>
        <w:t>7</w:t>
      </w:r>
      <w:r w:rsidRPr="0029677D">
        <w:t xml:space="preserve">.1 a </w:t>
      </w:r>
      <w:r>
        <w:t>7</w:t>
      </w:r>
      <w:r w:rsidRPr="0029677D">
        <w:t xml:space="preserve">.2 této Smlouvy také jednotlivě pro všechny osoby v rámci Zhotovitele </w:t>
      </w:r>
      <w:proofErr w:type="gramStart"/>
      <w:r w:rsidRPr="0029677D">
        <w:t>sdružené</w:t>
      </w:r>
      <w:proofErr w:type="gramEnd"/>
      <w:r w:rsidRPr="0029677D">
        <w:t xml:space="preserve"> a to bez ohledu na právní formu tohoto sdružení.</w:t>
      </w:r>
    </w:p>
    <w:p w14:paraId="176EC94F" w14:textId="1BC90C34" w:rsidR="00030970" w:rsidRPr="0029677D" w:rsidRDefault="00030970" w:rsidP="00030970">
      <w:pPr>
        <w:pStyle w:val="Nadpis2"/>
      </w:pPr>
      <w:r w:rsidRPr="0029677D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</w:t>
      </w:r>
      <w:r>
        <w:t xml:space="preserve"> </w:t>
      </w:r>
      <w:r w:rsidRPr="0029677D">
        <w:t>uvedené podmínky, Objednateli.</w:t>
      </w:r>
    </w:p>
    <w:p w14:paraId="102DA2CF" w14:textId="7278F278" w:rsidR="00030970" w:rsidRPr="0029677D" w:rsidRDefault="00030970" w:rsidP="00030970">
      <w:pPr>
        <w:pStyle w:val="Nadpis2"/>
      </w:pPr>
      <w:r w:rsidRPr="0029677D">
        <w:lastRenderedPageBreak/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>
        <w:t xml:space="preserve"> </w:t>
      </w:r>
      <w:r w:rsidRPr="0029677D">
        <w:t>269/2014.</w:t>
      </w:r>
    </w:p>
    <w:p w14:paraId="7E164636" w14:textId="53C8D741" w:rsidR="00030970" w:rsidRDefault="00030970" w:rsidP="00030970">
      <w:pPr>
        <w:pStyle w:val="Nadpis2"/>
      </w:pPr>
      <w:r w:rsidRPr="0029677D">
        <w:t>Zhotovitel se dále ve smyslu článku 2 nařízení Rady (EU) č. 269/2014 ze dne 17. března 2</w:t>
      </w:r>
      <w:r>
        <w:t>0</w:t>
      </w:r>
      <w:r w:rsidRPr="0029677D">
        <w:t>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C5C8B2D" w14:textId="64C2AC24" w:rsidR="00030970" w:rsidRPr="00030970" w:rsidRDefault="00030970" w:rsidP="00030970">
      <w:pPr>
        <w:pStyle w:val="Nadpis2"/>
        <w:rPr>
          <w:lang w:eastAsia="en-US"/>
        </w:rPr>
      </w:pPr>
      <w:proofErr w:type="gramStart"/>
      <w:r w:rsidRPr="00030970">
        <w:t>Ukáží</w:t>
      </w:r>
      <w:proofErr w:type="gramEnd"/>
      <w:r w:rsidRPr="00030970">
        <w:t>-li se prohlášení Zhotovitele dle odstavce 7.1 a 7.2 této Smlouvy jako nepravdivá nebo poruší-li Zhotovitel</w:t>
      </w:r>
      <w:r w:rsidRPr="0029677D">
        <w:t xml:space="preserve"> svou oznamovací povinnost dle odstavce </w:t>
      </w:r>
      <w:r>
        <w:t>7</w:t>
      </w:r>
      <w:r w:rsidRPr="0029677D">
        <w:t xml:space="preserve">.4. nebo povinnosti dle odstavců </w:t>
      </w:r>
      <w:r>
        <w:t>7.5</w:t>
      </w:r>
      <w:r w:rsidRPr="0029677D">
        <w:t xml:space="preserve"> nebo </w:t>
      </w:r>
      <w:r>
        <w:t>7</w:t>
      </w:r>
      <w:r w:rsidRPr="0029677D">
        <w:t xml:space="preserve">.6 této Smlouvy, je Objednatel oprávněn odstoupit od této Smlouvy. Zhotovitel je dále povinen zaplatit za každé jednotlivé porušení povinností dle předchozí věty smluvní pokutu ve </w:t>
      </w:r>
      <w:r w:rsidRPr="00111B80">
        <w:t>výši 5 % procent</w:t>
      </w:r>
      <w:r w:rsidRPr="0029677D">
        <w:t xml:space="preserve">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AB3DCD4" w:rsid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412B8D41" w14:textId="3E861923" w:rsidR="00034A53" w:rsidRPr="00B9013F" w:rsidRDefault="00034A53" w:rsidP="00034A53">
      <w:pPr>
        <w:pStyle w:val="Nadpis2"/>
        <w:spacing w:after="120"/>
        <w:contextualSpacing w:val="0"/>
        <w:jc w:val="left"/>
      </w:pPr>
      <w:r w:rsidRPr="00B9013F">
        <w:t xml:space="preserve">Objednatel si vyhrazuje změnu Zhotovitele v průběhu plnění veřejné zakázky, dojde-li k předčasnému ukončení této Smlouvy ze strany Zhotovitele nebo k předčasnému ukončení Smlouvy ze strany Objednatele z důvodu porušení povinnosti Zhotovitele. Smluvní strany výslovně akceptují, že dle čl. 14 Výzvy k podání </w:t>
      </w:r>
      <w:r w:rsidRPr="00E86DAD">
        <w:t>nabídky je Objednatel oprávněn přistoupit k nahrazení Zhotovitele způsobem a za podmínek dle čl. 1</w:t>
      </w:r>
      <w:r w:rsidR="00E86DAD" w:rsidRPr="00E86DAD">
        <w:t>7.8</w:t>
      </w:r>
      <w:r w:rsidRPr="00E86DAD">
        <w:t xml:space="preserve"> Výzvy k podání nabídky. V takovém případě je Zhotovitel povinen poskytnout Objednateli a nově určenému zhotoviteli veškerou součinnost nezbytnou pro řádné dokončení Díla</w:t>
      </w:r>
      <w:r w:rsidRPr="00B9013F">
        <w:t>.</w:t>
      </w:r>
    </w:p>
    <w:p w14:paraId="7270FB3F" w14:textId="77777777" w:rsidR="00BF2C51" w:rsidRPr="009C30C5" w:rsidRDefault="00BF2C51" w:rsidP="00BF2C51">
      <w:pPr>
        <w:pStyle w:val="Nadpis2"/>
        <w:spacing w:after="120"/>
        <w:contextualSpacing w:val="0"/>
        <w:jc w:val="left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 </w:t>
      </w:r>
      <w:r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9C30C5">
        <w:t xml:space="preserve"> sepsána ve </w:t>
      </w:r>
      <w:r w:rsidRPr="001D4E8C">
        <w:rPr>
          <w:b/>
          <w:highlight w:val="yellow"/>
        </w:rPr>
        <w:t>dvou</w:t>
      </w:r>
      <w:r w:rsidRPr="009C30C5">
        <w:t xml:space="preserve"> vyhotoveních, přičemž </w:t>
      </w:r>
      <w:r w:rsidRPr="001D4E8C">
        <w:rPr>
          <w:highlight w:val="yellow"/>
        </w:rPr>
        <w:t>jedno</w:t>
      </w:r>
      <w:r w:rsidRPr="009C30C5">
        <w:t xml:space="preserve"> vyhotovení </w:t>
      </w:r>
      <w:proofErr w:type="gramStart"/>
      <w:r w:rsidRPr="009C30C5">
        <w:t>obdrží</w:t>
      </w:r>
      <w:proofErr w:type="gramEnd"/>
      <w:r w:rsidRPr="009C30C5">
        <w:t xml:space="preserve"> Zhotovitel a </w:t>
      </w:r>
      <w:r>
        <w:t>jedno</w:t>
      </w:r>
      <w:r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35806474" w14:textId="65D615C9" w:rsidR="00BC7069" w:rsidRPr="003901BB" w:rsidRDefault="00BC7069" w:rsidP="003901BB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BF2C51">
        <w:rPr>
          <w:rFonts w:eastAsia="Times New Roman" w:cs="Times New Roman"/>
          <w:lang w:eastAsia="cs-CZ"/>
        </w:rPr>
        <w:t xml:space="preserve">Technické </w:t>
      </w:r>
      <w:proofErr w:type="gramStart"/>
      <w:r w:rsidRPr="00BF2C51">
        <w:rPr>
          <w:rFonts w:eastAsia="Times New Roman" w:cs="Times New Roman"/>
          <w:lang w:eastAsia="cs-CZ"/>
        </w:rPr>
        <w:t>podmínky</w:t>
      </w:r>
      <w:r w:rsidR="003901BB">
        <w:rPr>
          <w:rFonts w:eastAsia="Times New Roman" w:cs="Times New Roman"/>
          <w:lang w:eastAsia="cs-CZ"/>
        </w:rPr>
        <w:t xml:space="preserve"> - </w:t>
      </w:r>
      <w:r w:rsidRPr="003901BB">
        <w:rPr>
          <w:rFonts w:eastAsia="Times New Roman" w:cs="Times New Roman"/>
          <w:lang w:eastAsia="cs-CZ"/>
        </w:rPr>
        <w:t>Technická</w:t>
      </w:r>
      <w:proofErr w:type="gramEnd"/>
      <w:r w:rsidRPr="003901BB">
        <w:rPr>
          <w:rFonts w:eastAsia="Times New Roman" w:cs="Times New Roman"/>
          <w:lang w:eastAsia="cs-CZ"/>
        </w:rPr>
        <w:t xml:space="preserve"> zpráva</w:t>
      </w:r>
    </w:p>
    <w:p w14:paraId="006CBB1A" w14:textId="304F693C" w:rsidR="006E6E61" w:rsidRDefault="006E4E9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6E4E91">
        <w:rPr>
          <w:rFonts w:eastAsia="Times New Roman" w:cs="Times New Roman"/>
          <w:lang w:eastAsia="cs-CZ"/>
        </w:rPr>
        <w:t>Položkový rozpočet</w:t>
      </w:r>
    </w:p>
    <w:p w14:paraId="7167FA29" w14:textId="304F1E6B" w:rsidR="00BF2C51" w:rsidRDefault="00BF2C51" w:rsidP="00BF2C51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BF2C51">
        <w:rPr>
          <w:rFonts w:eastAsia="Times New Roman" w:cs="Times New Roman"/>
          <w:lang w:eastAsia="cs-CZ"/>
        </w:rPr>
        <w:t>Oprávněné osoby</w:t>
      </w:r>
    </w:p>
    <w:p w14:paraId="664EB082" w14:textId="5A63EEA3" w:rsidR="007D083E" w:rsidRPr="007D083E" w:rsidRDefault="007D083E" w:rsidP="007D083E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053016">
        <w:rPr>
          <w:rFonts w:eastAsia="Times New Roman" w:cs="Times New Roman"/>
          <w:lang w:eastAsia="cs-CZ"/>
        </w:rPr>
        <w:t>Seznam požadovaných pojištění</w:t>
      </w:r>
    </w:p>
    <w:p w14:paraId="1BA615C9" w14:textId="77777777" w:rsidR="00053016" w:rsidRDefault="004429CF" w:rsidP="0005301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111B80">
        <w:rPr>
          <w:rFonts w:eastAsia="Times New Roman" w:cs="Times New Roman"/>
          <w:lang w:eastAsia="cs-CZ"/>
        </w:rPr>
        <w:t>S</w:t>
      </w:r>
      <w:r w:rsidR="006E6E61" w:rsidRPr="00111B80">
        <w:rPr>
          <w:rFonts w:eastAsia="Times New Roman" w:cs="Times New Roman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 xml:space="preserve">. § 1751 občanského zákoníku </w:t>
      </w:r>
      <w:proofErr w:type="gramStart"/>
      <w:r w:rsidRPr="00512F8C">
        <w:rPr>
          <w:bCs/>
        </w:rPr>
        <w:t>tvoří</w:t>
      </w:r>
      <w:proofErr w:type="gramEnd"/>
      <w:r w:rsidRPr="00512F8C">
        <w:rPr>
          <w:bCs/>
        </w:rPr>
        <w:t xml:space="preserve">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6B0B3923" w14:textId="1398F03B" w:rsidR="00C570B4" w:rsidRPr="003901BB" w:rsidRDefault="00DD6DBC" w:rsidP="003901BB">
      <w:pPr>
        <w:pStyle w:val="Nadpisbezsl1-2"/>
        <w:rPr>
          <w:sz w:val="18"/>
          <w:szCs w:val="18"/>
        </w:rPr>
      </w:pPr>
      <w:r w:rsidRPr="00951984">
        <w:rPr>
          <w:sz w:val="18"/>
          <w:szCs w:val="18"/>
        </w:rPr>
        <w:t xml:space="preserve">Technické </w:t>
      </w:r>
      <w:proofErr w:type="gramStart"/>
      <w:r w:rsidRPr="00951984">
        <w:rPr>
          <w:sz w:val="18"/>
          <w:szCs w:val="18"/>
        </w:rPr>
        <w:t>podmínky</w:t>
      </w:r>
      <w:r w:rsidR="003901BB">
        <w:rPr>
          <w:sz w:val="18"/>
          <w:szCs w:val="18"/>
        </w:rPr>
        <w:t xml:space="preserve"> - </w:t>
      </w:r>
      <w:r w:rsidR="00C570B4" w:rsidRPr="00951984">
        <w:t>Technická</w:t>
      </w:r>
      <w:proofErr w:type="gramEnd"/>
      <w:r w:rsidR="00C570B4" w:rsidRPr="00951984">
        <w:t xml:space="preserve"> zpráva</w:t>
      </w:r>
    </w:p>
    <w:p w14:paraId="289BD606" w14:textId="066DFEF6" w:rsidR="00C570B4" w:rsidRPr="00951984" w:rsidRDefault="00C570B4" w:rsidP="003901BB">
      <w:pPr>
        <w:pStyle w:val="Odstavec1-1a"/>
        <w:numPr>
          <w:ilvl w:val="0"/>
          <w:numId w:val="0"/>
        </w:numPr>
        <w:contextualSpacing w:val="0"/>
        <w:jc w:val="left"/>
        <w:rPr>
          <w:bCs/>
        </w:rPr>
      </w:pPr>
      <w:r w:rsidRPr="00951984">
        <w:t>Technická zpráva</w:t>
      </w:r>
      <w:r w:rsidRPr="00951984">
        <w:rPr>
          <w:bCs/>
        </w:rPr>
        <w:t xml:space="preserve"> není pevně připojena ke Smlouvě, </w:t>
      </w:r>
      <w:r w:rsidR="000F023C" w:rsidRPr="00951984">
        <w:rPr>
          <w:bCs/>
        </w:rPr>
        <w:t xml:space="preserve">Zhotovitel </w:t>
      </w:r>
      <w:r w:rsidRPr="00951984">
        <w:t>Technickou zprávu</w:t>
      </w:r>
      <w:r w:rsidRPr="00951984">
        <w:rPr>
          <w:bCs/>
        </w:rPr>
        <w:t xml:space="preserve"> obdržel společně se zadávací dokumentací prostřednictvím profilu zadavatele </w:t>
      </w:r>
      <w:hyperlink r:id="rId20" w:history="1">
        <w:r w:rsidRPr="00951984">
          <w:rPr>
            <w:rStyle w:val="Hypertextovodkaz"/>
            <w:bCs/>
          </w:rPr>
          <w:t>https://zakazky.spravazeleznic.cz/</w:t>
        </w:r>
      </w:hyperlink>
      <w:r w:rsidRPr="00951984">
        <w:rPr>
          <w:bCs/>
        </w:rPr>
        <w:t>.</w:t>
      </w:r>
    </w:p>
    <w:p w14:paraId="7D6E63A4" w14:textId="77777777" w:rsidR="00C570B4" w:rsidRPr="00951984" w:rsidRDefault="00C570B4" w:rsidP="003901BB">
      <w:pPr>
        <w:pStyle w:val="Textbezodsazen"/>
        <w:jc w:val="left"/>
      </w:pPr>
      <w:r w:rsidRPr="00951984">
        <w:t xml:space="preserve">Smluvní strany podpisem této Smlouvy stvrzují, že je pro ně Technická zpráva závazná, že jsou s jejím obsahem plně seznámeny a že v souladu s </w:t>
      </w:r>
      <w:proofErr w:type="spellStart"/>
      <w:r w:rsidRPr="00951984">
        <w:t>ust</w:t>
      </w:r>
      <w:proofErr w:type="spellEnd"/>
      <w:r w:rsidRPr="00951984">
        <w:t xml:space="preserve">. § 1751 občanského zákoníku </w:t>
      </w:r>
      <w:proofErr w:type="gramStart"/>
      <w:r w:rsidRPr="00951984">
        <w:t>tvoří</w:t>
      </w:r>
      <w:proofErr w:type="gramEnd"/>
      <w:r w:rsidRPr="00951984">
        <w:t xml:space="preserve">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E2D0F7A" w14:textId="17EFE06E" w:rsidR="00E6482A" w:rsidRPr="00E6482A" w:rsidRDefault="00951984" w:rsidP="00E6482A">
      <w:pPr>
        <w:pStyle w:val="Nadpisbezsl1-1"/>
        <w:rPr>
          <w:caps w:val="0"/>
          <w:sz w:val="18"/>
        </w:rPr>
      </w:pPr>
      <w:r>
        <w:rPr>
          <w:caps w:val="0"/>
          <w:sz w:val="18"/>
        </w:rPr>
        <w:t>Položkový rozpočet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14A739E3" w14:textId="26D5BD8F" w:rsidR="00084104" w:rsidRDefault="00951984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Oprávněné osoby</w:t>
      </w:r>
    </w:p>
    <w:p w14:paraId="6FD5C875" w14:textId="77777777" w:rsidR="00951984" w:rsidRPr="001E3669" w:rsidRDefault="00951984" w:rsidP="00951984">
      <w:pPr>
        <w:pStyle w:val="RLProhlensmluvnchstran"/>
        <w:spacing w:line="276" w:lineRule="auto"/>
        <w:jc w:val="left"/>
        <w:rPr>
          <w:rFonts w:ascii="Verdana" w:hAnsi="Verdana"/>
          <w:sz w:val="18"/>
          <w:szCs w:val="18"/>
          <w:lang w:val="cs-CZ" w:eastAsia="cs-CZ"/>
        </w:rPr>
      </w:pPr>
      <w:r w:rsidRPr="001E3669">
        <w:rPr>
          <w:rFonts w:ascii="Verdana" w:hAnsi="Verdana"/>
          <w:sz w:val="18"/>
          <w:szCs w:val="18"/>
          <w:lang w:val="cs-CZ" w:eastAsia="cs-CZ"/>
        </w:rPr>
        <w:t>Za Objednatele:</w:t>
      </w:r>
    </w:p>
    <w:p w14:paraId="77782F34" w14:textId="77777777" w:rsidR="00951984" w:rsidRPr="004F6BE4" w:rsidRDefault="00951984" w:rsidP="00951984">
      <w:pPr>
        <w:pStyle w:val="Nadpis9"/>
        <w:keepNext w:val="0"/>
        <w:keepLines w:val="0"/>
        <w:numPr>
          <w:ilvl w:val="0"/>
          <w:numId w:val="43"/>
        </w:numPr>
        <w:tabs>
          <w:tab w:val="clear" w:pos="357"/>
          <w:tab w:val="num" w:pos="426"/>
        </w:tabs>
        <w:spacing w:before="360" w:after="120" w:line="276" w:lineRule="auto"/>
        <w:ind w:left="426" w:hanging="426"/>
        <w:jc w:val="both"/>
        <w:rPr>
          <w:rFonts w:ascii="Verdana" w:hAnsi="Verdana"/>
          <w:b w:val="0"/>
          <w:i/>
          <w:szCs w:val="18"/>
        </w:rPr>
      </w:pPr>
      <w:r w:rsidRPr="004F6BE4">
        <w:rPr>
          <w:rFonts w:ascii="Verdana" w:hAnsi="Verdana"/>
          <w:b w:val="0"/>
          <w:color w:val="auto"/>
          <w:szCs w:val="18"/>
        </w:rPr>
        <w:t>ve věcech smluvních a obchodních (kromě podpisu této Smlouvy</w:t>
      </w:r>
      <w:r>
        <w:rPr>
          <w:rFonts w:ascii="Verdana" w:hAnsi="Verdana"/>
          <w:b w:val="0"/>
          <w:color w:val="auto"/>
          <w:szCs w:val="18"/>
        </w:rPr>
        <w:t xml:space="preserve"> a jejích případných dodatků):</w:t>
      </w:r>
      <w:r w:rsidRPr="004F6BE4">
        <w:rPr>
          <w:rFonts w:ascii="Verdana" w:hAnsi="Verdana"/>
          <w:b w:val="0"/>
          <w:szCs w:val="18"/>
        </w:rPr>
        <w:tab/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6110"/>
      </w:tblGrid>
      <w:tr w:rsidR="00951984" w:rsidRPr="001E3669" w14:paraId="5F159CD7" w14:textId="77777777" w:rsidTr="00F1548A">
        <w:tc>
          <w:tcPr>
            <w:tcW w:w="1923" w:type="dxa"/>
            <w:shd w:val="clear" w:color="auto" w:fill="auto"/>
            <w:vAlign w:val="center"/>
          </w:tcPr>
          <w:p w14:paraId="58B7E416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626" w:type="dxa"/>
            <w:shd w:val="clear" w:color="auto" w:fill="auto"/>
          </w:tcPr>
          <w:p w14:paraId="21B6061F" w14:textId="2210BABB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  <w:tr w:rsidR="00951984" w:rsidRPr="001E3669" w14:paraId="3993F11C" w14:textId="77777777" w:rsidTr="00F1548A">
        <w:tc>
          <w:tcPr>
            <w:tcW w:w="1923" w:type="dxa"/>
            <w:shd w:val="clear" w:color="auto" w:fill="auto"/>
            <w:vAlign w:val="center"/>
          </w:tcPr>
          <w:p w14:paraId="5B2ECC2E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626" w:type="dxa"/>
            <w:shd w:val="clear" w:color="auto" w:fill="auto"/>
          </w:tcPr>
          <w:p w14:paraId="2D5BE604" w14:textId="76D86F5F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  <w:tr w:rsidR="00951984" w:rsidRPr="001E3669" w14:paraId="63812E57" w14:textId="77777777" w:rsidTr="00F1548A">
        <w:tc>
          <w:tcPr>
            <w:tcW w:w="1923" w:type="dxa"/>
            <w:shd w:val="clear" w:color="auto" w:fill="auto"/>
            <w:vAlign w:val="center"/>
          </w:tcPr>
          <w:p w14:paraId="7B9587D9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626" w:type="dxa"/>
            <w:shd w:val="clear" w:color="auto" w:fill="auto"/>
          </w:tcPr>
          <w:p w14:paraId="32899761" w14:textId="68358EBD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  <w:tr w:rsidR="00951984" w:rsidRPr="001E3669" w14:paraId="2615477D" w14:textId="77777777" w:rsidTr="00F1548A">
        <w:trPr>
          <w:trHeight w:val="300"/>
        </w:trPr>
        <w:tc>
          <w:tcPr>
            <w:tcW w:w="1923" w:type="dxa"/>
            <w:shd w:val="clear" w:color="auto" w:fill="auto"/>
            <w:vAlign w:val="center"/>
          </w:tcPr>
          <w:p w14:paraId="6DDBB218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626" w:type="dxa"/>
            <w:shd w:val="clear" w:color="auto" w:fill="auto"/>
          </w:tcPr>
          <w:p w14:paraId="204C318A" w14:textId="69B1D2FB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</w:tbl>
    <w:p w14:paraId="19643D69" w14:textId="0A08F749" w:rsidR="00951984" w:rsidRDefault="00951984" w:rsidP="00951984">
      <w:pPr>
        <w:pStyle w:val="Nadpis9"/>
        <w:keepNext w:val="0"/>
        <w:keepLines w:val="0"/>
        <w:numPr>
          <w:ilvl w:val="0"/>
          <w:numId w:val="43"/>
        </w:numPr>
        <w:tabs>
          <w:tab w:val="clear" w:pos="357"/>
          <w:tab w:val="num" w:pos="426"/>
          <w:tab w:val="left" w:pos="4395"/>
        </w:tabs>
        <w:spacing w:before="360" w:after="120" w:line="276" w:lineRule="auto"/>
        <w:ind w:left="4394" w:hanging="4394"/>
        <w:jc w:val="both"/>
        <w:rPr>
          <w:rFonts w:ascii="Verdana" w:hAnsi="Verdana"/>
          <w:b w:val="0"/>
          <w:color w:val="auto"/>
          <w:szCs w:val="18"/>
        </w:rPr>
      </w:pPr>
      <w:r w:rsidRPr="004F6BE4">
        <w:rPr>
          <w:rFonts w:ascii="Verdana" w:hAnsi="Verdana"/>
          <w:b w:val="0"/>
          <w:color w:val="auto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6110"/>
      </w:tblGrid>
      <w:tr w:rsidR="00951984" w:rsidRPr="001E3669" w14:paraId="7F66E63A" w14:textId="77777777" w:rsidTr="00951984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E778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B5DF" w14:textId="77777777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  <w:tr w:rsidR="00951984" w:rsidRPr="001E3669" w14:paraId="6AA4734A" w14:textId="77777777" w:rsidTr="00951984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B4472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892E" w14:textId="77777777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  <w:tr w:rsidR="00951984" w:rsidRPr="001E3669" w14:paraId="2FB0F95B" w14:textId="77777777" w:rsidTr="00951984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C5F5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2D4E" w14:textId="77777777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  <w:tr w:rsidR="00951984" w:rsidRPr="001E3669" w14:paraId="0EB6F964" w14:textId="77777777" w:rsidTr="00951984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E0D1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40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73B7" w14:textId="77777777" w:rsidR="00951984" w:rsidRPr="008D3C65" w:rsidRDefault="00951984" w:rsidP="00F1548A">
            <w:pPr>
              <w:spacing w:line="240" w:lineRule="auto"/>
              <w:rPr>
                <w:rFonts w:ascii="Verdana" w:hAnsi="Verdana"/>
                <w:highlight w:val="yellow"/>
              </w:rPr>
            </w:pPr>
          </w:p>
        </w:tc>
      </w:tr>
    </w:tbl>
    <w:p w14:paraId="35769295" w14:textId="77777777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5F4ACF4A" w14:textId="665FEA78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08B2E7EC" w14:textId="4DDD99E2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49654BF7" w14:textId="68C7E79E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580D957D" w14:textId="3B4684C1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1B5FA427" w14:textId="6A64864B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2D80D798" w14:textId="6D68F296" w:rsidR="00951984" w:rsidRDefault="00951984" w:rsidP="00951984">
      <w:pPr>
        <w:keepNext/>
        <w:spacing w:before="360" w:line="276" w:lineRule="auto"/>
        <w:rPr>
          <w:rFonts w:ascii="Verdana" w:hAnsi="Verdana"/>
          <w:b/>
        </w:rPr>
      </w:pPr>
    </w:p>
    <w:p w14:paraId="6E2F5B67" w14:textId="76570FFD" w:rsidR="00951984" w:rsidRDefault="00951984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166DC904" w14:textId="77777777" w:rsidR="00951984" w:rsidRPr="001E3669" w:rsidRDefault="00951984" w:rsidP="00951984">
      <w:pPr>
        <w:keepNext/>
        <w:spacing w:before="360" w:line="276" w:lineRule="auto"/>
        <w:rPr>
          <w:rFonts w:ascii="Verdana" w:hAnsi="Verdana"/>
          <w:b/>
        </w:rPr>
      </w:pPr>
      <w:r w:rsidRPr="001E3669">
        <w:rPr>
          <w:rFonts w:ascii="Verdana" w:hAnsi="Verdana"/>
          <w:b/>
        </w:rPr>
        <w:lastRenderedPageBreak/>
        <w:t>Za Zhotovitele:</w:t>
      </w:r>
    </w:p>
    <w:p w14:paraId="0CC54B6A" w14:textId="77777777" w:rsidR="00951984" w:rsidRPr="001E3669" w:rsidRDefault="00951984" w:rsidP="00951984">
      <w:pPr>
        <w:numPr>
          <w:ilvl w:val="0"/>
          <w:numId w:val="44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 w:rsidRPr="001E3669">
        <w:rPr>
          <w:rFonts w:ascii="Verdana" w:hAnsi="Verdana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5899"/>
      </w:tblGrid>
      <w:tr w:rsidR="00951984" w:rsidRPr="001E3669" w14:paraId="4E44839B" w14:textId="77777777" w:rsidTr="00F1548A">
        <w:tc>
          <w:tcPr>
            <w:tcW w:w="2206" w:type="dxa"/>
            <w:shd w:val="clear" w:color="auto" w:fill="auto"/>
            <w:vAlign w:val="center"/>
          </w:tcPr>
          <w:p w14:paraId="07EAD463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56E29A41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22421B0D" w14:textId="77777777" w:rsidTr="00F1548A">
        <w:tc>
          <w:tcPr>
            <w:tcW w:w="2206" w:type="dxa"/>
            <w:shd w:val="clear" w:color="auto" w:fill="auto"/>
            <w:vAlign w:val="center"/>
          </w:tcPr>
          <w:p w14:paraId="3579C2E7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1B36D97C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59242886" w14:textId="77777777" w:rsidTr="00F1548A">
        <w:tc>
          <w:tcPr>
            <w:tcW w:w="2206" w:type="dxa"/>
            <w:shd w:val="clear" w:color="auto" w:fill="auto"/>
            <w:vAlign w:val="center"/>
          </w:tcPr>
          <w:p w14:paraId="5D14939E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797002B1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6B7C6F1F" w14:textId="77777777" w:rsidTr="00F1548A">
        <w:tc>
          <w:tcPr>
            <w:tcW w:w="2206" w:type="dxa"/>
            <w:shd w:val="clear" w:color="auto" w:fill="auto"/>
            <w:vAlign w:val="center"/>
          </w:tcPr>
          <w:p w14:paraId="5B338FFE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6427F204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1FBFF924" w14:textId="77777777" w:rsidR="00951984" w:rsidRPr="001E3669" w:rsidRDefault="00951984" w:rsidP="00951984">
      <w:pPr>
        <w:numPr>
          <w:ilvl w:val="0"/>
          <w:numId w:val="45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>
        <w:rPr>
          <w:rFonts w:ascii="Verdana" w:hAnsi="Verdana"/>
        </w:rPr>
        <w:t>specialista na mosty a inženýrské konstrukce</w:t>
      </w:r>
      <w:r w:rsidRPr="001E3669">
        <w:rPr>
          <w:rFonts w:ascii="Verdana" w:hAnsi="Verdana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5900"/>
      </w:tblGrid>
      <w:tr w:rsidR="00951984" w:rsidRPr="001E3669" w14:paraId="6ACDDFBF" w14:textId="77777777" w:rsidTr="00F1548A">
        <w:tc>
          <w:tcPr>
            <w:tcW w:w="2149" w:type="dxa"/>
            <w:shd w:val="clear" w:color="auto" w:fill="auto"/>
            <w:vAlign w:val="center"/>
          </w:tcPr>
          <w:p w14:paraId="22C59DBE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2413654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7D00BD54" w14:textId="77777777" w:rsidTr="00F1548A">
        <w:tc>
          <w:tcPr>
            <w:tcW w:w="2149" w:type="dxa"/>
            <w:shd w:val="clear" w:color="auto" w:fill="auto"/>
            <w:vAlign w:val="center"/>
          </w:tcPr>
          <w:p w14:paraId="770D9B2B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6006B954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75CA8F00" w14:textId="77777777" w:rsidTr="00F1548A">
        <w:tc>
          <w:tcPr>
            <w:tcW w:w="2149" w:type="dxa"/>
            <w:shd w:val="clear" w:color="auto" w:fill="auto"/>
            <w:vAlign w:val="center"/>
          </w:tcPr>
          <w:p w14:paraId="206C3C59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353ED7B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1745B207" w14:textId="77777777" w:rsidTr="00F1548A">
        <w:tc>
          <w:tcPr>
            <w:tcW w:w="2149" w:type="dxa"/>
            <w:shd w:val="clear" w:color="auto" w:fill="auto"/>
            <w:vAlign w:val="center"/>
          </w:tcPr>
          <w:p w14:paraId="76DCF4FF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5AFE089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67CB6A3E" w14:textId="77777777" w:rsidR="00951984" w:rsidRDefault="00951984" w:rsidP="00951984">
      <w:pPr>
        <w:numPr>
          <w:ilvl w:val="0"/>
          <w:numId w:val="45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>
        <w:rPr>
          <w:rFonts w:ascii="Verdana" w:hAnsi="Verdana"/>
        </w:rPr>
        <w:t>specialista na mosty a inženýrské konstrukce</w:t>
      </w:r>
      <w:r w:rsidRPr="001E3669">
        <w:rPr>
          <w:rFonts w:ascii="Verdana" w:hAnsi="Verdana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5900"/>
      </w:tblGrid>
      <w:tr w:rsidR="00951984" w:rsidRPr="001E3669" w14:paraId="6FFE264E" w14:textId="77777777" w:rsidTr="00F1548A">
        <w:tc>
          <w:tcPr>
            <w:tcW w:w="2149" w:type="dxa"/>
            <w:shd w:val="clear" w:color="auto" w:fill="auto"/>
            <w:vAlign w:val="center"/>
          </w:tcPr>
          <w:p w14:paraId="01B7B31B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F5EB978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551F8F80" w14:textId="77777777" w:rsidTr="00F1548A">
        <w:tc>
          <w:tcPr>
            <w:tcW w:w="2149" w:type="dxa"/>
            <w:shd w:val="clear" w:color="auto" w:fill="auto"/>
            <w:vAlign w:val="center"/>
          </w:tcPr>
          <w:p w14:paraId="04107CE5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079408BB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17318A31" w14:textId="77777777" w:rsidTr="00F1548A">
        <w:tc>
          <w:tcPr>
            <w:tcW w:w="2149" w:type="dxa"/>
            <w:shd w:val="clear" w:color="auto" w:fill="auto"/>
            <w:vAlign w:val="center"/>
          </w:tcPr>
          <w:p w14:paraId="36D109BA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0C6EF173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4E3CB695" w14:textId="77777777" w:rsidTr="00F1548A">
        <w:tc>
          <w:tcPr>
            <w:tcW w:w="2149" w:type="dxa"/>
            <w:shd w:val="clear" w:color="auto" w:fill="auto"/>
            <w:vAlign w:val="center"/>
          </w:tcPr>
          <w:p w14:paraId="628F433B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2D130893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0A356167" w14:textId="77777777" w:rsidR="00951984" w:rsidRDefault="00951984" w:rsidP="00951984">
      <w:pPr>
        <w:numPr>
          <w:ilvl w:val="0"/>
          <w:numId w:val="45"/>
        </w:numPr>
        <w:spacing w:before="360" w:after="120" w:line="276" w:lineRule="auto"/>
        <w:ind w:left="425" w:hanging="357"/>
        <w:jc w:val="both"/>
        <w:rPr>
          <w:rFonts w:ascii="Verdana" w:hAnsi="Verdana"/>
        </w:rPr>
      </w:pPr>
      <w:r>
        <w:rPr>
          <w:rFonts w:ascii="Verdana" w:hAnsi="Verdana"/>
        </w:rPr>
        <w:t>specialista na mosty a inženýrské konstrukce</w:t>
      </w:r>
      <w:r w:rsidRPr="001E3669">
        <w:rPr>
          <w:rFonts w:ascii="Verdana" w:hAnsi="Verdana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5900"/>
      </w:tblGrid>
      <w:tr w:rsidR="00951984" w:rsidRPr="001E3669" w14:paraId="193B1170" w14:textId="77777777" w:rsidTr="00F1548A">
        <w:tc>
          <w:tcPr>
            <w:tcW w:w="2149" w:type="dxa"/>
            <w:shd w:val="clear" w:color="auto" w:fill="auto"/>
            <w:vAlign w:val="center"/>
          </w:tcPr>
          <w:p w14:paraId="3CE655C7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6B759752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6E54736B" w14:textId="77777777" w:rsidTr="00F1548A">
        <w:tc>
          <w:tcPr>
            <w:tcW w:w="2149" w:type="dxa"/>
            <w:shd w:val="clear" w:color="auto" w:fill="auto"/>
            <w:vAlign w:val="center"/>
          </w:tcPr>
          <w:p w14:paraId="0A18B7DA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151E894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538BEC4F" w14:textId="77777777" w:rsidTr="00F1548A">
        <w:tc>
          <w:tcPr>
            <w:tcW w:w="2149" w:type="dxa"/>
            <w:shd w:val="clear" w:color="auto" w:fill="auto"/>
            <w:vAlign w:val="center"/>
          </w:tcPr>
          <w:p w14:paraId="38DCC13D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07EE1442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7209A27C" w14:textId="77777777" w:rsidTr="00F1548A">
        <w:tc>
          <w:tcPr>
            <w:tcW w:w="2149" w:type="dxa"/>
            <w:shd w:val="clear" w:color="auto" w:fill="auto"/>
            <w:vAlign w:val="center"/>
          </w:tcPr>
          <w:p w14:paraId="39F585B7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B17905B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76AB6E6C" w14:textId="77777777" w:rsidR="00951984" w:rsidRPr="001E3669" w:rsidRDefault="00951984" w:rsidP="00951984">
      <w:pPr>
        <w:numPr>
          <w:ilvl w:val="0"/>
          <w:numId w:val="45"/>
        </w:numPr>
        <w:spacing w:before="360" w:after="120" w:line="276" w:lineRule="auto"/>
        <w:ind w:left="426"/>
        <w:jc w:val="both"/>
        <w:rPr>
          <w:rFonts w:ascii="Verdana" w:hAnsi="Verdana"/>
        </w:rPr>
      </w:pPr>
      <w:r>
        <w:rPr>
          <w:rFonts w:ascii="Verdana" w:hAnsi="Verdana"/>
          <w:bCs/>
        </w:rPr>
        <w:t xml:space="preserve">specialista v oboru </w:t>
      </w:r>
      <w:r w:rsidRPr="000A74BB">
        <w:rPr>
          <w:rFonts w:ascii="Verdana" w:hAnsi="Verdana"/>
          <w:bCs/>
        </w:rPr>
        <w:t>zkoušení a diagnostika staveb:</w:t>
      </w:r>
      <w:r w:rsidRPr="001E3669">
        <w:rPr>
          <w:rFonts w:ascii="Verdana" w:hAnsi="Verdana"/>
        </w:rPr>
        <w:t xml:space="preserve">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5900"/>
      </w:tblGrid>
      <w:tr w:rsidR="00951984" w:rsidRPr="001E3669" w14:paraId="23EBD57E" w14:textId="77777777" w:rsidTr="00F1548A">
        <w:tc>
          <w:tcPr>
            <w:tcW w:w="2149" w:type="dxa"/>
            <w:shd w:val="clear" w:color="auto" w:fill="auto"/>
            <w:vAlign w:val="center"/>
          </w:tcPr>
          <w:p w14:paraId="29B81D59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74A9967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15F17B2B" w14:textId="77777777" w:rsidTr="00F1548A">
        <w:tc>
          <w:tcPr>
            <w:tcW w:w="2149" w:type="dxa"/>
            <w:shd w:val="clear" w:color="auto" w:fill="auto"/>
            <w:vAlign w:val="center"/>
          </w:tcPr>
          <w:p w14:paraId="296A0AC8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642C637C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223F8AB2" w14:textId="77777777" w:rsidTr="00F1548A">
        <w:tc>
          <w:tcPr>
            <w:tcW w:w="2149" w:type="dxa"/>
            <w:shd w:val="clear" w:color="auto" w:fill="auto"/>
            <w:vAlign w:val="center"/>
          </w:tcPr>
          <w:p w14:paraId="6C0EE268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2109C0E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546EE78E" w14:textId="77777777" w:rsidTr="00F1548A">
        <w:tc>
          <w:tcPr>
            <w:tcW w:w="2149" w:type="dxa"/>
            <w:shd w:val="clear" w:color="auto" w:fill="auto"/>
            <w:vAlign w:val="center"/>
          </w:tcPr>
          <w:p w14:paraId="7AB89EAF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7AC9F7B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3DB6236E" w14:textId="77777777" w:rsidR="00951984" w:rsidRPr="001E3669" w:rsidRDefault="00951984" w:rsidP="00951984">
      <w:pPr>
        <w:numPr>
          <w:ilvl w:val="0"/>
          <w:numId w:val="45"/>
        </w:numPr>
        <w:spacing w:before="360" w:after="120" w:line="276" w:lineRule="auto"/>
        <w:ind w:left="426"/>
        <w:jc w:val="both"/>
        <w:rPr>
          <w:rFonts w:ascii="Verdana" w:hAnsi="Verdana"/>
        </w:rPr>
      </w:pPr>
      <w:r>
        <w:rPr>
          <w:rFonts w:ascii="Verdana" w:hAnsi="Verdana"/>
          <w:bCs/>
        </w:rPr>
        <w:t xml:space="preserve">korozní inženýr </w:t>
      </w:r>
      <w:proofErr w:type="spellStart"/>
      <w:r>
        <w:rPr>
          <w:rFonts w:ascii="Verdana" w:hAnsi="Verdana"/>
          <w:bCs/>
        </w:rPr>
        <w:t>Kl</w:t>
      </w:r>
      <w:proofErr w:type="spellEnd"/>
      <w:r>
        <w:rPr>
          <w:rFonts w:ascii="Verdana" w:hAnsi="Verdana"/>
          <w:bCs/>
        </w:rPr>
        <w:t xml:space="preserve"> </w:t>
      </w:r>
      <w:proofErr w:type="spellStart"/>
      <w:r>
        <w:rPr>
          <w:rFonts w:ascii="Verdana" w:hAnsi="Verdana"/>
          <w:bCs/>
        </w:rPr>
        <w:t>del</w:t>
      </w:r>
      <w:proofErr w:type="spellEnd"/>
      <w:r>
        <w:rPr>
          <w:rFonts w:ascii="Verdana" w:hAnsi="Verdana"/>
          <w:bCs/>
        </w:rPr>
        <w:t xml:space="preserve"> </w:t>
      </w:r>
      <w:proofErr w:type="spellStart"/>
      <w:r>
        <w:rPr>
          <w:rFonts w:ascii="Verdana" w:hAnsi="Verdana"/>
          <w:bCs/>
        </w:rPr>
        <w:t>Std</w:t>
      </w:r>
      <w:proofErr w:type="spellEnd"/>
      <w:r>
        <w:rPr>
          <w:rFonts w:ascii="Verdana" w:hAnsi="Verdana"/>
          <w:bCs/>
        </w:rPr>
        <w:t xml:space="preserve"> – 401 APC nebo inspektor FROSIO level 3 </w:t>
      </w:r>
      <w:proofErr w:type="spellStart"/>
      <w:r>
        <w:rPr>
          <w:rFonts w:ascii="Verdana" w:hAnsi="Verdana"/>
          <w:bCs/>
        </w:rPr>
        <w:t>del</w:t>
      </w:r>
      <w:proofErr w:type="spellEnd"/>
      <w:r>
        <w:rPr>
          <w:rFonts w:ascii="Verdana" w:hAnsi="Verdana"/>
          <w:bCs/>
        </w:rPr>
        <w:t xml:space="preserve"> NS 476 nebo Inspektor NACE level 3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5900"/>
      </w:tblGrid>
      <w:tr w:rsidR="00951984" w:rsidRPr="001E3669" w14:paraId="12CBCFFB" w14:textId="77777777" w:rsidTr="00F1548A">
        <w:tc>
          <w:tcPr>
            <w:tcW w:w="2149" w:type="dxa"/>
            <w:shd w:val="clear" w:color="auto" w:fill="auto"/>
            <w:vAlign w:val="center"/>
          </w:tcPr>
          <w:p w14:paraId="0F79FB92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55B4C3E3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07363E50" w14:textId="77777777" w:rsidTr="00F1548A">
        <w:tc>
          <w:tcPr>
            <w:tcW w:w="2149" w:type="dxa"/>
            <w:shd w:val="clear" w:color="auto" w:fill="auto"/>
            <w:vAlign w:val="center"/>
          </w:tcPr>
          <w:p w14:paraId="2FF694F8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21BDBE32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076853DA" w14:textId="77777777" w:rsidTr="00F1548A">
        <w:tc>
          <w:tcPr>
            <w:tcW w:w="2149" w:type="dxa"/>
            <w:shd w:val="clear" w:color="auto" w:fill="auto"/>
            <w:vAlign w:val="center"/>
          </w:tcPr>
          <w:p w14:paraId="470134BD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145120E9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4FBE8502" w14:textId="77777777" w:rsidTr="00F1548A">
        <w:tc>
          <w:tcPr>
            <w:tcW w:w="2149" w:type="dxa"/>
            <w:shd w:val="clear" w:color="auto" w:fill="auto"/>
            <w:vAlign w:val="center"/>
          </w:tcPr>
          <w:p w14:paraId="4865976E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176" w:type="dxa"/>
            <w:shd w:val="clear" w:color="auto" w:fill="auto"/>
            <w:vAlign w:val="center"/>
          </w:tcPr>
          <w:p w14:paraId="7C6F2A81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5B01782A" w14:textId="77777777" w:rsidR="00951984" w:rsidRPr="000A74BB" w:rsidRDefault="00951984" w:rsidP="00951984">
      <w:pPr>
        <w:numPr>
          <w:ilvl w:val="0"/>
          <w:numId w:val="45"/>
        </w:numPr>
        <w:spacing w:before="360" w:after="120" w:line="276" w:lineRule="auto"/>
        <w:ind w:left="426"/>
        <w:jc w:val="both"/>
        <w:rPr>
          <w:rFonts w:ascii="Verdana" w:hAnsi="Verdana"/>
        </w:rPr>
      </w:pPr>
      <w:r w:rsidRPr="000A74BB">
        <w:rPr>
          <w:rFonts w:ascii="Verdana" w:hAnsi="Verdana"/>
          <w:bCs/>
        </w:rPr>
        <w:lastRenderedPageBreak/>
        <w:t>řízení prací v kolejišti (se zkouškou M02 dle ZAM1):</w:t>
      </w:r>
      <w:r w:rsidRPr="000A74BB">
        <w:rPr>
          <w:rFonts w:ascii="Verdana" w:hAnsi="Verdana"/>
        </w:rPr>
        <w:t xml:space="preserve">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5899"/>
      </w:tblGrid>
      <w:tr w:rsidR="00951984" w:rsidRPr="001E3669" w14:paraId="35835B0E" w14:textId="77777777" w:rsidTr="00F1548A">
        <w:tc>
          <w:tcPr>
            <w:tcW w:w="2206" w:type="dxa"/>
            <w:shd w:val="clear" w:color="auto" w:fill="auto"/>
            <w:vAlign w:val="center"/>
          </w:tcPr>
          <w:p w14:paraId="626BC650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5BA3C9D8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431886A4" w14:textId="77777777" w:rsidTr="00F1548A">
        <w:tc>
          <w:tcPr>
            <w:tcW w:w="2206" w:type="dxa"/>
            <w:shd w:val="clear" w:color="auto" w:fill="auto"/>
            <w:vAlign w:val="center"/>
          </w:tcPr>
          <w:p w14:paraId="0B48FE08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0A46397F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34AD3248" w14:textId="77777777" w:rsidTr="00F1548A">
        <w:tc>
          <w:tcPr>
            <w:tcW w:w="2206" w:type="dxa"/>
            <w:shd w:val="clear" w:color="auto" w:fill="auto"/>
            <w:vAlign w:val="center"/>
          </w:tcPr>
          <w:p w14:paraId="1EF222B0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4A297CFF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  <w:tr w:rsidR="00951984" w:rsidRPr="001E3669" w14:paraId="0C1B44FE" w14:textId="77777777" w:rsidTr="00F1548A">
        <w:tc>
          <w:tcPr>
            <w:tcW w:w="2206" w:type="dxa"/>
            <w:shd w:val="clear" w:color="auto" w:fill="auto"/>
            <w:vAlign w:val="center"/>
          </w:tcPr>
          <w:p w14:paraId="736EC05B" w14:textId="77777777" w:rsidR="00951984" w:rsidRPr="001E3669" w:rsidRDefault="00951984" w:rsidP="00F1548A">
            <w:pPr>
              <w:pStyle w:val="RLTextlnku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Verdana" w:hAnsi="Verdana"/>
                <w:sz w:val="18"/>
                <w:szCs w:val="18"/>
                <w:lang w:val="cs-CZ" w:eastAsia="cs-CZ"/>
              </w:rPr>
            </w:pPr>
            <w:r w:rsidRPr="001E3669">
              <w:rPr>
                <w:rFonts w:ascii="Verdana" w:hAnsi="Verdana"/>
                <w:sz w:val="18"/>
                <w:szCs w:val="18"/>
                <w:lang w:val="cs-CZ" w:eastAsia="cs-CZ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7AD658D8" w14:textId="77777777" w:rsidR="00951984" w:rsidRPr="00951984" w:rsidRDefault="00951984" w:rsidP="00F1548A">
            <w:pPr>
              <w:pStyle w:val="doplnuchaze"/>
              <w:spacing w:line="276" w:lineRule="auto"/>
              <w:jc w:val="left"/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</w:pP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begin"/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instrText xml:space="preserve"> MACROBUTTON  VložitŠirokouMezeru "[VLOŽÍ ZHOTOVITEL]" </w:instrText>
            </w:r>
            <w:r w:rsidRPr="00951984">
              <w:rPr>
                <w:rFonts w:ascii="Verdana" w:hAnsi="Verdana"/>
                <w:sz w:val="18"/>
                <w:szCs w:val="18"/>
                <w:highlight w:val="yellow"/>
                <w:lang w:val="cs-CZ" w:eastAsia="cs-CZ"/>
              </w:rPr>
              <w:fldChar w:fldCharType="end"/>
            </w:r>
          </w:p>
        </w:tc>
      </w:tr>
    </w:tbl>
    <w:p w14:paraId="0D3274C1" w14:textId="77777777" w:rsidR="00951984" w:rsidRPr="001E3669" w:rsidRDefault="00951984" w:rsidP="00951984">
      <w:pPr>
        <w:spacing w:before="360" w:after="0" w:line="276" w:lineRule="auto"/>
        <w:ind w:left="426"/>
        <w:jc w:val="both"/>
        <w:rPr>
          <w:rFonts w:ascii="Verdana" w:hAnsi="Verdana"/>
        </w:rPr>
      </w:pPr>
      <w:r w:rsidRPr="001E3669">
        <w:rPr>
          <w:rFonts w:ascii="Verdana" w:hAnsi="Verdana"/>
        </w:rPr>
        <w:t>Osoby oprávněné jednat ve věcech smluvních a obchodních jsou oprávněny v rámci této Smlouvy vést s druhou stranou jednání obchodního a smluvního charakteru.</w:t>
      </w:r>
    </w:p>
    <w:p w14:paraId="63B5D798" w14:textId="77777777" w:rsidR="00951984" w:rsidRPr="001E3669" w:rsidRDefault="00951984" w:rsidP="00951984">
      <w:pPr>
        <w:spacing w:line="276" w:lineRule="auto"/>
        <w:ind w:left="426"/>
        <w:jc w:val="both"/>
        <w:rPr>
          <w:rFonts w:ascii="Verdana" w:hAnsi="Verdana"/>
        </w:rPr>
      </w:pPr>
    </w:p>
    <w:p w14:paraId="521CC6FF" w14:textId="77777777" w:rsidR="00951984" w:rsidRPr="001E3669" w:rsidRDefault="00951984" w:rsidP="00951984">
      <w:pPr>
        <w:spacing w:line="276" w:lineRule="auto"/>
        <w:ind w:left="426"/>
        <w:jc w:val="both"/>
        <w:rPr>
          <w:rFonts w:ascii="Verdana" w:hAnsi="Verdana"/>
        </w:rPr>
      </w:pPr>
      <w:r w:rsidRPr="001E3669">
        <w:rPr>
          <w:rFonts w:ascii="Verdana" w:hAnsi="Verdana"/>
        </w:rPr>
        <w:t>Osoby oprávněné jednat ve věcech technických jsou oprávněny v rámci této Smlouvy vést s druhou stranou jednání technického charakteru. Dále jsou oprávněny provádět činnosti a úkony, o nichž to stanoví tato Smlouva.</w:t>
      </w:r>
    </w:p>
    <w:p w14:paraId="3B9C8AD9" w14:textId="488E57BE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2BCFCEAC" w:rsidR="00C570B4" w:rsidRDefault="00C570B4" w:rsidP="00C570B4">
      <w:pPr>
        <w:pStyle w:val="Nadpisbezsl1-2"/>
        <w:rPr>
          <w:sz w:val="18"/>
        </w:rPr>
      </w:pPr>
      <w:r w:rsidRPr="002E68D3">
        <w:rPr>
          <w:sz w:val="18"/>
        </w:rPr>
        <w:t xml:space="preserve">Seznam </w:t>
      </w:r>
      <w:r w:rsidR="002E68D3" w:rsidRPr="002E68D3">
        <w:rPr>
          <w:sz w:val="18"/>
        </w:rPr>
        <w:t>pojištění</w:t>
      </w:r>
    </w:p>
    <w:p w14:paraId="5E387499" w14:textId="77777777" w:rsidR="002E68D3" w:rsidRPr="00C80538" w:rsidRDefault="002E68D3" w:rsidP="00C570B4">
      <w:pPr>
        <w:pStyle w:val="Nadpisbezsl1-2"/>
        <w:rPr>
          <w:sz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3493"/>
      </w:tblGrid>
      <w:tr w:rsidR="002E68D3" w:rsidRPr="001E3669" w14:paraId="30B3930E" w14:textId="77777777" w:rsidTr="002E68D3">
        <w:tc>
          <w:tcPr>
            <w:tcW w:w="4729" w:type="dxa"/>
            <w:tcBorders>
              <w:bottom w:val="single" w:sz="4" w:space="0" w:color="auto"/>
            </w:tcBorders>
            <w:shd w:val="clear" w:color="auto" w:fill="BFBFBF"/>
          </w:tcPr>
          <w:p w14:paraId="4B9D824C" w14:textId="77777777" w:rsidR="002E68D3" w:rsidRPr="001E3669" w:rsidRDefault="002E68D3" w:rsidP="00F1548A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1E3669">
              <w:rPr>
                <w:rFonts w:ascii="Verdana" w:hAnsi="Verdana"/>
                <w:b/>
              </w:rPr>
              <w:t>DRUH POJIŠTĚNÍ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BFBFBF"/>
          </w:tcPr>
          <w:p w14:paraId="749C714D" w14:textId="77777777" w:rsidR="002E68D3" w:rsidRPr="001E3669" w:rsidRDefault="002E68D3" w:rsidP="00F1548A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1E3669">
              <w:rPr>
                <w:rFonts w:ascii="Verdana" w:hAnsi="Verdana"/>
                <w:b/>
              </w:rPr>
              <w:t>MINIMÁLNÍ VÝŠE POJISTNÉHO PLNĚNÍ</w:t>
            </w:r>
          </w:p>
        </w:tc>
      </w:tr>
      <w:tr w:rsidR="002E68D3" w:rsidRPr="001E3669" w14:paraId="187C1C7B" w14:textId="77777777" w:rsidTr="002E68D3">
        <w:tc>
          <w:tcPr>
            <w:tcW w:w="4729" w:type="dxa"/>
            <w:shd w:val="clear" w:color="auto" w:fill="auto"/>
          </w:tcPr>
          <w:p w14:paraId="741D5221" w14:textId="77777777" w:rsidR="002E68D3" w:rsidRPr="001E3669" w:rsidRDefault="002E68D3" w:rsidP="00F1548A">
            <w:pPr>
              <w:spacing w:line="276" w:lineRule="auto"/>
              <w:rPr>
                <w:rFonts w:ascii="Verdana" w:hAnsi="Verdana"/>
                <w:b/>
              </w:rPr>
            </w:pPr>
            <w:r w:rsidRPr="001E3669">
              <w:rPr>
                <w:rFonts w:ascii="Verdana" w:hAnsi="Verdana"/>
              </w:rPr>
              <w:t>Pojištění odpovědnosti za škodu způsobenou Zhotovitelem při výkonu podnikatelské činnosti třetím osobám</w:t>
            </w:r>
          </w:p>
        </w:tc>
        <w:tc>
          <w:tcPr>
            <w:tcW w:w="3493" w:type="dxa"/>
            <w:shd w:val="clear" w:color="auto" w:fill="auto"/>
          </w:tcPr>
          <w:p w14:paraId="23E4B839" w14:textId="77777777" w:rsidR="002E68D3" w:rsidRPr="001E3669" w:rsidRDefault="002E68D3" w:rsidP="00F1548A">
            <w:pPr>
              <w:spacing w:line="276" w:lineRule="auto"/>
              <w:rPr>
                <w:rFonts w:ascii="Verdana" w:hAnsi="Verdana"/>
                <w:b/>
              </w:rPr>
            </w:pPr>
            <w:r w:rsidRPr="000A74BB">
              <w:rPr>
                <w:rFonts w:ascii="Verdana" w:hAnsi="Verdana"/>
              </w:rPr>
              <w:t>Min. ve výši 10 mil. Kč bez DPH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62D9BE1" w:rsidR="00C570B4" w:rsidRDefault="00C570B4" w:rsidP="00C570B4">
      <w:pPr>
        <w:pStyle w:val="Nadpisbezsl1-1"/>
      </w:pPr>
      <w:r>
        <w:lastRenderedPageBreak/>
        <w:t>Příloha č. 6</w:t>
      </w:r>
    </w:p>
    <w:p w14:paraId="28D4E8F3" w14:textId="77777777" w:rsidR="002E68D3" w:rsidRDefault="002E68D3" w:rsidP="002E68D3">
      <w:pPr>
        <w:spacing w:line="276" w:lineRule="auto"/>
        <w:rPr>
          <w:rFonts w:ascii="Verdana" w:hAnsi="Verdana"/>
          <w:b/>
        </w:rPr>
      </w:pPr>
      <w:r w:rsidRPr="001E3669">
        <w:rPr>
          <w:rFonts w:ascii="Verdana" w:hAnsi="Verdana"/>
          <w:b/>
        </w:rPr>
        <w:t xml:space="preserve">Seznam </w:t>
      </w:r>
      <w:r>
        <w:rPr>
          <w:rFonts w:ascii="Verdana" w:hAnsi="Verdana"/>
          <w:b/>
        </w:rPr>
        <w:t xml:space="preserve">poddodavatelů </w:t>
      </w:r>
    </w:p>
    <w:tbl>
      <w:tblPr>
        <w:tblW w:w="9067" w:type="dxa"/>
        <w:tblLayout w:type="fixed"/>
        <w:tblLook w:val="00A0" w:firstRow="1" w:lastRow="0" w:firstColumn="1" w:lastColumn="0" w:noHBand="0" w:noVBand="0"/>
      </w:tblPr>
      <w:tblGrid>
        <w:gridCol w:w="3510"/>
        <w:gridCol w:w="3119"/>
        <w:gridCol w:w="2438"/>
      </w:tblGrid>
      <w:tr w:rsidR="002E68D3" w:rsidRPr="001E3669" w14:paraId="73A5EC73" w14:textId="77777777" w:rsidTr="002E68D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252D880" w14:textId="77777777" w:rsidR="002E68D3" w:rsidRPr="001E3669" w:rsidRDefault="002E68D3" w:rsidP="00F1548A">
            <w:pPr>
              <w:spacing w:after="0" w:line="276" w:lineRule="auto"/>
              <w:rPr>
                <w:rFonts w:ascii="Verdana" w:hAnsi="Verdana" w:cs="Calibri"/>
                <w:b/>
                <w:bCs/>
              </w:rPr>
            </w:pPr>
            <w:r>
              <w:rPr>
                <w:rFonts w:ascii="Verdana" w:hAnsi="Verdana" w:cs="Calibri"/>
                <w:b/>
                <w:bCs/>
              </w:rPr>
              <w:t>IDENTIFIKACE POD</w:t>
            </w:r>
            <w:r w:rsidRPr="001E3669">
              <w:rPr>
                <w:rFonts w:ascii="Verdana" w:hAnsi="Verdana" w:cs="Calibri"/>
                <w:b/>
                <w:bCs/>
              </w:rPr>
              <w:t>DODAVATELE</w:t>
            </w:r>
          </w:p>
          <w:p w14:paraId="1F4894B9" w14:textId="77777777" w:rsidR="002E68D3" w:rsidRPr="001E3669" w:rsidRDefault="002E68D3" w:rsidP="00F1548A">
            <w:pPr>
              <w:spacing w:after="0" w:line="276" w:lineRule="auto"/>
              <w:rPr>
                <w:rFonts w:ascii="Verdana" w:hAnsi="Verdana" w:cs="Calibri"/>
                <w:b/>
                <w:bCs/>
              </w:rPr>
            </w:pPr>
            <w:r w:rsidRPr="001E3669">
              <w:rPr>
                <w:rFonts w:ascii="Verdana" w:hAnsi="Verdana" w:cs="Calibri"/>
                <w:b/>
                <w:bCs/>
              </w:rPr>
              <w:t>(obchodní firma, sídlo a IČO)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E7E381A" w14:textId="77777777" w:rsidR="002E68D3" w:rsidRPr="001E3669" w:rsidRDefault="002E68D3" w:rsidP="00F1548A">
            <w:pPr>
              <w:spacing w:after="0" w:line="276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1E3669">
              <w:rPr>
                <w:rFonts w:ascii="Verdana" w:hAnsi="Verdana" w:cs="Calibri"/>
                <w:b/>
                <w:bCs/>
              </w:rPr>
              <w:t>VĚCNÝ ROZSAH SUBDODÁVKY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B3B0E72" w14:textId="77777777" w:rsidR="002E68D3" w:rsidRPr="001E3669" w:rsidRDefault="002E68D3" w:rsidP="00F1548A">
            <w:pPr>
              <w:spacing w:after="0" w:line="276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1E3669">
              <w:rPr>
                <w:rFonts w:ascii="Verdana" w:hAnsi="Verdana" w:cs="Calibri"/>
                <w:b/>
                <w:bCs/>
              </w:rPr>
              <w:t xml:space="preserve">HODNOTA </w:t>
            </w:r>
            <w:r>
              <w:rPr>
                <w:rFonts w:ascii="Verdana" w:hAnsi="Verdana" w:cs="Calibri"/>
                <w:b/>
                <w:bCs/>
              </w:rPr>
              <w:t>POD</w:t>
            </w:r>
            <w:r w:rsidRPr="001E3669">
              <w:rPr>
                <w:rFonts w:ascii="Verdana" w:hAnsi="Verdana" w:cs="Calibri"/>
                <w:b/>
                <w:bCs/>
              </w:rPr>
              <w:t>DODÁVKY V % Z</w:t>
            </w:r>
            <w:r>
              <w:rPr>
                <w:rFonts w:ascii="Verdana" w:hAnsi="Verdana" w:cs="Calibri"/>
                <w:b/>
                <w:bCs/>
              </w:rPr>
              <w:t xml:space="preserve"> NABÍDKOVÉ </w:t>
            </w:r>
            <w:r w:rsidRPr="001E3669">
              <w:rPr>
                <w:rFonts w:ascii="Verdana" w:hAnsi="Verdana" w:cs="Calibri"/>
                <w:b/>
                <w:bCs/>
              </w:rPr>
              <w:t xml:space="preserve">CENY </w:t>
            </w:r>
          </w:p>
        </w:tc>
      </w:tr>
      <w:tr w:rsidR="002E68D3" w:rsidRPr="002E68D3" w14:paraId="13EBB285" w14:textId="77777777" w:rsidTr="002E6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vAlign w:val="center"/>
          </w:tcPr>
          <w:p w14:paraId="3F6CEB18" w14:textId="77777777" w:rsidR="002E68D3" w:rsidRPr="002E68D3" w:rsidRDefault="002E68D3" w:rsidP="00F1548A">
            <w:pPr>
              <w:spacing w:line="276" w:lineRule="auto"/>
              <w:rPr>
                <w:rFonts w:ascii="Verdana" w:hAnsi="Verdana" w:cs="Calibri"/>
                <w:highlight w:val="yellow"/>
              </w:rPr>
            </w:pPr>
            <w:r w:rsidRPr="002E68D3">
              <w:rPr>
                <w:rFonts w:ascii="Verdana" w:hAnsi="Verdana" w:cs="Calibri"/>
                <w:b/>
                <w:highlight w:val="yellow"/>
              </w:rPr>
              <w:fldChar w:fldCharType="begin"/>
            </w:r>
            <w:r w:rsidRPr="002E68D3">
              <w:rPr>
                <w:rFonts w:ascii="Verdana" w:hAnsi="Verdana" w:cs="Calibri"/>
                <w:b/>
                <w:highlight w:val="yellow"/>
              </w:rPr>
              <w:instrText xml:space="preserve"> MACROBUTTON  VložitŠirokouMezeru "[VLOŽÍ ZHOTOVITEL]" </w:instrText>
            </w:r>
            <w:r w:rsidRPr="002E68D3">
              <w:rPr>
                <w:rFonts w:ascii="Verdana" w:hAnsi="Verdana" w:cs="Calibri"/>
                <w:highlight w:val="yellow"/>
              </w:rPr>
              <w:fldChar w:fldCharType="end"/>
            </w:r>
          </w:p>
        </w:tc>
        <w:tc>
          <w:tcPr>
            <w:tcW w:w="3119" w:type="dxa"/>
          </w:tcPr>
          <w:p w14:paraId="5083C02C" w14:textId="77777777" w:rsidR="002E68D3" w:rsidRPr="002E68D3" w:rsidRDefault="002E68D3" w:rsidP="00F1548A">
            <w:pPr>
              <w:spacing w:line="276" w:lineRule="auto"/>
              <w:jc w:val="center"/>
              <w:rPr>
                <w:rFonts w:ascii="Verdana" w:hAnsi="Verdana" w:cs="Calibri"/>
                <w:highlight w:val="yellow"/>
              </w:rPr>
            </w:pPr>
            <w:r w:rsidRPr="002E68D3">
              <w:rPr>
                <w:rFonts w:ascii="Verdana" w:hAnsi="Verdana"/>
                <w:b/>
                <w:highlight w:val="yellow"/>
              </w:rPr>
              <w:fldChar w:fldCharType="begin"/>
            </w:r>
            <w:r w:rsidRPr="002E68D3">
              <w:rPr>
                <w:rFonts w:ascii="Verdana" w:hAnsi="Verdana"/>
                <w:b/>
                <w:highlight w:val="yellow"/>
              </w:rPr>
              <w:instrText xml:space="preserve"> MACROBUTTON  VložitŠirokouMezeru "[VLOŽÍ ZHOTOVITEL]" </w:instrText>
            </w:r>
            <w:r w:rsidRPr="002E68D3">
              <w:rPr>
                <w:rFonts w:ascii="Verdana" w:hAnsi="Verdana"/>
                <w:b/>
                <w:highlight w:val="yellow"/>
              </w:rPr>
              <w:fldChar w:fldCharType="end"/>
            </w:r>
          </w:p>
        </w:tc>
        <w:tc>
          <w:tcPr>
            <w:tcW w:w="2438" w:type="dxa"/>
          </w:tcPr>
          <w:p w14:paraId="69704A9F" w14:textId="77777777" w:rsidR="002E68D3" w:rsidRPr="002E68D3" w:rsidRDefault="002E68D3" w:rsidP="00F1548A">
            <w:pPr>
              <w:spacing w:line="276" w:lineRule="auto"/>
              <w:jc w:val="center"/>
              <w:rPr>
                <w:rFonts w:ascii="Verdana" w:hAnsi="Verdana" w:cs="Calibri"/>
                <w:highlight w:val="yellow"/>
              </w:rPr>
            </w:pPr>
            <w:r w:rsidRPr="002E68D3">
              <w:rPr>
                <w:rFonts w:ascii="Verdana" w:hAnsi="Verdana" w:cs="Calibri"/>
                <w:b/>
                <w:highlight w:val="yellow"/>
              </w:rPr>
              <w:fldChar w:fldCharType="begin"/>
            </w:r>
            <w:r w:rsidRPr="002E68D3">
              <w:rPr>
                <w:rFonts w:ascii="Verdana" w:hAnsi="Verdana" w:cs="Calibri"/>
                <w:b/>
                <w:highlight w:val="yellow"/>
              </w:rPr>
              <w:instrText xml:space="preserve"> MACROBUTTON  VložitŠirokouMezeru "[VLOŽÍ ZHOTOVITEL]" </w:instrText>
            </w:r>
            <w:r w:rsidRPr="002E68D3">
              <w:rPr>
                <w:rFonts w:ascii="Verdana" w:hAnsi="Verdana" w:cs="Calibri"/>
                <w:highlight w:val="yellow"/>
              </w:rPr>
              <w:fldChar w:fldCharType="end"/>
            </w:r>
          </w:p>
        </w:tc>
      </w:tr>
      <w:tr w:rsidR="002E68D3" w:rsidRPr="001E3669" w14:paraId="6B738B60" w14:textId="77777777" w:rsidTr="002E6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vAlign w:val="center"/>
          </w:tcPr>
          <w:p w14:paraId="542C5C5A" w14:textId="77777777" w:rsidR="002E68D3" w:rsidRPr="002E68D3" w:rsidRDefault="002E68D3" w:rsidP="00F1548A">
            <w:pPr>
              <w:spacing w:line="276" w:lineRule="auto"/>
              <w:rPr>
                <w:rFonts w:ascii="Verdana" w:hAnsi="Verdana" w:cs="Calibri"/>
                <w:highlight w:val="yellow"/>
              </w:rPr>
            </w:pPr>
            <w:r w:rsidRPr="002E68D3">
              <w:rPr>
                <w:rFonts w:ascii="Verdana" w:hAnsi="Verdana" w:cs="Calibri"/>
                <w:b/>
                <w:highlight w:val="yellow"/>
              </w:rPr>
              <w:fldChar w:fldCharType="begin"/>
            </w:r>
            <w:r w:rsidRPr="002E68D3">
              <w:rPr>
                <w:rFonts w:ascii="Verdana" w:hAnsi="Verdana" w:cs="Calibri"/>
                <w:b/>
                <w:highlight w:val="yellow"/>
              </w:rPr>
              <w:instrText xml:space="preserve"> MACROBUTTON  VložitŠirokouMezeru "[VLOŽÍ ZHOTOVITEL]" </w:instrText>
            </w:r>
            <w:r w:rsidRPr="002E68D3">
              <w:rPr>
                <w:rFonts w:ascii="Verdana" w:hAnsi="Verdana" w:cs="Calibri"/>
                <w:highlight w:val="yellow"/>
              </w:rPr>
              <w:fldChar w:fldCharType="end"/>
            </w:r>
          </w:p>
        </w:tc>
        <w:tc>
          <w:tcPr>
            <w:tcW w:w="3119" w:type="dxa"/>
          </w:tcPr>
          <w:p w14:paraId="44DFBFD6" w14:textId="77777777" w:rsidR="002E68D3" w:rsidRPr="002E68D3" w:rsidRDefault="002E68D3" w:rsidP="00F1548A">
            <w:pPr>
              <w:spacing w:line="276" w:lineRule="auto"/>
              <w:jc w:val="center"/>
              <w:rPr>
                <w:rFonts w:ascii="Verdana" w:hAnsi="Verdana" w:cs="Calibri"/>
                <w:highlight w:val="yellow"/>
              </w:rPr>
            </w:pPr>
            <w:r w:rsidRPr="002E68D3">
              <w:rPr>
                <w:rFonts w:ascii="Verdana" w:hAnsi="Verdana"/>
                <w:b/>
                <w:highlight w:val="yellow"/>
              </w:rPr>
              <w:fldChar w:fldCharType="begin"/>
            </w:r>
            <w:r w:rsidRPr="002E68D3">
              <w:rPr>
                <w:rFonts w:ascii="Verdana" w:hAnsi="Verdana"/>
                <w:b/>
                <w:highlight w:val="yellow"/>
              </w:rPr>
              <w:instrText xml:space="preserve"> MACROBUTTON  VložitŠirokouMezeru "[VLOŽÍ ZHOTOVITEL]" </w:instrText>
            </w:r>
            <w:r w:rsidRPr="002E68D3">
              <w:rPr>
                <w:rFonts w:ascii="Verdana" w:hAnsi="Verdana"/>
                <w:b/>
                <w:highlight w:val="yellow"/>
              </w:rPr>
              <w:fldChar w:fldCharType="end"/>
            </w:r>
          </w:p>
        </w:tc>
        <w:tc>
          <w:tcPr>
            <w:tcW w:w="2438" w:type="dxa"/>
          </w:tcPr>
          <w:p w14:paraId="56CF5819" w14:textId="77777777" w:rsidR="002E68D3" w:rsidRPr="002E68D3" w:rsidRDefault="002E68D3" w:rsidP="00F1548A">
            <w:pPr>
              <w:spacing w:line="276" w:lineRule="auto"/>
              <w:jc w:val="center"/>
              <w:rPr>
                <w:rFonts w:ascii="Verdana" w:hAnsi="Verdana" w:cs="Calibri"/>
                <w:highlight w:val="yellow"/>
              </w:rPr>
            </w:pPr>
            <w:r w:rsidRPr="002E68D3">
              <w:rPr>
                <w:rFonts w:ascii="Verdana" w:hAnsi="Verdana"/>
                <w:b/>
                <w:highlight w:val="yellow"/>
              </w:rPr>
              <w:fldChar w:fldCharType="begin"/>
            </w:r>
            <w:r w:rsidRPr="002E68D3">
              <w:rPr>
                <w:rFonts w:ascii="Verdana" w:hAnsi="Verdana"/>
                <w:b/>
                <w:highlight w:val="yellow"/>
              </w:rPr>
              <w:instrText xml:space="preserve"> MACROBUTTON  VložitŠirokouMezeru "[VLOŽÍ ZHOTOVITEL]" </w:instrText>
            </w:r>
            <w:r w:rsidRPr="002E68D3">
              <w:rPr>
                <w:rFonts w:ascii="Verdana" w:hAnsi="Verdana"/>
                <w:b/>
                <w:highlight w:val="yellow"/>
              </w:rPr>
              <w:fldChar w:fldCharType="end"/>
            </w:r>
          </w:p>
        </w:tc>
      </w:tr>
    </w:tbl>
    <w:p w14:paraId="4EC203CB" w14:textId="77777777" w:rsidR="002E68D3" w:rsidRDefault="002E68D3" w:rsidP="00C570B4">
      <w:pPr>
        <w:pStyle w:val="Nadpisbezsl1-1"/>
      </w:pPr>
    </w:p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59D39A80" w14:textId="77777777" w:rsidR="002E68D3" w:rsidRDefault="002E68D3" w:rsidP="00E650B8">
      <w:pPr>
        <w:pStyle w:val="Tabulka"/>
        <w:jc w:val="left"/>
        <w:rPr>
          <w:bCs/>
          <w:highlight w:val="cyan"/>
        </w:rPr>
        <w:sectPr w:rsidR="002E68D3" w:rsidSect="00375810">
          <w:headerReference w:type="default" r:id="rId21"/>
          <w:footerReference w:type="default" r:id="rId22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7F237A0" w14:textId="7656D040" w:rsidR="002E68D3" w:rsidRDefault="002E68D3" w:rsidP="002E68D3">
      <w:pPr>
        <w:pStyle w:val="Nadpisbezsl1-1"/>
      </w:pPr>
      <w:r>
        <w:lastRenderedPageBreak/>
        <w:t>Příloha č. 7</w:t>
      </w:r>
    </w:p>
    <w:p w14:paraId="37FF7364" w14:textId="556BEADC" w:rsidR="00B96257" w:rsidRPr="002E68D3" w:rsidRDefault="002E68D3" w:rsidP="00E650B8">
      <w:pPr>
        <w:pStyle w:val="Tabulka"/>
        <w:jc w:val="left"/>
        <w:rPr>
          <w:rFonts w:ascii="Verdana" w:hAnsi="Verdana"/>
          <w:b/>
        </w:rPr>
      </w:pPr>
      <w:r w:rsidRPr="002E68D3">
        <w:rPr>
          <w:rFonts w:ascii="Verdana" w:hAnsi="Verdana"/>
          <w:b/>
        </w:rPr>
        <w:t>Plná moc</w:t>
      </w:r>
    </w:p>
    <w:sectPr w:rsidR="00B96257" w:rsidRPr="002E68D3" w:rsidSect="00375810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70803742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7D083E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480A4F7E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D083E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4656A023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D08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E1D075C" w:rsidR="00C570B4" w:rsidRPr="00460660" w:rsidRDefault="002E68D3">
    <w:pPr>
      <w:pStyle w:val="Zpat"/>
      <w:rPr>
        <w:sz w:val="2"/>
        <w:szCs w:val="2"/>
      </w:rPr>
    </w:pPr>
    <w:r>
      <w:tab/>
    </w:r>
    <w:r>
      <w:tab/>
      <w:t>SMLOUVA O DÍLO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53714D8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997D16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2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EEB"/>
    <w:multiLevelType w:val="hybridMultilevel"/>
    <w:tmpl w:val="F66AC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B081E"/>
    <w:multiLevelType w:val="hybridMultilevel"/>
    <w:tmpl w:val="86ECA00C"/>
    <w:lvl w:ilvl="0" w:tplc="177A1C2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E7EE3480"/>
    <w:lvl w:ilvl="0">
      <w:start w:val="1"/>
      <w:numFmt w:val="decimal"/>
      <w:pStyle w:val="RLlneksmlouvy"/>
      <w:lvlText w:val="%1."/>
      <w:lvlJc w:val="left"/>
      <w:pPr>
        <w:tabs>
          <w:tab w:val="num" w:pos="879"/>
        </w:tabs>
        <w:ind w:left="879" w:hanging="737"/>
      </w:pPr>
      <w:rPr>
        <w:rFonts w:ascii="Verdana" w:hAnsi="Verdana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616"/>
        </w:tabs>
        <w:ind w:left="1616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53"/>
        </w:tabs>
        <w:ind w:left="2353" w:hanging="737"/>
      </w:pPr>
      <w:rPr>
        <w:rFonts w:ascii="Verdana" w:hAnsi="Verdana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1"/>
        </w:tabs>
        <w:ind w:left="3941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FB18AF"/>
    <w:multiLevelType w:val="hybridMultilevel"/>
    <w:tmpl w:val="2BB63AE0"/>
    <w:lvl w:ilvl="0" w:tplc="04050005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E0B339E"/>
    <w:multiLevelType w:val="hybridMultilevel"/>
    <w:tmpl w:val="4B628680"/>
    <w:lvl w:ilvl="0" w:tplc="2F4A71E8">
      <w:start w:val="5"/>
      <w:numFmt w:val="bullet"/>
      <w:lvlText w:val="-"/>
      <w:lvlJc w:val="left"/>
      <w:pPr>
        <w:ind w:left="93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 w16cid:durableId="1659576113">
    <w:abstractNumId w:val="6"/>
  </w:num>
  <w:num w:numId="2" w16cid:durableId="853999662">
    <w:abstractNumId w:val="4"/>
  </w:num>
  <w:num w:numId="3" w16cid:durableId="772945495">
    <w:abstractNumId w:val="9"/>
  </w:num>
  <w:num w:numId="4" w16cid:durableId="1608388087">
    <w:abstractNumId w:val="28"/>
  </w:num>
  <w:num w:numId="5" w16cid:durableId="1959143343">
    <w:abstractNumId w:val="13"/>
  </w:num>
  <w:num w:numId="6" w16cid:durableId="2018463362">
    <w:abstractNumId w:val="3"/>
  </w:num>
  <w:num w:numId="7" w16cid:durableId="1182861056">
    <w:abstractNumId w:val="15"/>
  </w:num>
  <w:num w:numId="8" w16cid:durableId="5329497">
    <w:abstractNumId w:val="29"/>
  </w:num>
  <w:num w:numId="9" w16cid:durableId="2011563651">
    <w:abstractNumId w:val="16"/>
  </w:num>
  <w:num w:numId="10" w16cid:durableId="192693473">
    <w:abstractNumId w:val="11"/>
  </w:num>
  <w:num w:numId="11" w16cid:durableId="423957392">
    <w:abstractNumId w:val="5"/>
  </w:num>
  <w:num w:numId="12" w16cid:durableId="468085694">
    <w:abstractNumId w:val="24"/>
  </w:num>
  <w:num w:numId="13" w16cid:durableId="695233078">
    <w:abstractNumId w:val="27"/>
  </w:num>
  <w:num w:numId="14" w16cid:durableId="38239803">
    <w:abstractNumId w:val="7"/>
  </w:num>
  <w:num w:numId="15" w16cid:durableId="1541553204">
    <w:abstractNumId w:val="31"/>
  </w:num>
  <w:num w:numId="16" w16cid:durableId="1516073023">
    <w:abstractNumId w:val="19"/>
  </w:num>
  <w:num w:numId="17" w16cid:durableId="1969892357">
    <w:abstractNumId w:val="12"/>
  </w:num>
  <w:num w:numId="18" w16cid:durableId="1040279098">
    <w:abstractNumId w:val="14"/>
  </w:num>
  <w:num w:numId="19" w16cid:durableId="1544557167">
    <w:abstractNumId w:val="22"/>
  </w:num>
  <w:num w:numId="20" w16cid:durableId="264268449">
    <w:abstractNumId w:val="20"/>
  </w:num>
  <w:num w:numId="21" w16cid:durableId="2107730182">
    <w:abstractNumId w:val="12"/>
  </w:num>
  <w:num w:numId="22" w16cid:durableId="1311053903">
    <w:abstractNumId w:val="26"/>
  </w:num>
  <w:num w:numId="23" w16cid:durableId="1793867367">
    <w:abstractNumId w:val="12"/>
  </w:num>
  <w:num w:numId="24" w16cid:durableId="417018141">
    <w:abstractNumId w:val="12"/>
  </w:num>
  <w:num w:numId="25" w16cid:durableId="1957251950">
    <w:abstractNumId w:val="12"/>
  </w:num>
  <w:num w:numId="26" w16cid:durableId="889071027">
    <w:abstractNumId w:val="12"/>
  </w:num>
  <w:num w:numId="27" w16cid:durableId="1100368846">
    <w:abstractNumId w:val="12"/>
  </w:num>
  <w:num w:numId="28" w16cid:durableId="1373264511">
    <w:abstractNumId w:val="12"/>
  </w:num>
  <w:num w:numId="29" w16cid:durableId="473763052">
    <w:abstractNumId w:val="12"/>
  </w:num>
  <w:num w:numId="30" w16cid:durableId="1470440324">
    <w:abstractNumId w:val="12"/>
  </w:num>
  <w:num w:numId="31" w16cid:durableId="729380991">
    <w:abstractNumId w:val="12"/>
  </w:num>
  <w:num w:numId="32" w16cid:durableId="1776712481">
    <w:abstractNumId w:val="10"/>
  </w:num>
  <w:num w:numId="33" w16cid:durableId="2113547433">
    <w:abstractNumId w:val="23"/>
  </w:num>
  <w:num w:numId="34" w16cid:durableId="20319106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2013006">
    <w:abstractNumId w:val="8"/>
  </w:num>
  <w:num w:numId="36" w16cid:durableId="1161122914">
    <w:abstractNumId w:val="12"/>
  </w:num>
  <w:num w:numId="37" w16cid:durableId="1681618346">
    <w:abstractNumId w:val="30"/>
  </w:num>
  <w:num w:numId="38" w16cid:durableId="1949582719">
    <w:abstractNumId w:val="2"/>
  </w:num>
  <w:num w:numId="39" w16cid:durableId="55977047">
    <w:abstractNumId w:val="21"/>
  </w:num>
  <w:num w:numId="40" w16cid:durableId="1323697044">
    <w:abstractNumId w:val="32"/>
  </w:num>
  <w:num w:numId="41" w16cid:durableId="1032414674">
    <w:abstractNumId w:val="1"/>
  </w:num>
  <w:num w:numId="42" w16cid:durableId="346373694">
    <w:abstractNumId w:val="17"/>
  </w:num>
  <w:num w:numId="43" w16cid:durableId="494416857">
    <w:abstractNumId w:val="25"/>
  </w:num>
  <w:num w:numId="44" w16cid:durableId="935943066">
    <w:abstractNumId w:val="18"/>
  </w:num>
  <w:num w:numId="45" w16cid:durableId="176248450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1364"/>
    <w:rsid w:val="00030970"/>
    <w:rsid w:val="00032762"/>
    <w:rsid w:val="00034A53"/>
    <w:rsid w:val="00053016"/>
    <w:rsid w:val="000645D6"/>
    <w:rsid w:val="00072C1E"/>
    <w:rsid w:val="00073A69"/>
    <w:rsid w:val="000814B9"/>
    <w:rsid w:val="00084104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0F4C07"/>
    <w:rsid w:val="00105CB1"/>
    <w:rsid w:val="0010693F"/>
    <w:rsid w:val="00107E5E"/>
    <w:rsid w:val="00111B80"/>
    <w:rsid w:val="00114472"/>
    <w:rsid w:val="001211F7"/>
    <w:rsid w:val="0013379C"/>
    <w:rsid w:val="00152946"/>
    <w:rsid w:val="001550BC"/>
    <w:rsid w:val="001605B9"/>
    <w:rsid w:val="00167C98"/>
    <w:rsid w:val="00170EC5"/>
    <w:rsid w:val="001747C1"/>
    <w:rsid w:val="0018077B"/>
    <w:rsid w:val="00184743"/>
    <w:rsid w:val="00186536"/>
    <w:rsid w:val="00186841"/>
    <w:rsid w:val="00192D5F"/>
    <w:rsid w:val="00193A76"/>
    <w:rsid w:val="001A6752"/>
    <w:rsid w:val="001A6D23"/>
    <w:rsid w:val="001B03FA"/>
    <w:rsid w:val="001C0FC2"/>
    <w:rsid w:val="001C298C"/>
    <w:rsid w:val="001D327B"/>
    <w:rsid w:val="001D3AFC"/>
    <w:rsid w:val="001D4E8C"/>
    <w:rsid w:val="001D68A6"/>
    <w:rsid w:val="00207DF5"/>
    <w:rsid w:val="00216193"/>
    <w:rsid w:val="002260BD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E68D3"/>
    <w:rsid w:val="002F39B0"/>
    <w:rsid w:val="003013FA"/>
    <w:rsid w:val="003071BD"/>
    <w:rsid w:val="00341DCF"/>
    <w:rsid w:val="00357BC6"/>
    <w:rsid w:val="00362AEC"/>
    <w:rsid w:val="00366BE9"/>
    <w:rsid w:val="00375810"/>
    <w:rsid w:val="0038088E"/>
    <w:rsid w:val="003901BB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22F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3810"/>
    <w:rsid w:val="006C7697"/>
    <w:rsid w:val="006D7AFE"/>
    <w:rsid w:val="006E0578"/>
    <w:rsid w:val="006E314D"/>
    <w:rsid w:val="006E4E91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2C0F"/>
    <w:rsid w:val="0077673A"/>
    <w:rsid w:val="007846E1"/>
    <w:rsid w:val="0079601C"/>
    <w:rsid w:val="007A0C04"/>
    <w:rsid w:val="007A3A92"/>
    <w:rsid w:val="007B570C"/>
    <w:rsid w:val="007B7C7F"/>
    <w:rsid w:val="007C01CD"/>
    <w:rsid w:val="007C589B"/>
    <w:rsid w:val="007D083E"/>
    <w:rsid w:val="007E4A6E"/>
    <w:rsid w:val="007F56A7"/>
    <w:rsid w:val="00807DD0"/>
    <w:rsid w:val="00810E9B"/>
    <w:rsid w:val="00816B59"/>
    <w:rsid w:val="00844E12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972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51984"/>
    <w:rsid w:val="00962258"/>
    <w:rsid w:val="009678B7"/>
    <w:rsid w:val="009833E1"/>
    <w:rsid w:val="00985EC7"/>
    <w:rsid w:val="00992D9C"/>
    <w:rsid w:val="00996CB8"/>
    <w:rsid w:val="00997D16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E2C43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013F"/>
    <w:rsid w:val="00B96257"/>
    <w:rsid w:val="00BB1249"/>
    <w:rsid w:val="00BB184D"/>
    <w:rsid w:val="00BC4DC9"/>
    <w:rsid w:val="00BC7069"/>
    <w:rsid w:val="00BD7E91"/>
    <w:rsid w:val="00BF2C5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482A"/>
    <w:rsid w:val="00E650B8"/>
    <w:rsid w:val="00E86DAD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paragraph" w:customStyle="1" w:styleId="Text1-2">
    <w:name w:val="_Text_1-2"/>
    <w:basedOn w:val="Text1-1"/>
    <w:link w:val="Text1-2Char"/>
    <w:qFormat/>
    <w:rsid w:val="0003097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30970"/>
    <w:pPr>
      <w:numPr>
        <w:ilvl w:val="1"/>
        <w:numId w:val="3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030970"/>
    <w:pPr>
      <w:keepNext/>
      <w:numPr>
        <w:numId w:val="3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030970"/>
  </w:style>
  <w:style w:type="character" w:customStyle="1" w:styleId="Text1-2Char">
    <w:name w:val="_Text_1-2 Char"/>
    <w:basedOn w:val="Text1-1Char"/>
    <w:link w:val="Text1-2"/>
    <w:rsid w:val="00030970"/>
  </w:style>
  <w:style w:type="paragraph" w:customStyle="1" w:styleId="RLTextlnkuslovan">
    <w:name w:val="RL Text článku číslovaný"/>
    <w:basedOn w:val="Normln"/>
    <w:link w:val="RLTextlnkuslovanChar"/>
    <w:rsid w:val="00951984"/>
    <w:pPr>
      <w:numPr>
        <w:ilvl w:val="1"/>
        <w:numId w:val="42"/>
      </w:numPr>
      <w:spacing w:after="120" w:line="280" w:lineRule="exact"/>
      <w:jc w:val="both"/>
    </w:pPr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951984"/>
    <w:pPr>
      <w:keepNext/>
      <w:numPr>
        <w:numId w:val="4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951984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51984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951984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doplnuchaze">
    <w:name w:val="doplní uchazeč"/>
    <w:basedOn w:val="Normln"/>
    <w:link w:val="doplnuchazeChar"/>
    <w:qFormat/>
    <w:rsid w:val="00951984"/>
    <w:pPr>
      <w:spacing w:after="120" w:line="280" w:lineRule="exact"/>
      <w:jc w:val="center"/>
    </w:pPr>
    <w:rPr>
      <w:rFonts w:ascii="Calibri" w:eastAsia="Times New Roman" w:hAnsi="Calibri" w:cs="Times New Roman"/>
      <w:b/>
      <w:snapToGrid w:val="0"/>
      <w:sz w:val="22"/>
      <w:szCs w:val="22"/>
      <w:lang w:val="x-none" w:eastAsia="x-none"/>
    </w:rPr>
  </w:style>
  <w:style w:type="character" w:customStyle="1" w:styleId="doplnuchazeChar">
    <w:name w:val="doplní uchazeč Char"/>
    <w:link w:val="doplnuchaze"/>
    <w:rsid w:val="00951984"/>
    <w:rPr>
      <w:rFonts w:ascii="Calibri" w:eastAsia="Times New Roman" w:hAnsi="Calibri" w:cs="Times New Roman"/>
      <w:b/>
      <w:snapToGrid w:val="0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DBA96A-9FA0-4160-B3EB-C108CF06A1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15</Pages>
  <Words>3120</Words>
  <Characters>18414</Characters>
  <Application>Microsoft Office Word</Application>
  <DocSecurity>0</DocSecurity>
  <Lines>153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Hniličková Hana, Bc.</cp:lastModifiedBy>
  <cp:revision>22</cp:revision>
  <cp:lastPrinted>2017-11-28T17:18:00Z</cp:lastPrinted>
  <dcterms:created xsi:type="dcterms:W3CDTF">2021-06-14T11:21:00Z</dcterms:created>
  <dcterms:modified xsi:type="dcterms:W3CDTF">2022-09-14T06:13:00Z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