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2520315</wp:posOffset>
                      </wp:positionH>
                      <wp:positionV relativeFrom="page">
                        <wp:posOffset>-86995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8.45pt;margin-top:-6.8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JTIN3rfAAAA&#10;Cw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D48D7" w:rsidTr="00F862D6">
        <w:tc>
          <w:tcPr>
            <w:tcW w:w="1020" w:type="dxa"/>
          </w:tcPr>
          <w:p w:rsidR="00AD48D7" w:rsidRPr="003E6B9A" w:rsidRDefault="00AD48D7" w:rsidP="00AD48D7">
            <w:r w:rsidRPr="003E6B9A">
              <w:t>Naše zn.</w:t>
            </w:r>
          </w:p>
        </w:tc>
        <w:tc>
          <w:tcPr>
            <w:tcW w:w="2552" w:type="dxa"/>
          </w:tcPr>
          <w:p w:rsidR="00AD48D7" w:rsidRPr="003E6B9A" w:rsidRDefault="00AD48D7" w:rsidP="00AD48D7">
            <w:r>
              <w:rPr>
                <w:rFonts w:ascii="Helvetica" w:hAnsi="Helvetica"/>
              </w:rPr>
              <w:t>8139</w:t>
            </w:r>
            <w:r w:rsidRPr="006A2E97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AD48D7" w:rsidTr="00F862D6">
        <w:tc>
          <w:tcPr>
            <w:tcW w:w="1020" w:type="dxa"/>
          </w:tcPr>
          <w:p w:rsidR="00AD48D7" w:rsidRDefault="00AD48D7" w:rsidP="00AD48D7">
            <w:r>
              <w:t>Listů/příloh</w:t>
            </w:r>
          </w:p>
        </w:tc>
        <w:tc>
          <w:tcPr>
            <w:tcW w:w="2552" w:type="dxa"/>
          </w:tcPr>
          <w:p w:rsidR="00AD48D7" w:rsidRPr="003E6B9A" w:rsidRDefault="0088123C" w:rsidP="00AD48D7">
            <w:r>
              <w:t>3/3</w:t>
            </w:r>
            <w:bookmarkStart w:id="0" w:name="_GoBack"/>
            <w:bookmarkEnd w:id="0"/>
          </w:p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>
            <w:pPr>
              <w:rPr>
                <w:noProof/>
              </w:rPr>
            </w:pPr>
          </w:p>
        </w:tc>
      </w:tr>
      <w:tr w:rsidR="00AD48D7" w:rsidTr="00B23CA3">
        <w:trPr>
          <w:trHeight w:val="77"/>
        </w:trPr>
        <w:tc>
          <w:tcPr>
            <w:tcW w:w="1020" w:type="dxa"/>
          </w:tcPr>
          <w:p w:rsidR="00AD48D7" w:rsidRDefault="00AD48D7" w:rsidP="00AD48D7"/>
        </w:tc>
        <w:tc>
          <w:tcPr>
            <w:tcW w:w="2552" w:type="dxa"/>
          </w:tcPr>
          <w:p w:rsidR="00AD48D7" w:rsidRPr="003E6B9A" w:rsidRDefault="00AD48D7" w:rsidP="00AD48D7"/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AD48D7" w:rsidTr="00F862D6">
        <w:tc>
          <w:tcPr>
            <w:tcW w:w="1020" w:type="dxa"/>
          </w:tcPr>
          <w:p w:rsidR="00AD48D7" w:rsidRDefault="00AD48D7" w:rsidP="00AD48D7">
            <w:r>
              <w:t>Vyřizuje</w:t>
            </w:r>
          </w:p>
        </w:tc>
        <w:tc>
          <w:tcPr>
            <w:tcW w:w="2552" w:type="dxa"/>
          </w:tcPr>
          <w:p w:rsidR="00AD48D7" w:rsidRPr="003E6B9A" w:rsidRDefault="00AD48D7" w:rsidP="00AD48D7">
            <w:r>
              <w:t>JUDr. Jaroslav Klimeš</w:t>
            </w:r>
          </w:p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AD48D7" w:rsidTr="00F862D6">
        <w:tc>
          <w:tcPr>
            <w:tcW w:w="1020" w:type="dxa"/>
          </w:tcPr>
          <w:p w:rsidR="00AD48D7" w:rsidRDefault="00AD48D7" w:rsidP="00AD48D7"/>
        </w:tc>
        <w:tc>
          <w:tcPr>
            <w:tcW w:w="2552" w:type="dxa"/>
          </w:tcPr>
          <w:p w:rsidR="00AD48D7" w:rsidRPr="003E6B9A" w:rsidRDefault="00AD48D7" w:rsidP="00AD48D7"/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AD48D7" w:rsidTr="00F862D6">
        <w:tc>
          <w:tcPr>
            <w:tcW w:w="1020" w:type="dxa"/>
          </w:tcPr>
          <w:p w:rsidR="00AD48D7" w:rsidRDefault="00AD48D7" w:rsidP="00AD48D7">
            <w:r>
              <w:t>Mobil</w:t>
            </w:r>
          </w:p>
        </w:tc>
        <w:tc>
          <w:tcPr>
            <w:tcW w:w="2552" w:type="dxa"/>
          </w:tcPr>
          <w:p w:rsidR="00AD48D7" w:rsidRPr="003E6B9A" w:rsidRDefault="00AD48D7" w:rsidP="00AD48D7">
            <w:r>
              <w:t>+420 722 819 305</w:t>
            </w:r>
          </w:p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AD48D7" w:rsidTr="00F862D6">
        <w:tc>
          <w:tcPr>
            <w:tcW w:w="1020" w:type="dxa"/>
          </w:tcPr>
          <w:p w:rsidR="00AD48D7" w:rsidRDefault="00AD48D7" w:rsidP="00AD48D7">
            <w:r>
              <w:t>E-mail</w:t>
            </w:r>
          </w:p>
        </w:tc>
        <w:tc>
          <w:tcPr>
            <w:tcW w:w="2552" w:type="dxa"/>
          </w:tcPr>
          <w:p w:rsidR="00AD48D7" w:rsidRPr="003E6B9A" w:rsidRDefault="00AD48D7" w:rsidP="00AD48D7">
            <w:r>
              <w:t>KlimesJa@seznam.cz</w:t>
            </w:r>
          </w:p>
        </w:tc>
        <w:tc>
          <w:tcPr>
            <w:tcW w:w="823" w:type="dxa"/>
          </w:tcPr>
          <w:p w:rsidR="00AD48D7" w:rsidRDefault="00AD48D7" w:rsidP="00AD48D7"/>
        </w:tc>
        <w:tc>
          <w:tcPr>
            <w:tcW w:w="3685" w:type="dxa"/>
            <w:vMerge/>
          </w:tcPr>
          <w:p w:rsidR="00AD48D7" w:rsidRDefault="00AD48D7" w:rsidP="00AD48D7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8123C">
              <w:rPr>
                <w:noProof/>
              </w:rPr>
              <w:t>3.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284190">
        <w:rPr>
          <w:rFonts w:eastAsia="Calibri" w:cs="Times New Roman"/>
          <w:lang w:eastAsia="cs-CZ"/>
        </w:rPr>
        <w:t>„</w:t>
      </w:r>
      <w:r w:rsidR="00284190" w:rsidRPr="00284190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284190" w:rsidRPr="00284190">
        <w:rPr>
          <w:rFonts w:eastAsia="Calibri" w:cs="Times New Roman"/>
          <w:b/>
          <w:lang w:eastAsia="cs-CZ"/>
        </w:rPr>
        <w:t>žst</w:t>
      </w:r>
      <w:proofErr w:type="spellEnd"/>
      <w:r w:rsidR="00284190" w:rsidRPr="00284190">
        <w:rPr>
          <w:rFonts w:eastAsia="Calibri" w:cs="Times New Roman"/>
          <w:b/>
          <w:lang w:eastAsia="cs-CZ"/>
        </w:rPr>
        <w:t>. Rožnov pod Radhoštěm</w:t>
      </w:r>
      <w:r w:rsidR="00284190">
        <w:rPr>
          <w:rFonts w:eastAsia="Calibri" w:cs="Times New Roman"/>
          <w:b/>
          <w:lang w:eastAsia="cs-CZ"/>
        </w:rPr>
        <w:t>“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7BF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D66757">
        <w:rPr>
          <w:rFonts w:eastAsia="Calibri" w:cs="Times New Roman"/>
          <w:lang w:eastAsia="cs-CZ"/>
        </w:rPr>
        <w:t xml:space="preserve">. </w:t>
      </w:r>
      <w:r w:rsidR="00AD48D7">
        <w:rPr>
          <w:rFonts w:eastAsia="Times New Roman" w:cs="Times New Roman"/>
          <w:lang w:eastAsia="cs-CZ"/>
        </w:rPr>
        <w:t>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D66757" w:rsidRPr="00D66757" w:rsidRDefault="005B387D" w:rsidP="00D6675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68</w:t>
      </w:r>
      <w:r w:rsidR="00103C29" w:rsidRPr="00D66757">
        <w:rPr>
          <w:rFonts w:eastAsia="Calibri" w:cs="Times New Roman"/>
          <w:b/>
          <w:lang w:eastAsia="cs-CZ"/>
        </w:rPr>
        <w:t>:</w:t>
      </w:r>
      <w:r w:rsidR="00103C29" w:rsidRPr="00D66757">
        <w:t xml:space="preserve"> </w:t>
      </w:r>
      <w:bookmarkStart w:id="2" w:name="_Hlk73611289"/>
      <w:bookmarkStart w:id="3" w:name="_Hlk73611267"/>
    </w:p>
    <w:bookmarkEnd w:id="2"/>
    <w:bookmarkEnd w:id="3"/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Ve 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výkresu D.2.2.01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– Kolejový svršek a spodek - Situace je zakresleno provizorní nástupiště vpravo trati za podchodem. Ve výkresu 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C.3 – Koordinační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situační výkres - je zakresleno provizorní nástupiště vlevo trati před podchodem. Vzhledem ke stanovení technologie provádění prací by mělo být dané, která varianta je platná.</w:t>
      </w:r>
    </w:p>
    <w:p w:rsidR="005B387D" w:rsidRPr="00DD7BF8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</w:t>
      </w:r>
      <w:r w:rsidR="00A076E2" w:rsidRPr="00DD7BF8">
        <w:rPr>
          <w:rFonts w:eastAsia="Calibri" w:cs="Times New Roman"/>
          <w:b/>
          <w:lang w:eastAsia="cs-CZ"/>
        </w:rPr>
        <w:t>Platí umístění v koordinační situaci. V rámci úprav nedošlo ke správné koordinaci.</w:t>
      </w:r>
      <w:r w:rsidR="0084783B" w:rsidRPr="00DD7BF8">
        <w:rPr>
          <w:rFonts w:eastAsia="Calibri" w:cs="Times New Roman"/>
          <w:b/>
          <w:lang w:eastAsia="cs-CZ"/>
        </w:rPr>
        <w:t xml:space="preserve"> Viz příloha číslo 1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69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Zařízení staveniště je na parcelách 1000/1 a 1000/29 ve vlastnictví ČD 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a.s..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  Z projektové dokumentace není jasné, zda bude plocha zařízení staveniště předmětem nájmu SO 98-98 položka VSEOB010 Nájmy, zábory a věcná břemena placená zhotovitelem     nebo jestli bude součástí nájemní smlouvy se SŽ a.s.</w:t>
      </w:r>
    </w:p>
    <w:p w:rsidR="005B387D" w:rsidRPr="00DD7BF8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</w:t>
      </w:r>
      <w:r w:rsidR="00CB1E36" w:rsidRPr="00DD7BF8">
        <w:rPr>
          <w:rFonts w:eastAsia="Calibri" w:cs="Times New Roman"/>
          <w:b/>
          <w:lang w:eastAsia="cs-CZ"/>
        </w:rPr>
        <w:t>V souladu s uzavřenou smlouvou mezi SŽ s. o. a ČD a.s. – viz příloha č. 2, zadavatel SŽ uhradí nájem za zařízení staveniště na uvedených pozemcích, výši nájmu následně přeúčtuje na zhotovitele, proto uchazeč v souladu s bodem 2.1.3 Komentáře soupisu prací rozpustí výši nájmu v položkách soupisu prací.</w:t>
      </w:r>
    </w:p>
    <w:p w:rsidR="005B387D" w:rsidRPr="00DD7BF8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DD7BF8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D7BF8">
        <w:rPr>
          <w:rFonts w:eastAsia="Calibri" w:cs="Times New Roman"/>
          <w:b/>
          <w:lang w:eastAsia="cs-CZ"/>
        </w:rPr>
        <w:t>Dotaz č. 70:</w:t>
      </w:r>
      <w:r w:rsidRPr="00DD7BF8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Vlastníkem pozemku 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p.č.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1002/57, na kterém budou buňky provizorního objektu čekárny, je LIDL a.s.. Z projektové dokumentace není 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jasné zda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bude plocha zařízení staveniště předmětem nájmu SO 98-98 položka  VSEOB010 nájmy, zábory a věcná břemena placená zhotovitelem nebo jestli bude součástí nájemní smlouvy se SŽ a.s. .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V 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6.1. doklady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k projednání s vlastníky dotčených nemovitostí je uvedena pod 6.1.05.1. uvedena Smlouva budoucí nájemní, která není uvedena v dokladech a tudíž nemůžeme znát její znění.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To samé se týká i dalších pozemků ve vlastnictví soukromých subjektů uvedených v </w:t>
      </w:r>
      <w:proofErr w:type="gram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6.1. a je</w:t>
      </w:r>
      <w:proofErr w:type="gram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u nich uvedena Smlouva budoucí nájemní.</w:t>
      </w:r>
    </w:p>
    <w:p w:rsidR="005B387D" w:rsidRPr="00DD7BF8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</w:t>
      </w:r>
      <w:r w:rsidR="00FB3974" w:rsidRPr="00DD7BF8">
        <w:rPr>
          <w:rFonts w:eastAsia="Calibri" w:cs="Times New Roman"/>
          <w:b/>
          <w:lang w:eastAsia="cs-CZ"/>
        </w:rPr>
        <w:t>Všechny nájmy kromě pozemku ve vlastnictví ČD a.s., budou oceněny v položce č. 10 v SO 98-98. Návrh smlouvy se společností LIDL zasíláme přílohou č. 3., ostatní smlouvy byly doplněny v rámci dotazu č. 56.</w:t>
      </w:r>
    </w:p>
    <w:p w:rsidR="00FB3974" w:rsidRPr="00DD7BF8" w:rsidRDefault="00FB3974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71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upřesnění Vaší odpovědi na dotaz č. 32. V odpovědi zmiňujete možnost využití dílčích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stávajícícho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stavu a stávajících sítí, který bude zhotoviteli předán po podpisu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s tím, že vlastnická a užívací práva jsou řešena v kap. 5 BIM protokolu. Nicméně v kap. 5 BIM protokolu jsou uvedena vlastnická a užívací práva pouze k „Dílu“, jehož součástí je IMS (resp.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), který předá spolu s Dílem zhotovitel – tzn.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DSPS. O užívacích právech k dílčím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z fáze přípravy (předcházejícího stupně) zde není řečeno nic. Máme to chápat tak, že zadavatel předá zhotoviteli 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, resp. IMS, z fáze přípravy, ale ze strany zadavatele nebude zhotoviteli poskytnuta licence k užívání v rozsahu požadovaném v </w:t>
      </w:r>
      <w:proofErr w:type="spellStart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a jejích přílohách, dále vysvětlená v odpovědích na dotazy k zadávací dokumentaci?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Odpověď:</w:t>
      </w:r>
      <w:r w:rsidRPr="0028731C">
        <w:rPr>
          <w:rFonts w:eastAsia="Calibri" w:cs="Times New Roman"/>
          <w:b/>
          <w:color w:val="FF0000"/>
          <w:lang w:eastAsia="cs-CZ"/>
        </w:rPr>
        <w:t xml:space="preserve"> </w:t>
      </w:r>
      <w:r w:rsidRPr="00DD7BF8">
        <w:rPr>
          <w:rFonts w:eastAsia="Calibri" w:cs="Times New Roman"/>
          <w:b/>
          <w:lang w:eastAsia="cs-CZ"/>
        </w:rPr>
        <w:t xml:space="preserve">Zadavatel předá Zhotoviteli veškeré dokumenty, které souvisí IMS, jejíž součástí je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ve stupni PDPS na nosičích USB/DVD, případně vloží do CDE, které na základě zadávací dokumentace k Dílu a položek uvedených ve SO 98-98, dodává Zhotovitel.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PDPS bude předáno ve formátu IFC a ostatní podklady ve volně dostupných formátech SW Microsoft Office, nebo PDF. S  ohledem na skutečnost, že Zhotoviteli se pouze umožňuje využití dílčích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stávajícího stavu a stávajících sítí pro tvorbu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 a celý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PDPS se posléze použije pouze na porovnání s 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DSPS, tako předané data shledává dostatečné. Licence bude tímto poskytnuta k uvedenému rozsahu přebíraných dat ze stupně PDPS.  Zadavatel se tedy domnívá, že žádné speciální licenční ujednání s vazbou na zpracování IMS ve stupni PDPS není potřebné i s ohledem na skutečnost, na kterou bylo poukazováno v již zodpovězených dotazech, že Zhotovitel má přistupovat ke zpracování IMS včetně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DSPS, jako k naprosto novému modelu v režimu BIM. </w:t>
      </w:r>
    </w:p>
    <w:p w:rsidR="0028731C" w:rsidRPr="0028731C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8731C" w:rsidRPr="0028731C" w:rsidRDefault="0028731C" w:rsidP="0028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Dotaz č. 72:</w:t>
      </w:r>
      <w:r w:rsidRPr="0028731C">
        <w:t xml:space="preserve"> </w:t>
      </w:r>
    </w:p>
    <w:p w:rsidR="0028731C" w:rsidRPr="0028731C" w:rsidRDefault="0028731C" w:rsidP="0028731C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upřesnění Vaší odpovědi na dotaz č. 46, kde je uvedeno, že cíl 3 přílohy EIR BIM protokolu definuje nově navrhovaný stav z pohledu provádění stavby, nicméně v řadě dalších odpovědí na dotazy, např. 30,35, 38 a dalších, je uvedeno, že požadavky na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pro realizaci stavby (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RDS) nebudou uplatněny. Z logiky věci je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skutečného provedení realizován až po dokončení Díla, případně jeho dílčí části, z tohoto důvodu nemůže být modelem nově navrhovaného řešení. Znovu žádáme o uvedení do souladu.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Odpověď:</w:t>
      </w:r>
      <w:r w:rsidRPr="0028731C">
        <w:rPr>
          <w:rFonts w:eastAsia="Calibri" w:cs="Times New Roman"/>
          <w:b/>
          <w:color w:val="FF0000"/>
          <w:lang w:eastAsia="cs-CZ"/>
        </w:rPr>
        <w:t xml:space="preserve"> </w:t>
      </w:r>
      <w:r w:rsidRPr="00DD7BF8">
        <w:rPr>
          <w:rFonts w:eastAsia="Calibri" w:cs="Times New Roman"/>
          <w:b/>
          <w:lang w:eastAsia="cs-CZ"/>
        </w:rPr>
        <w:t xml:space="preserve">Nesouhlasíme s uvedenou domněnkou.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 má stejný charakter zpracování Díla jako standardě zpracovávaná dokumentace ve stupni DSPS. Taktéž informace, které bude obsahovat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 nejsou odlišené od standardní dokumentace ve stupni DSPS, neboť tyto informace se vždy přebírají jako vstupní data pro následnou správu a údržbu. K zpracování standardní DSPS taktéž není potřeba zpracovat RDS, což je v souladu s § 4 vyhlášky č. 499/2008 Sb. </w:t>
      </w:r>
      <w:r w:rsidRPr="00DD7BF8">
        <w:rPr>
          <w:rFonts w:eastAsia="Calibri" w:cs="Times New Roman"/>
          <w:b/>
          <w:i/>
          <w:lang w:eastAsia="cs-CZ"/>
        </w:rPr>
        <w:t>„Dokumentaci skutečného provedení stavby může tvořit kopie ověřené projektové dokumentace doplněná výkresy odchylek, pokud to není na újmu přehlednosti a srozumitelnosti dokumentace.“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DD7BF8">
        <w:rPr>
          <w:rFonts w:eastAsia="Calibri" w:cs="Times New Roman"/>
          <w:b/>
          <w:lang w:eastAsia="cs-CZ"/>
        </w:rPr>
        <w:t xml:space="preserve">Zadavatel si uvědomuje, že datový standard ve stupni PDPS neobsahuje veškeré informace, které se uvádějí v klasické dokumentaci ve stupni DSPS a které se přebírají do následné správy a proto převzal na sebe zodpovědnost, že tyto data sám přehledně zpracuje a v dostatečném předstihu předá ve strukturované podobě Zhotovitel k řádnému zapracování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DSPS. Mimo to je Dílo dokončeno až předáním dokumentace ve stupni DSPS, proto ani není možné vnímat, že zpracování  </w:t>
      </w:r>
      <w:proofErr w:type="spellStart"/>
      <w:r w:rsidRPr="00DD7BF8">
        <w:rPr>
          <w:rFonts w:eastAsia="Calibri" w:cs="Times New Roman"/>
          <w:b/>
          <w:lang w:eastAsia="cs-CZ"/>
        </w:rPr>
        <w:t>DiMS</w:t>
      </w:r>
      <w:proofErr w:type="spellEnd"/>
      <w:r w:rsidRPr="00DD7BF8">
        <w:rPr>
          <w:rFonts w:eastAsia="Calibri" w:cs="Times New Roman"/>
          <w:b/>
          <w:lang w:eastAsia="cs-CZ"/>
        </w:rPr>
        <w:t xml:space="preserve"> DSPS se provádí po dokončení Díla.</w:t>
      </w:r>
    </w:p>
    <w:p w:rsidR="0028731C" w:rsidRPr="0028731C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8731C" w:rsidRPr="0028731C" w:rsidRDefault="0028731C" w:rsidP="0028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Dotaz č. 73:</w:t>
      </w:r>
      <w:r w:rsidRPr="0028731C">
        <w:t xml:space="preserve"> </w:t>
      </w:r>
    </w:p>
    <w:p w:rsidR="0028731C" w:rsidRPr="00DD7BF8" w:rsidRDefault="0028731C" w:rsidP="0028731C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S ohledem na některé odpovědi na dotazy, v následujícím znění: „Vytváření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pro realizaci stavby (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RDS) se nevyžaduje, proto práce nejsou zařazené do SO 98-98. V případě, že se v dokumentech (včetně metodických dokumentů) nachází všeobecná ustanovení k požadavkům na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RDS, nebudou uplatňované.“ Vás žádáme o úpravu zadávací dokumentace, tak aby byla invariantní a jasná s ohledem na zadávanou stavbu a požadovaný stupeň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. To znamená, aby zmíněná ustanovení týkající se požadavků na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DiMS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RDS (</w:t>
      </w:r>
      <w:r w:rsidRPr="00DD7BF8">
        <w:rPr>
          <w:rFonts w:ascii="Arial" w:eastAsia="Times New Roman" w:hAnsi="Arial" w:cs="Arial"/>
          <w:spacing w:val="4"/>
          <w:sz w:val="20"/>
          <w:szCs w:val="20"/>
          <w:lang w:eastAsia="cs-CZ"/>
        </w:rPr>
        <w:t>případně jiné stupně) byla změněna nebo vypuštěna.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DD7BF8">
        <w:rPr>
          <w:rFonts w:eastAsia="Calibri" w:cs="Times New Roman"/>
          <w:b/>
          <w:lang w:eastAsia="cs-CZ"/>
        </w:rPr>
        <w:t xml:space="preserve">Odpověď: Zadavatel v odpovědích na dotazy řádně vysvětlil uvedenou skutečnost, a proto neshledává potřebné zadávací dokumentaci upravovat. Smluvní podmínky SŽ, např. Technické podmínky, standardně obsahují ustanovení, které se nemusí </w:t>
      </w:r>
      <w:r w:rsidRPr="00DD7BF8">
        <w:rPr>
          <w:rFonts w:eastAsia="Calibri" w:cs="Times New Roman"/>
          <w:b/>
          <w:lang w:eastAsia="cs-CZ"/>
        </w:rPr>
        <w:lastRenderedPageBreak/>
        <w:t xml:space="preserve">uplatňovat, když provádění dané činnosti nevyplívá z charakteru Díla a v soupisech prací s vazbou na dokumentaci PDPS daná činnost není vyžadovaná.     </w:t>
      </w:r>
    </w:p>
    <w:p w:rsidR="0028731C" w:rsidRPr="0028731C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8731C" w:rsidRPr="0028731C" w:rsidRDefault="0028731C" w:rsidP="0028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Dotaz č. 74:</w:t>
      </w:r>
      <w:r w:rsidRPr="0028731C">
        <w:t xml:space="preserve"> </w:t>
      </w:r>
    </w:p>
    <w:p w:rsidR="0028731C" w:rsidRPr="0028731C" w:rsidRDefault="0028731C" w:rsidP="0028731C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upřesnění Vaší odpovědi na dotaz č. 31. Dotaz byl kladen na právní vztah přílohy k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 č. 10, tedy BIM protokol, zejména čl. 1.2 zmíněné přílohy k 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. Kde je definovaná nadřazenost ustanovení BIM protokolu vč. příloh vůči jiným částem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. Žádáme o podrobné vysvětlení vzájemných vztahů částí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. S ohledem mimo jiné na odpověď na dotaz č. 30, kdy je zjevný rozpor v zadávací dokumentaci ponechán s pouhým konstatováním neuplatnění některých ustanovení, nicméně bez jejich výčtu. 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Odpověď:</w:t>
      </w:r>
      <w:r w:rsidRPr="0028731C">
        <w:rPr>
          <w:rFonts w:eastAsia="Calibri" w:cs="Times New Roman"/>
          <w:b/>
          <w:color w:val="FF0000"/>
          <w:lang w:eastAsia="cs-CZ"/>
        </w:rPr>
        <w:t xml:space="preserve"> </w:t>
      </w:r>
      <w:r w:rsidRPr="00DD7BF8">
        <w:rPr>
          <w:rFonts w:eastAsia="Calibri" w:cs="Times New Roman"/>
          <w:b/>
          <w:lang w:eastAsia="cs-CZ"/>
        </w:rPr>
        <w:t>Účelem BIM Protokolu, jako jedné z příloh smlouvy o dílo, je specifikace a nastavení podmínek a pravidel pro zpracování Díla v režimu BIM, tj. v tomto případě, pro zpracování IMS pro stupeň DSPS. Jak je uvedeno v úvodním ustanovení 1. 2 přednost BIM Protokolu je vztažená pouze k té částí Díla, která se vztahuje k režimu BIM, v ostatních případech přednost BIM Protokol nadřazen není. S ohledem na odpověď na dotaz č. 73., Zadavatel shledává vysvětlení jako dostatečné.</w:t>
      </w: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8731C" w:rsidRPr="00DD7BF8" w:rsidRDefault="0028731C" w:rsidP="0028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D7BF8">
        <w:rPr>
          <w:rFonts w:eastAsia="Calibri" w:cs="Times New Roman"/>
          <w:b/>
          <w:lang w:eastAsia="cs-CZ"/>
        </w:rPr>
        <w:t>Dotaz č. 75:</w:t>
      </w:r>
      <w:r w:rsidRPr="00DD7BF8">
        <w:t xml:space="preserve"> </w:t>
      </w:r>
    </w:p>
    <w:p w:rsidR="0028731C" w:rsidRPr="0028731C" w:rsidRDefault="0028731C" w:rsidP="0028731C">
      <w:p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doplnění Vaší odpovědi na dotaz č. 33, kde byl tazatelem požadován (a nebyl poskytnut, resp. odpověď byla neúplná) metodický pokyn k pořízení a řízení přílohy BIM protokolu – konkrétně BEP – jakožto proměnné a v čase se vyvíjející přílohy, která ovšem díky ustanovení čl. 1.2 BIM protokolu má nahrazovat v oblasti metody BIM ustanovení jiných částí </w:t>
      </w:r>
      <w:proofErr w:type="spellStart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SoD</w:t>
      </w:r>
      <w:proofErr w:type="spellEnd"/>
      <w:r w:rsidRPr="0028731C">
        <w:rPr>
          <w:rFonts w:ascii="Arial" w:eastAsia="Times New Roman" w:hAnsi="Arial" w:cs="Arial"/>
          <w:spacing w:val="4"/>
          <w:sz w:val="20"/>
          <w:szCs w:val="20"/>
          <w:lang w:eastAsia="cs-CZ"/>
        </w:rPr>
        <w:t>. V této vzájemné konfiguraci a bez předem daných pravidel tvorby a řízení přílohy BEP spatřujeme poměrně značná rizika pro budoucí spolupráci.</w:t>
      </w:r>
    </w:p>
    <w:p w:rsidR="0028731C" w:rsidRPr="0028731C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8731C" w:rsidRPr="00DD7BF8" w:rsidRDefault="0028731C" w:rsidP="0028731C">
      <w:pPr>
        <w:spacing w:after="0" w:line="240" w:lineRule="auto"/>
        <w:rPr>
          <w:rFonts w:eastAsia="Calibri" w:cs="Times New Roman"/>
          <w:b/>
          <w:lang w:eastAsia="cs-CZ"/>
        </w:rPr>
      </w:pPr>
      <w:r w:rsidRPr="0028731C">
        <w:rPr>
          <w:rFonts w:eastAsia="Calibri" w:cs="Times New Roman"/>
          <w:b/>
          <w:lang w:eastAsia="cs-CZ"/>
        </w:rPr>
        <w:t>Odpověď:</w:t>
      </w:r>
      <w:r w:rsidRPr="0028731C">
        <w:rPr>
          <w:rFonts w:eastAsia="Calibri" w:cs="Times New Roman"/>
          <w:b/>
          <w:color w:val="FF0000"/>
          <w:lang w:eastAsia="cs-CZ"/>
        </w:rPr>
        <w:t xml:space="preserve"> </w:t>
      </w:r>
      <w:r w:rsidRPr="00DD7BF8">
        <w:rPr>
          <w:rFonts w:eastAsia="Calibri" w:cs="Times New Roman"/>
          <w:b/>
          <w:lang w:eastAsia="cs-CZ"/>
        </w:rPr>
        <w:t>Zadavatel žádná rizika neshledává, standardně se příloha BEP předává jako vzorová příloha, která se dopracovává v průběhu zpracování Díla na základě Cílů zpracování Díla v režimu BIM, které jsou řádně uvedené v kap. 3.2 Přílohy B Požadavky zadavatel pro režim BIM. Znovu upozorňujeme, že Zhotovitel zpracovává Dílo v režimu BIM pouze ve stádiu DSPS čímž se jakákoliv možná rizika eliminují. Zadavatel postupuje v souladu s metodickými dokumenty vydávanými SFDI a agenturou ČAS vytvářených na základě vládou schválené Koncepce zavádění metody BIM v České republice.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D7BF8" w:rsidRDefault="00DD7BF8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D7BF8" w:rsidRPr="00263B71" w:rsidRDefault="00DD7BF8" w:rsidP="00DD7BF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63B7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DD7BF8" w:rsidRPr="00BD5319" w:rsidRDefault="00DD7BF8" w:rsidP="00DD7BF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D7BF8" w:rsidRPr="00BD5319" w:rsidRDefault="00DD7BF8" w:rsidP="00DD7BF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DD7BF8" w:rsidRPr="00DD7BF8" w:rsidRDefault="00DD7BF8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1E36" w:rsidRDefault="00CB1E36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1E36" w:rsidRDefault="00CB1E36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Přílohy:</w:t>
      </w:r>
    </w:p>
    <w:p w:rsidR="00CB1E36" w:rsidRDefault="00CB1E36" w:rsidP="00CB1E36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Č. 1 opravená situace D2102_SO011201_XX_2_201_SIT-297</w:t>
      </w:r>
    </w:p>
    <w:p w:rsidR="00CB1E36" w:rsidRDefault="00FB3974" w:rsidP="00CB1E36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Č. 2 Nájemní smlouva uzavřená mezi  SŽ s. o. a ČD a.s.</w:t>
      </w:r>
    </w:p>
    <w:p w:rsidR="00FB3974" w:rsidRPr="00CB1E36" w:rsidRDefault="00FB3974" w:rsidP="00CB1E36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Č. 3 Návrh nájemní smlouvy se společností LIDL</w:t>
      </w:r>
    </w:p>
    <w:p w:rsidR="00CB1E36" w:rsidRDefault="00CB1E36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Default="005B387D" w:rsidP="005B387D">
      <w:pPr>
        <w:spacing w:after="0" w:line="240" w:lineRule="auto"/>
        <w:jc w:val="both"/>
      </w:pPr>
    </w:p>
    <w:p w:rsidR="00DD7BF8" w:rsidRDefault="00DD7BF8" w:rsidP="005B387D">
      <w:pPr>
        <w:spacing w:after="0" w:line="240" w:lineRule="auto"/>
        <w:jc w:val="both"/>
      </w:pPr>
    </w:p>
    <w:p w:rsidR="00DD7BF8" w:rsidRDefault="00DD7BF8" w:rsidP="00DD7BF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D7BF8" w:rsidRPr="00BD5319" w:rsidRDefault="00DD7BF8" w:rsidP="00DD7BF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DD7BF8" w:rsidRPr="00BD5319" w:rsidRDefault="00DD7BF8" w:rsidP="00DD7BF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D7BF8" w:rsidRPr="00BD5319" w:rsidRDefault="00DD7BF8" w:rsidP="00DD7BF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D7BF8" w:rsidRDefault="00DD7BF8" w:rsidP="00DD7BF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D7BF8" w:rsidRDefault="00DD7BF8" w:rsidP="00DD7BF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D7BF8" w:rsidRDefault="00DD7BF8" w:rsidP="00DD7BF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D7BF8" w:rsidRPr="00BD5319" w:rsidRDefault="00DD7BF8" w:rsidP="00DD7BF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DD7BF8" w:rsidRPr="00BD5319" w:rsidRDefault="00DD7BF8" w:rsidP="00DD7BF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DD7BF8" w:rsidRPr="00BD5319" w:rsidRDefault="00DD7BF8" w:rsidP="00DD7BF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DD7BF8" w:rsidRPr="00BD5319" w:rsidRDefault="00DD7BF8" w:rsidP="00DD7BF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DD7BF8" w:rsidRPr="005B387D" w:rsidRDefault="00DD7BF8" w:rsidP="00ED3024">
      <w:pPr>
        <w:spacing w:after="0" w:line="240" w:lineRule="auto"/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DD7BF8" w:rsidRPr="005B387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12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12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2995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C7C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74EDF" w:rsidRDefault="00D74E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12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12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2367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7D13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D74EDF" w:rsidRDefault="00D74E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D74EDF" w:rsidRDefault="00D74E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67C261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1292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  <w:p w:rsidR="00D74EDF" w:rsidRDefault="00D74E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E3E"/>
    <w:multiLevelType w:val="hybridMultilevel"/>
    <w:tmpl w:val="9B5812FC"/>
    <w:lvl w:ilvl="0" w:tplc="C9F8DF4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B6D2267"/>
    <w:multiLevelType w:val="hybridMultilevel"/>
    <w:tmpl w:val="26ECA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86E72"/>
    <w:multiLevelType w:val="hybridMultilevel"/>
    <w:tmpl w:val="0DA273DC"/>
    <w:lvl w:ilvl="0" w:tplc="18722C1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10C5"/>
    <w:rsid w:val="00033432"/>
    <w:rsid w:val="000335CC"/>
    <w:rsid w:val="00072C1E"/>
    <w:rsid w:val="000B3A82"/>
    <w:rsid w:val="000B6C7E"/>
    <w:rsid w:val="000B7907"/>
    <w:rsid w:val="000C0429"/>
    <w:rsid w:val="000C45E8"/>
    <w:rsid w:val="000F5640"/>
    <w:rsid w:val="00103C29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82206"/>
    <w:rsid w:val="00284190"/>
    <w:rsid w:val="002873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2663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87D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4783B"/>
    <w:rsid w:val="0088123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76E2"/>
    <w:rsid w:val="00A121CE"/>
    <w:rsid w:val="00A44328"/>
    <w:rsid w:val="00A6177B"/>
    <w:rsid w:val="00A66136"/>
    <w:rsid w:val="00AA4CBB"/>
    <w:rsid w:val="00AA65FA"/>
    <w:rsid w:val="00AA7351"/>
    <w:rsid w:val="00AD056F"/>
    <w:rsid w:val="00AD2773"/>
    <w:rsid w:val="00AD48D7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1FA6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1EEC"/>
    <w:rsid w:val="00C727E5"/>
    <w:rsid w:val="00C8207D"/>
    <w:rsid w:val="00CB1E36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6757"/>
    <w:rsid w:val="00D74EDF"/>
    <w:rsid w:val="00D831A3"/>
    <w:rsid w:val="00D902AD"/>
    <w:rsid w:val="00DA6FFE"/>
    <w:rsid w:val="00DC3110"/>
    <w:rsid w:val="00DD46F3"/>
    <w:rsid w:val="00DD58A6"/>
    <w:rsid w:val="00DD7BF8"/>
    <w:rsid w:val="00DE56F2"/>
    <w:rsid w:val="00DF116D"/>
    <w:rsid w:val="00E10710"/>
    <w:rsid w:val="00E824F1"/>
    <w:rsid w:val="00EB104F"/>
    <w:rsid w:val="00ED14BD"/>
    <w:rsid w:val="00ED3024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397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1FE9F73"/>
  <w14:defaultImageDpi w14:val="32767"/>
  <w15:docId w15:val="{DE481EB4-69AB-414A-89FC-FB748B8B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57EC88-55FD-4377-B38F-D0253B3DD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3</Pages>
  <Words>1388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</cp:revision>
  <cp:lastPrinted>2019-02-22T13:28:00Z</cp:lastPrinted>
  <dcterms:created xsi:type="dcterms:W3CDTF">2022-06-03T10:26:00Z</dcterms:created>
  <dcterms:modified xsi:type="dcterms:W3CDTF">2022-06-03T10:40:00Z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