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1E6975">
        <w:t>Modernizace a elektrizace trati Hrušovany u Brna – Židlochovice</w:t>
      </w:r>
      <w:r>
        <w:t>“</w:t>
      </w:r>
      <w:r w:rsidR="001E6975">
        <w:t xml:space="preserve">, návrh řešení protihlukové ochrany </w:t>
      </w:r>
      <w:r w:rsidR="00525957">
        <w:t>–</w:t>
      </w:r>
      <w:r w:rsidR="001E6975">
        <w:t xml:space="preserve"> BOZP </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CE4E8C" w:rsidP="00F91101">
      <w:pPr>
        <w:spacing w:after="120"/>
        <w:ind w:left="567"/>
        <w:jc w:val="both"/>
        <w:rPr>
          <w:rFonts w:ascii="Verdana" w:hAnsi="Verdana" w:cs="Calibri"/>
        </w:rPr>
      </w:pPr>
      <w:r>
        <w:t>Mgr. Michal Maier</w:t>
      </w:r>
      <w:r w:rsidR="00F91101" w:rsidRPr="005C7EED">
        <w:rPr>
          <w:rFonts w:ascii="Verdana" w:hAnsi="Verdana" w:cs="Calibri"/>
        </w:rPr>
        <w:t xml:space="preserve">, tel.: </w:t>
      </w:r>
      <w:r>
        <w:t>724 932 278</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CE4E8C" w:rsidP="00F91101">
      <w:pPr>
        <w:spacing w:after="120"/>
        <w:ind w:left="567"/>
        <w:jc w:val="both"/>
        <w:rPr>
          <w:rFonts w:ascii="Verdana" w:hAnsi="Verdana" w:cs="Calibri"/>
        </w:rPr>
      </w:pPr>
      <w:r>
        <w:t>Mgr. Milan Bussinow, Ph.D.</w:t>
      </w:r>
      <w:r>
        <w:rPr>
          <w:rFonts w:ascii="Verdana" w:hAnsi="Verdana" w:cs="Calibri"/>
        </w:rPr>
        <w:t xml:space="preserve">, </w:t>
      </w:r>
      <w:r w:rsidR="00F91101" w:rsidRPr="005C7EED">
        <w:rPr>
          <w:rFonts w:ascii="Verdana" w:hAnsi="Verdana" w:cs="Calibri"/>
        </w:rPr>
        <w:t xml:space="preserve">tel.: </w:t>
      </w:r>
      <w:r>
        <w:t>702 122 685</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CE4E8C">
        <w:t>5623720018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CE4E8C">
        <w:rPr>
          <w:b/>
        </w:rPr>
        <w:t>„</w:t>
      </w:r>
      <w:r w:rsidR="00CE4E8C" w:rsidRPr="00CE4E8C">
        <w:rPr>
          <w:rFonts w:ascii="Verdana" w:hAnsi="Verdana" w:cs="Calibri"/>
          <w:b/>
        </w:rPr>
        <w:t>Modernizace a elektrizace trati Hrušovany u Brna – Židlochovice</w:t>
      </w:r>
      <w:r w:rsidR="00F91101" w:rsidRPr="00CE4E8C">
        <w:rPr>
          <w:b/>
        </w:rPr>
        <w:t>“</w:t>
      </w:r>
      <w:r w:rsidR="00CE4E8C" w:rsidRPr="00CE4E8C">
        <w:rPr>
          <w:b/>
        </w:rPr>
        <w:t>, návrh řešení protihlukové ochrany</w:t>
      </w:r>
      <w:r w:rsidR="008E4620">
        <w:rPr>
          <w:b/>
        </w:rPr>
        <w:t xml:space="preserve"> – BOZP</w:t>
      </w:r>
      <w:bookmarkStart w:id="0" w:name="_GoBack"/>
      <w:bookmarkEnd w:id="0"/>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525957">
        <w:t xml:space="preserve">do </w:t>
      </w:r>
      <w:r w:rsidR="00525957" w:rsidRPr="00525957">
        <w:rPr>
          <w:rFonts w:cs="Arial"/>
          <w:b/>
        </w:rPr>
        <w:t xml:space="preserve">4 </w:t>
      </w:r>
      <w:r w:rsidRPr="00525957">
        <w:rPr>
          <w:b/>
        </w:rPr>
        <w:t>měsíců</w:t>
      </w:r>
      <w:r w:rsidRPr="00525957">
        <w:t xml:space="preserve"> ode</w:t>
      </w:r>
      <w:r w:rsidRPr="005C7EED">
        <w:t xml:space="preserv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 xml:space="preserve">Účastníky exkurze budou primárně studenti vysokých, středních nebo učňovských škol stavebního, elektrotechnického, strojařského nebo dopravního zaměření a vyučující </w:t>
      </w:r>
      <w:r w:rsidRPr="002D4C7D">
        <w:lastRenderedPageBreak/>
        <w:t>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4620">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462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E6975"/>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2595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E4620"/>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CE4E8C"/>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AC9406"/>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B0F634F-9089-4D65-900C-EEEB1D464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34</TotalTime>
  <Pages>13</Pages>
  <Words>5874</Words>
  <Characters>34660</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8</cp:revision>
  <cp:lastPrinted>2019-03-12T14:16:00Z</cp:lastPrinted>
  <dcterms:created xsi:type="dcterms:W3CDTF">2021-06-01T05:51:00Z</dcterms:created>
  <dcterms:modified xsi:type="dcterms:W3CDTF">2022-03-22T07:02:00Z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