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41" w:rsidRDefault="0072110F" w:rsidP="00053AD9">
      <w:pPr>
        <w:autoSpaceDE w:val="0"/>
        <w:autoSpaceDN w:val="0"/>
        <w:adjustRightInd w:val="0"/>
        <w:rPr>
          <w:rFonts w:cs="Helvetica-Bold"/>
          <w:b/>
          <w:bCs/>
          <w:color w:val="000000"/>
          <w:sz w:val="20"/>
          <w:szCs w:val="20"/>
        </w:rPr>
      </w:pPr>
      <w:r w:rsidRPr="00971441">
        <w:rPr>
          <w:rFonts w:cs="Helvetica-Bold"/>
          <w:bCs/>
          <w:color w:val="000000"/>
          <w:szCs w:val="18"/>
        </w:rPr>
        <w:t xml:space="preserve">Příloha </w:t>
      </w:r>
      <w:r w:rsidR="00053AD9" w:rsidRPr="00971441">
        <w:rPr>
          <w:rFonts w:cs="Helvetica-Bold"/>
          <w:bCs/>
          <w:color w:val="000000"/>
          <w:szCs w:val="18"/>
        </w:rPr>
        <w:t>č. 3 ke Smlouvě</w:t>
      </w:r>
      <w:r w:rsidRPr="00971441">
        <w:rPr>
          <w:rFonts w:cs="Helvetica-Bold"/>
          <w:bCs/>
          <w:color w:val="000000"/>
          <w:szCs w:val="18"/>
        </w:rPr>
        <w:t xml:space="preserve"> </w:t>
      </w:r>
      <w:r w:rsidR="008A3360" w:rsidRPr="008A3360">
        <w:rPr>
          <w:rFonts w:cs="Helvetica-Bold"/>
          <w:bCs/>
          <w:color w:val="000000"/>
          <w:szCs w:val="18"/>
        </w:rPr>
        <w:t>o zajišťování kondičních pobytů pro zaměstnance Správy železnic, státní organizace</w:t>
      </w:r>
    </w:p>
    <w:p w:rsidR="00971441" w:rsidRDefault="00971441" w:rsidP="00053AD9">
      <w:pPr>
        <w:autoSpaceDE w:val="0"/>
        <w:autoSpaceDN w:val="0"/>
        <w:adjustRightInd w:val="0"/>
        <w:rPr>
          <w:rFonts w:cs="Helvetica-Bold"/>
          <w:b/>
          <w:bCs/>
          <w:color w:val="000000"/>
          <w:sz w:val="20"/>
          <w:szCs w:val="20"/>
        </w:rPr>
      </w:pPr>
    </w:p>
    <w:p w:rsidR="009816FF" w:rsidRPr="000A7465" w:rsidRDefault="009816FF" w:rsidP="009816FF">
      <w:pPr>
        <w:autoSpaceDE w:val="0"/>
        <w:autoSpaceDN w:val="0"/>
        <w:adjustRightInd w:val="0"/>
        <w:rPr>
          <w:rFonts w:cs="Helvetica-Bold"/>
          <w:bCs/>
          <w:color w:val="FF0000"/>
          <w:sz w:val="24"/>
          <w:szCs w:val="24"/>
        </w:rPr>
      </w:pPr>
      <w:r w:rsidRPr="000A7465">
        <w:rPr>
          <w:rFonts w:cs="Helvetica-Bold"/>
          <w:b/>
          <w:bCs/>
          <w:color w:val="FF0000"/>
          <w:sz w:val="24"/>
          <w:szCs w:val="24"/>
          <w:u w:val="single"/>
        </w:rPr>
        <w:t>ZPRACOVÁNÍ OSOBNÍCH ÚDAJŮ</w:t>
      </w:r>
    </w:p>
    <w:p w:rsidR="009816FF" w:rsidRDefault="009816FF" w:rsidP="009816FF">
      <w:pPr>
        <w:autoSpaceDE w:val="0"/>
        <w:autoSpaceDN w:val="0"/>
        <w:adjustRightInd w:val="0"/>
        <w:ind w:left="567" w:hanging="567"/>
        <w:rPr>
          <w:rFonts w:cs="Helvetica-Bold"/>
          <w:bCs/>
          <w:color w:val="000000"/>
          <w:szCs w:val="24"/>
        </w:rPr>
      </w:pPr>
    </w:p>
    <w:p w:rsidR="009816FF" w:rsidRDefault="009816FF" w:rsidP="009816FF">
      <w:pPr>
        <w:spacing w:after="120"/>
        <w:rPr>
          <w:szCs w:val="18"/>
        </w:rPr>
      </w:pPr>
      <w:r>
        <w:rPr>
          <w:spacing w:val="-3"/>
          <w:szCs w:val="18"/>
        </w:rPr>
        <w:t xml:space="preserve">V rámci plnění </w:t>
      </w:r>
      <w:r w:rsidRPr="00F40CC5">
        <w:rPr>
          <w:spacing w:val="-3"/>
          <w:szCs w:val="18"/>
        </w:rPr>
        <w:t xml:space="preserve">Smlouvy </w:t>
      </w:r>
      <w:r w:rsidR="008A3360" w:rsidRPr="008A3360">
        <w:rPr>
          <w:rFonts w:cs="Helvetica-Bold"/>
          <w:bCs/>
          <w:color w:val="000000"/>
          <w:szCs w:val="24"/>
        </w:rPr>
        <w:t>o zajišťování kondičních pobytů pro zaměstnance Spr</w:t>
      </w:r>
      <w:r w:rsidR="008A3360">
        <w:rPr>
          <w:rFonts w:cs="Helvetica-Bold"/>
          <w:bCs/>
          <w:color w:val="000000"/>
          <w:szCs w:val="24"/>
        </w:rPr>
        <w:t xml:space="preserve">ávy železnic, státní organizace </w:t>
      </w:r>
      <w:r w:rsidRPr="00F40CC5">
        <w:rPr>
          <w:rFonts w:cs="Helvetica-Bold"/>
          <w:bCs/>
          <w:color w:val="000000"/>
          <w:szCs w:val="24"/>
        </w:rPr>
        <w:t>(„</w:t>
      </w:r>
      <w:r w:rsidRPr="0072110F">
        <w:rPr>
          <w:rFonts w:cs="Helvetica-Bold"/>
          <w:b/>
          <w:bCs/>
          <w:color w:val="000000"/>
          <w:szCs w:val="24"/>
        </w:rPr>
        <w:t>Hlavní smlouva</w:t>
      </w:r>
      <w:r>
        <w:rPr>
          <w:rFonts w:cs="Helvetica-Bold"/>
          <w:bCs/>
          <w:color w:val="000000"/>
          <w:szCs w:val="24"/>
        </w:rPr>
        <w:t xml:space="preserve">“) bude </w:t>
      </w:r>
      <w:r>
        <w:rPr>
          <w:szCs w:val="18"/>
        </w:rPr>
        <w:t xml:space="preserve">Zpracovatel zpracovávat osobní údaje pro Správce, a to výhradně za účelem poskytování Služeb v rozsahu ujednaném podle Hlavní smlouvy </w:t>
      </w:r>
      <w:r>
        <w:rPr>
          <w:spacing w:val="-3"/>
          <w:szCs w:val="18"/>
        </w:rPr>
        <w:t>(</w:t>
      </w:r>
      <w:r>
        <w:rPr>
          <w:szCs w:val="18"/>
        </w:rPr>
        <w:t>„</w:t>
      </w:r>
      <w:r>
        <w:rPr>
          <w:b/>
          <w:szCs w:val="18"/>
        </w:rPr>
        <w:t>Účel</w:t>
      </w:r>
      <w:r>
        <w:rPr>
          <w:szCs w:val="18"/>
        </w:rPr>
        <w:t>“</w:t>
      </w:r>
      <w:r>
        <w:rPr>
          <w:spacing w:val="-3"/>
          <w:szCs w:val="18"/>
        </w:rPr>
        <w:t>)</w:t>
      </w:r>
      <w:r>
        <w:rPr>
          <w:szCs w:val="18"/>
        </w:rPr>
        <w:t>.</w:t>
      </w:r>
    </w:p>
    <w:p w:rsidR="009816FF" w:rsidRDefault="009816FF" w:rsidP="009816FF">
      <w:pPr>
        <w:spacing w:after="120"/>
        <w:rPr>
          <w:szCs w:val="18"/>
        </w:rPr>
      </w:pPr>
      <w:r>
        <w:rPr>
          <w:szCs w:val="18"/>
        </w:rPr>
        <w:t>Smluvní strany se tímto dále dohodly, že Zpracovatel bude pro Správce zpracovávat osobní údaje</w:t>
      </w:r>
      <w:r>
        <w:rPr>
          <w:color w:val="00B0F0"/>
          <w:szCs w:val="18"/>
        </w:rPr>
        <w:t xml:space="preserve"> </w:t>
      </w:r>
      <w:r>
        <w:rPr>
          <w:szCs w:val="18"/>
        </w:rPr>
        <w:t>výhradně za uvedeným Účelem, způsobem a na základě doložených pokynů a podmínek Správce a v souladu s nimi tak, jak vyplývají z  Hlavní smlouvy. V případě jakéhokoliv rozporu mezi ustanoveními této Přílohy a ustanoveními Hlavní smlouvy, má přednost tato Příloha.</w:t>
      </w:r>
    </w:p>
    <w:p w:rsidR="00703BC2" w:rsidRDefault="00703BC2" w:rsidP="009816FF">
      <w:pPr>
        <w:spacing w:after="120"/>
        <w:rPr>
          <w:szCs w:val="18"/>
        </w:rPr>
      </w:pPr>
    </w:p>
    <w:p w:rsidR="009816FF" w:rsidRPr="00AA0769" w:rsidRDefault="009816FF" w:rsidP="009816FF">
      <w:pPr>
        <w:pStyle w:val="Odstavecseseznamem"/>
        <w:numPr>
          <w:ilvl w:val="0"/>
          <w:numId w:val="1"/>
        </w:numPr>
        <w:spacing w:before="120" w:after="120"/>
        <w:contextualSpacing w:val="0"/>
        <w:rPr>
          <w:b/>
          <w:szCs w:val="18"/>
        </w:rPr>
      </w:pPr>
      <w:r w:rsidRPr="00AA0769">
        <w:rPr>
          <w:b/>
          <w:szCs w:val="18"/>
        </w:rPr>
        <w:t>ROZSAH ZPRACOVÁVANÝCH OSOBNÍCH ÚDAJŮ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Zpracovavatel bude na základě Hlavní smlouvy zpracovávat pro Správce následující kategorie subjektů osobních údajů:</w:t>
      </w:r>
    </w:p>
    <w:p w:rsidR="009816FF" w:rsidRPr="00AA0769" w:rsidRDefault="009816FF" w:rsidP="009816FF">
      <w:pPr>
        <w:spacing w:before="120" w:after="120"/>
        <w:ind w:left="851"/>
        <w:rPr>
          <w:szCs w:val="18"/>
        </w:rPr>
      </w:pPr>
      <w:r w:rsidRPr="00AA0769">
        <w:rPr>
          <w:i/>
          <w:szCs w:val="18"/>
        </w:rPr>
        <w:t>zaměstnanci Správce</w:t>
      </w:r>
      <w:r w:rsidRPr="00AA0769">
        <w:rPr>
          <w:szCs w:val="18"/>
        </w:rPr>
        <w:t xml:space="preserve"> – účastníci kondičních pobytů</w:t>
      </w:r>
    </w:p>
    <w:p w:rsidR="009816FF" w:rsidRPr="00AA0769" w:rsidRDefault="009816FF" w:rsidP="009816FF">
      <w:pPr>
        <w:spacing w:before="120" w:after="120"/>
        <w:ind w:left="851"/>
        <w:rPr>
          <w:szCs w:val="18"/>
        </w:rPr>
      </w:pPr>
      <w:r w:rsidRPr="00AA0769">
        <w:rPr>
          <w:szCs w:val="18"/>
        </w:rPr>
        <w:t xml:space="preserve"> (dále společně jen jako „</w:t>
      </w:r>
      <w:r w:rsidRPr="00AA0769">
        <w:rPr>
          <w:b/>
          <w:szCs w:val="18"/>
        </w:rPr>
        <w:t>Subjekty údajů</w:t>
      </w:r>
      <w:r w:rsidRPr="00AA0769">
        <w:rPr>
          <w:szCs w:val="18"/>
        </w:rPr>
        <w:t>“).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Zpracovavatel bude na základě Hlavní smlouvy  u jednotlivých kategorií Subjektů údajů zpracovávat pro Správce následující typy osobních údajů:</w:t>
      </w:r>
    </w:p>
    <w:p w:rsidR="009816FF" w:rsidRPr="00AA0769" w:rsidRDefault="009816FF" w:rsidP="009816FF">
      <w:pPr>
        <w:tabs>
          <w:tab w:val="left" w:pos="851"/>
        </w:tabs>
        <w:spacing w:before="120" w:after="120"/>
        <w:ind w:left="851"/>
        <w:rPr>
          <w:szCs w:val="18"/>
        </w:rPr>
      </w:pPr>
      <w:r w:rsidRPr="00AA0769">
        <w:rPr>
          <w:i/>
          <w:szCs w:val="18"/>
        </w:rPr>
        <w:t>identifikační a kontaktní údaje (jméno a příjmení, pohlaví, věk, datum narození, místo narození, telefonní číslo, zaměstnanecké číslo, emailová adresa, trvalý pobyt – kontaktní adresa, státní občanství, titul, zdravotní stav</w:t>
      </w:r>
      <w:r w:rsidRPr="00AA0769">
        <w:rPr>
          <w:szCs w:val="18"/>
        </w:rPr>
        <w:t>);</w:t>
      </w:r>
    </w:p>
    <w:p w:rsidR="009816FF" w:rsidRPr="00AA0769" w:rsidRDefault="009816FF" w:rsidP="009816FF">
      <w:pPr>
        <w:tabs>
          <w:tab w:val="left" w:pos="851"/>
        </w:tabs>
        <w:spacing w:before="120" w:after="120"/>
        <w:ind w:left="851"/>
        <w:rPr>
          <w:szCs w:val="18"/>
        </w:rPr>
      </w:pPr>
      <w:r w:rsidRPr="00AA0769">
        <w:rPr>
          <w:szCs w:val="18"/>
        </w:rPr>
        <w:t xml:space="preserve"> (dále společně jen jako „</w:t>
      </w:r>
      <w:r w:rsidRPr="00AA0769">
        <w:rPr>
          <w:b/>
          <w:szCs w:val="18"/>
        </w:rPr>
        <w:t>Osobní údaje</w:t>
      </w:r>
      <w:r w:rsidRPr="00AA0769">
        <w:rPr>
          <w:szCs w:val="18"/>
        </w:rPr>
        <w:t>“).</w:t>
      </w:r>
    </w:p>
    <w:p w:rsidR="009816FF" w:rsidRPr="00AA0769" w:rsidRDefault="009816FF" w:rsidP="009816FF">
      <w:pPr>
        <w:tabs>
          <w:tab w:val="left" w:pos="851"/>
        </w:tabs>
        <w:spacing w:before="120" w:after="120"/>
        <w:ind w:left="851"/>
        <w:rPr>
          <w:szCs w:val="18"/>
        </w:rPr>
      </w:pPr>
      <w:r w:rsidRPr="00AA0769">
        <w:rPr>
          <w:szCs w:val="18"/>
        </w:rPr>
        <w:t>Osobní údaje budou Zpracovatelem zpracovávány a ukládány na serverech umístěných v sídle Zpracovatele;</w:t>
      </w:r>
    </w:p>
    <w:p w:rsidR="009816FF" w:rsidRDefault="009816FF" w:rsidP="009816FF">
      <w:pPr>
        <w:pStyle w:val="Odstavecseseznamem"/>
        <w:numPr>
          <w:ilvl w:val="1"/>
          <w:numId w:val="2"/>
        </w:numPr>
        <w:spacing w:before="120" w:after="120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Pokud Zpracovatel zpracovává na základě výslovného pokynu Správce osobní údaje, které tato Smlouva v bodě 1.2 výslovně neuvádí, budou tyto nové osobní údaje zpracovávány za stejných podmínek.</w:t>
      </w:r>
    </w:p>
    <w:p w:rsidR="00703BC2" w:rsidRPr="00703BC2" w:rsidRDefault="00703BC2" w:rsidP="00703BC2">
      <w:pPr>
        <w:spacing w:before="120" w:after="120"/>
        <w:ind w:left="360"/>
        <w:rPr>
          <w:szCs w:val="18"/>
        </w:rPr>
      </w:pPr>
    </w:p>
    <w:p w:rsidR="009816FF" w:rsidRPr="00AA0769" w:rsidRDefault="009816FF" w:rsidP="009816FF">
      <w:pPr>
        <w:pStyle w:val="Odstavecseseznamem"/>
        <w:numPr>
          <w:ilvl w:val="0"/>
          <w:numId w:val="1"/>
        </w:numPr>
        <w:spacing w:before="120" w:after="120"/>
        <w:contextualSpacing w:val="0"/>
        <w:rPr>
          <w:b/>
          <w:szCs w:val="18"/>
        </w:rPr>
      </w:pPr>
      <w:r w:rsidRPr="00AA0769">
        <w:rPr>
          <w:b/>
          <w:szCs w:val="18"/>
        </w:rPr>
        <w:t>DOBA ZPRACOVÁNÍ</w:t>
      </w:r>
    </w:p>
    <w:p w:rsidR="009816FF" w:rsidRPr="00AA0769" w:rsidRDefault="009816FF" w:rsidP="009816FF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vanish/>
          <w:szCs w:val="18"/>
        </w:rPr>
      </w:pPr>
    </w:p>
    <w:p w:rsidR="009816FF" w:rsidRDefault="009816FF" w:rsidP="009816FF">
      <w:pPr>
        <w:pStyle w:val="Odstavecseseznamem"/>
        <w:numPr>
          <w:ilvl w:val="1"/>
          <w:numId w:val="2"/>
        </w:numPr>
        <w:spacing w:before="120" w:after="120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 xml:space="preserve">Tato příloha hlavní smlouvy je účinná ode dne jejího podpisu oběma Smluvními stranami, a to po dobu účinnosti Hlavní smlouvy a splnění všech povinností v souvislosti s ukončením zpracování dle této Smlouvy. </w:t>
      </w:r>
    </w:p>
    <w:p w:rsidR="00703BC2" w:rsidRPr="00703BC2" w:rsidRDefault="00703BC2" w:rsidP="00703BC2">
      <w:pPr>
        <w:spacing w:before="120" w:after="120"/>
        <w:ind w:left="360"/>
        <w:rPr>
          <w:szCs w:val="18"/>
        </w:rPr>
      </w:pPr>
    </w:p>
    <w:p w:rsidR="009816FF" w:rsidRPr="00AA0769" w:rsidRDefault="009816FF" w:rsidP="009816FF">
      <w:pPr>
        <w:pStyle w:val="Odstavecseseznamem"/>
        <w:numPr>
          <w:ilvl w:val="0"/>
          <w:numId w:val="1"/>
        </w:numPr>
        <w:spacing w:after="120"/>
        <w:rPr>
          <w:b/>
          <w:szCs w:val="18"/>
        </w:rPr>
      </w:pPr>
      <w:r w:rsidRPr="00AA0769">
        <w:rPr>
          <w:b/>
          <w:szCs w:val="18"/>
        </w:rPr>
        <w:t>POVINNOSTI ZPRACOVATELE</w:t>
      </w:r>
    </w:p>
    <w:p w:rsidR="009816FF" w:rsidRPr="00AA0769" w:rsidRDefault="009816FF" w:rsidP="009816FF">
      <w:pPr>
        <w:pStyle w:val="Odstavecseseznamem"/>
        <w:numPr>
          <w:ilvl w:val="0"/>
          <w:numId w:val="2"/>
        </w:numPr>
        <w:spacing w:after="120"/>
        <w:rPr>
          <w:vanish/>
          <w:szCs w:val="18"/>
        </w:rPr>
      </w:pP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 xml:space="preserve">Zpracovatel se zavazuje přijmout vhodná technická a organizační opatření podle Nařízení Evropského parlamentu a Rady (EU) 2016/679 ze dne 27. dubna 2016 o ochraně fyzických osob v souvislosti se zpracováním osobních údajů a o volném pohybu těchto údajů a o zrušení směrnice 95/46ES (obecné nařízení o ochraně osobních </w:t>
      </w:r>
      <w:proofErr w:type="gramStart"/>
      <w:r w:rsidRPr="00AA0769">
        <w:rPr>
          <w:sz w:val="18"/>
          <w:szCs w:val="18"/>
        </w:rPr>
        <w:t>údajů) („</w:t>
      </w:r>
      <w:r w:rsidRPr="00AA0769">
        <w:rPr>
          <w:b/>
          <w:sz w:val="18"/>
          <w:szCs w:val="18"/>
        </w:rPr>
        <w:t>GDPR</w:t>
      </w:r>
      <w:proofErr w:type="gramEnd"/>
      <w:r w:rsidRPr="00AA0769">
        <w:rPr>
          <w:sz w:val="18"/>
          <w:szCs w:val="18"/>
        </w:rPr>
        <w:t>“), které se na něj jako na Zpracovatele vztahují a plnění těchto povinností na vyžádání doložit Správci.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Zpracovatel neprodleně informuje Správce, pokud jsou podle jeho názoru určité pokyny Správce v rozporu s účinnými právními předpisy.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 xml:space="preserve">Zpracovatel může předávat Osobní údaje do třetí země nebo mezinárodní organizaci ve smyslu GDPR  pouze na základě zvláštního pokynu Správce. Je-li takovéto předání založeno na povinnosti vyplývající z práva Unie nebo členského státu, které se na Správce vztahuje, informuje Zpracovatel Správce o tomto právním požadavku před předáním, </w:t>
      </w:r>
      <w:r w:rsidRPr="00AA0769">
        <w:rPr>
          <w:sz w:val="18"/>
          <w:szCs w:val="18"/>
        </w:rPr>
        <w:lastRenderedPageBreak/>
        <w:t>ledaže by tyto právní předpisy toto informování zakazovaly z důležitých důvodů veřejného zájmu.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Zpracovatel je povinen zajistit, aby se osoby oprávněné zpracovávat osobní údaje zavázaly zachovávat mlčenlivost ve vztahu ke všem Osobním údajům, které zpracovává na základě Smlouvy a Hlavní smlouvy, a rovněž tak o bezpečnostních opatřeních, jejichž zveřejnění by ohrozilo zabezpečení osobních údajů.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Zpracovatel je povinen přijmout všechna opatření dle čl. 32 GDPR tak, aby byla zajištěna odpovídající bezpečnost Osobních údajů.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 xml:space="preserve">Zpracovatel může do zpracování zapojit </w:t>
      </w:r>
      <w:r>
        <w:rPr>
          <w:sz w:val="18"/>
          <w:szCs w:val="18"/>
        </w:rPr>
        <w:t>pod</w:t>
      </w:r>
      <w:r w:rsidRPr="00AA0769">
        <w:rPr>
          <w:sz w:val="18"/>
          <w:szCs w:val="18"/>
        </w:rPr>
        <w:t xml:space="preserve">dodavatele pouze na základě předchozího písemného souhlasu Správce. 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</w:t>
      </w:r>
      <w:r>
        <w:rPr>
          <w:sz w:val="18"/>
          <w:szCs w:val="18"/>
        </w:rPr>
        <w:t>racovatel se zavazuje s těmito pod</w:t>
      </w:r>
      <w:r w:rsidRPr="00AA0769">
        <w:rPr>
          <w:sz w:val="18"/>
          <w:szCs w:val="18"/>
        </w:rPr>
        <w:t>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subdodavatelem.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Zpracovatel je dále povinen zohlednit povahu zpracování, být správci nápomocen prostřednictvím vhodných technických a organizačních opatření pro splnění Správcovy povinnosti reagovat na žádost o výkon práv subjektu údajů dle GDPR.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Zpracovatel je povinen být Správci nápomocen při zajišťování souladu s povinnostmi podle článku 32 až 36 GDPR, a to při zohlednění povahy zpracování informací, jež má Zpracovatel k dispozici. V případech, kdy povaha věci vyžaduje informování Správce ze strany Zpracovatele, informuje Zpracovatel Správce bez zbytečného odkladu.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bookmarkStart w:id="0" w:name="_GoBack"/>
      <w:bookmarkEnd w:id="0"/>
      <w:r w:rsidRPr="00AA0769">
        <w:rPr>
          <w:sz w:val="18"/>
          <w:szCs w:val="18"/>
        </w:rPr>
        <w:t>Zpracovatel je povinen umožnit Správci a jím pověřené osobě, během běžné pracovní doby Zpracovatele, provést v sídle Zpracovatele kontrolu dodržování povinností týkajících se zpracování Osobních údajů vyplývajících z této Smlouvy, a to i po ukončení stanovené doby zpracování, tj. po ukončení této Smlouvy, a to do 3 měsíců od jejího ukončení.</w:t>
      </w:r>
    </w:p>
    <w:p w:rsidR="009816FF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 xml:space="preserve">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 výjimkou kdy uchovávání vyžadují právní předpisy, nebo k tomu dal písemný souhlas Správce. </w:t>
      </w:r>
    </w:p>
    <w:p w:rsidR="00703BC2" w:rsidRPr="00703BC2" w:rsidRDefault="00703BC2" w:rsidP="00703BC2">
      <w:pPr>
        <w:spacing w:before="120" w:after="120"/>
        <w:ind w:left="360"/>
        <w:rPr>
          <w:szCs w:val="18"/>
        </w:rPr>
      </w:pPr>
    </w:p>
    <w:p w:rsidR="009816FF" w:rsidRPr="00AA0769" w:rsidRDefault="009816FF" w:rsidP="009816FF">
      <w:pPr>
        <w:pStyle w:val="Odstavecseseznamem"/>
        <w:numPr>
          <w:ilvl w:val="0"/>
          <w:numId w:val="1"/>
        </w:numPr>
        <w:spacing w:after="120"/>
        <w:rPr>
          <w:b/>
          <w:szCs w:val="18"/>
        </w:rPr>
      </w:pPr>
      <w:r w:rsidRPr="00AA0769">
        <w:rPr>
          <w:b/>
          <w:szCs w:val="18"/>
        </w:rPr>
        <w:t>ODPOVĚDNOST ZPRACOVATELE A SMLUVNÍ POKUTA</w:t>
      </w:r>
    </w:p>
    <w:p w:rsidR="009816FF" w:rsidRPr="00AA0769" w:rsidRDefault="009816FF" w:rsidP="009816FF">
      <w:pPr>
        <w:pStyle w:val="Odstavecseseznamem"/>
        <w:numPr>
          <w:ilvl w:val="0"/>
          <w:numId w:val="2"/>
        </w:numPr>
        <w:spacing w:after="120"/>
        <w:rPr>
          <w:vanish/>
          <w:szCs w:val="18"/>
        </w:rPr>
      </w:pP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V případě, že zpracovatel zpracuje osobní údaje nad rámec vymezený Smlouvou/doloženými pokyny Správce, považuje se ve vztahu k takovému zpracování za správce. Pokud tímto zpracováním nad rámec vymezený Smlouvou/doloženými pokyny Správce vznikne Správci škoda, je Zpracovatel povinen škodu uhradit.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 xml:space="preserve">Pokud Zpracovatel poruší jakoukoli povinnost podle ustanovení tohoto článků této Smlouvy, je Zpracovatel povinen uhradit </w:t>
      </w:r>
      <w:r>
        <w:rPr>
          <w:sz w:val="18"/>
          <w:szCs w:val="18"/>
        </w:rPr>
        <w:t xml:space="preserve">smluvní pokutu Správci ve výši </w:t>
      </w:r>
      <w:r w:rsidRPr="00AA0769">
        <w:rPr>
          <w:sz w:val="18"/>
          <w:szCs w:val="18"/>
        </w:rPr>
        <w:t>10 000 Kč za každé jednotlivé porušení. Smluvní pokuta je splatná do 30 dnů ode dne doručení žádosti o platbu zaslané Správcem na základě tohoto ustanovení.</w:t>
      </w:r>
    </w:p>
    <w:p w:rsidR="009816FF" w:rsidRPr="00AA0769" w:rsidRDefault="009816FF" w:rsidP="009816FF">
      <w:pPr>
        <w:pStyle w:val="Odstavecseseznamem"/>
        <w:numPr>
          <w:ilvl w:val="1"/>
          <w:numId w:val="2"/>
        </w:numPr>
        <w:spacing w:before="120" w:after="120"/>
        <w:ind w:left="788" w:hanging="431"/>
        <w:contextualSpacing w:val="0"/>
        <w:rPr>
          <w:sz w:val="18"/>
          <w:szCs w:val="18"/>
        </w:rPr>
      </w:pPr>
      <w:r w:rsidRPr="00AA0769">
        <w:rPr>
          <w:sz w:val="18"/>
          <w:szCs w:val="18"/>
        </w:rPr>
        <w:t>Zaplacením smluvní pokuty, jak je popsána v  odstavci výše, není dotčeno právo Správce požadovat náhradu újmy způsobenou porušením ustanovení této Smlouvy nebo právo požadovat smluvní pokutu podle Hlavní smlouvy.</w:t>
      </w:r>
    </w:p>
    <w:p w:rsidR="001E3760" w:rsidRDefault="001E3760" w:rsidP="001E3760"/>
    <w:p w:rsidR="003727EC" w:rsidRDefault="003727EC" w:rsidP="009816FF">
      <w:pPr>
        <w:spacing w:before="120" w:after="120"/>
      </w:pPr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14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6E74913"/>
    <w:multiLevelType w:val="multilevel"/>
    <w:tmpl w:val="D6B43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28"/>
    <w:rsid w:val="000529F4"/>
    <w:rsid w:val="00053AD9"/>
    <w:rsid w:val="000A7465"/>
    <w:rsid w:val="00127826"/>
    <w:rsid w:val="001E3760"/>
    <w:rsid w:val="002072F3"/>
    <w:rsid w:val="00253978"/>
    <w:rsid w:val="003727EC"/>
    <w:rsid w:val="004E1574"/>
    <w:rsid w:val="006449D1"/>
    <w:rsid w:val="00703BC2"/>
    <w:rsid w:val="0072110F"/>
    <w:rsid w:val="0081125C"/>
    <w:rsid w:val="00851628"/>
    <w:rsid w:val="008A3360"/>
    <w:rsid w:val="00971441"/>
    <w:rsid w:val="009816FF"/>
    <w:rsid w:val="00AA0769"/>
    <w:rsid w:val="00AC5FB7"/>
    <w:rsid w:val="00BF6A6B"/>
    <w:rsid w:val="00D3306F"/>
    <w:rsid w:val="00D62C89"/>
    <w:rsid w:val="00D96CEA"/>
    <w:rsid w:val="00F4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1628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2C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2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2C89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2C89"/>
    <w:rPr>
      <w:rFonts w:eastAsia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2C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2C8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1628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2C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2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2C89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2C89"/>
    <w:rPr>
      <w:rFonts w:eastAsia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2C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2C8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FA480-531F-4719-A443-32FAC882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868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Vlásková Lenka, JUDr.</dc:creator>
  <cp:lastModifiedBy>Strnadová Dagmar</cp:lastModifiedBy>
  <cp:revision>17</cp:revision>
  <dcterms:created xsi:type="dcterms:W3CDTF">2020-11-11T13:29:00Z</dcterms:created>
  <dcterms:modified xsi:type="dcterms:W3CDTF">2021-11-08T09:53:00Z</dcterms:modified>
</cp:coreProperties>
</file>