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0B1A1A07" w14:textId="77777777" w:rsidTr="007D3F49">
        <w:tc>
          <w:tcPr>
            <w:tcW w:w="1134" w:type="dxa"/>
          </w:tcPr>
          <w:p w14:paraId="6292CDA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0" allowOverlap="1" wp14:anchorId="4EA53737" wp14:editId="59D829AB">
                      <wp:simplePos x="0" y="0"/>
                      <wp:positionH relativeFrom="page">
                        <wp:posOffset>2672715</wp:posOffset>
                      </wp:positionH>
                      <wp:positionV relativeFrom="page">
                        <wp:posOffset>-140970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5F113A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A537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0.45pt;margin-top:-11.1pt;width:189.9pt;height:61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Gj881N4AAAAL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B5F113A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14:paraId="34E98C7D" w14:textId="77777777" w:rsidR="00F64786" w:rsidRDefault="00F64786" w:rsidP="0077673A"/>
        </w:tc>
        <w:tc>
          <w:tcPr>
            <w:tcW w:w="823" w:type="dxa"/>
          </w:tcPr>
          <w:p w14:paraId="7EBF700C" w14:textId="77777777" w:rsidR="00F64786" w:rsidRDefault="00F64786" w:rsidP="0077673A"/>
        </w:tc>
        <w:tc>
          <w:tcPr>
            <w:tcW w:w="3685" w:type="dxa"/>
          </w:tcPr>
          <w:p w14:paraId="113A77FF" w14:textId="77777777" w:rsidR="00F64786" w:rsidRDefault="00F64786" w:rsidP="0077673A"/>
        </w:tc>
      </w:tr>
      <w:tr w:rsidR="0085203B" w14:paraId="3B9A2138" w14:textId="77777777" w:rsidTr="007D3F49">
        <w:tc>
          <w:tcPr>
            <w:tcW w:w="1134" w:type="dxa"/>
          </w:tcPr>
          <w:p w14:paraId="03652E5A" w14:textId="1CD53D90" w:rsidR="0085203B" w:rsidRDefault="0085203B" w:rsidP="0077673A">
            <w:r w:rsidRPr="003E6B9A">
              <w:t>Naše zn.</w:t>
            </w:r>
          </w:p>
        </w:tc>
        <w:tc>
          <w:tcPr>
            <w:tcW w:w="2438" w:type="dxa"/>
          </w:tcPr>
          <w:p w14:paraId="5BAFE1D3" w14:textId="0DE5E601" w:rsidR="0085203B" w:rsidRDefault="0085203B" w:rsidP="00EB4EBE">
            <w:r w:rsidRPr="00EB4EBE">
              <w:rPr>
                <w:rFonts w:ascii="Helvetica" w:hAnsi="Helvetica"/>
              </w:rPr>
              <w:t>185</w:t>
            </w:r>
            <w:r w:rsidR="00EB4EBE" w:rsidRPr="00EB4EBE">
              <w:rPr>
                <w:rFonts w:ascii="Helvetica" w:hAnsi="Helvetica"/>
              </w:rPr>
              <w:t>91</w:t>
            </w:r>
            <w:r w:rsidRPr="00046555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14:paraId="05773F29" w14:textId="77777777" w:rsidR="0085203B" w:rsidRDefault="0085203B" w:rsidP="0077673A"/>
        </w:tc>
        <w:tc>
          <w:tcPr>
            <w:tcW w:w="3685" w:type="dxa"/>
            <w:vMerge w:val="restart"/>
          </w:tcPr>
          <w:p w14:paraId="4ABEC3C3" w14:textId="77777777" w:rsidR="0085203B" w:rsidRDefault="0085203B" w:rsidP="00596C7E">
            <w:pPr>
              <w:rPr>
                <w:rStyle w:val="Potovnadresa"/>
              </w:rPr>
            </w:pPr>
          </w:p>
          <w:p w14:paraId="1368EEB4" w14:textId="77777777" w:rsidR="0085203B" w:rsidRPr="00F862D6" w:rsidRDefault="0085203B" w:rsidP="00596C7E">
            <w:pPr>
              <w:rPr>
                <w:rStyle w:val="Potovnadresa"/>
              </w:rPr>
            </w:pPr>
          </w:p>
        </w:tc>
      </w:tr>
      <w:tr w:rsidR="0085203B" w14:paraId="14C38497" w14:textId="77777777" w:rsidTr="007D3F49">
        <w:tc>
          <w:tcPr>
            <w:tcW w:w="1134" w:type="dxa"/>
          </w:tcPr>
          <w:p w14:paraId="22F9332B" w14:textId="29920461" w:rsidR="0085203B" w:rsidRPr="003E6B9A" w:rsidRDefault="0085203B" w:rsidP="0077673A">
            <w:r>
              <w:t>Listů/příloh</w:t>
            </w:r>
          </w:p>
        </w:tc>
        <w:tc>
          <w:tcPr>
            <w:tcW w:w="2438" w:type="dxa"/>
          </w:tcPr>
          <w:p w14:paraId="4D2CB995" w14:textId="32228CC9" w:rsidR="0085203B" w:rsidRPr="00046555" w:rsidRDefault="009C0CBB" w:rsidP="0037111D">
            <w:r>
              <w:t>4</w:t>
            </w:r>
            <w:r w:rsidR="0085203B" w:rsidRPr="00046555">
              <w:t>/0</w:t>
            </w:r>
          </w:p>
        </w:tc>
        <w:tc>
          <w:tcPr>
            <w:tcW w:w="823" w:type="dxa"/>
          </w:tcPr>
          <w:p w14:paraId="47D8757A" w14:textId="77777777" w:rsidR="0085203B" w:rsidRDefault="0085203B" w:rsidP="0077673A"/>
        </w:tc>
        <w:tc>
          <w:tcPr>
            <w:tcW w:w="3685" w:type="dxa"/>
            <w:vMerge/>
          </w:tcPr>
          <w:p w14:paraId="561F95D2" w14:textId="77777777" w:rsidR="0085203B" w:rsidRDefault="0085203B" w:rsidP="0077673A"/>
        </w:tc>
      </w:tr>
      <w:tr w:rsidR="0085203B" w14:paraId="255AABC2" w14:textId="77777777" w:rsidTr="007D3F49">
        <w:tc>
          <w:tcPr>
            <w:tcW w:w="1134" w:type="dxa"/>
          </w:tcPr>
          <w:p w14:paraId="2BC24C87" w14:textId="49B99CFB" w:rsidR="0085203B" w:rsidRDefault="0085203B" w:rsidP="0077673A"/>
        </w:tc>
        <w:tc>
          <w:tcPr>
            <w:tcW w:w="2438" w:type="dxa"/>
          </w:tcPr>
          <w:p w14:paraId="57FEAF4F" w14:textId="70C81DA0" w:rsidR="0085203B" w:rsidRPr="00046555" w:rsidRDefault="0085203B" w:rsidP="00CC1E2B"/>
        </w:tc>
        <w:tc>
          <w:tcPr>
            <w:tcW w:w="823" w:type="dxa"/>
          </w:tcPr>
          <w:p w14:paraId="6098427D" w14:textId="77777777" w:rsidR="0085203B" w:rsidRDefault="0085203B" w:rsidP="0077673A"/>
        </w:tc>
        <w:tc>
          <w:tcPr>
            <w:tcW w:w="3685" w:type="dxa"/>
            <w:vMerge/>
          </w:tcPr>
          <w:p w14:paraId="4C3B989D" w14:textId="77777777" w:rsidR="0085203B" w:rsidRDefault="0085203B" w:rsidP="0077673A">
            <w:pPr>
              <w:rPr>
                <w:noProof/>
              </w:rPr>
            </w:pPr>
          </w:p>
        </w:tc>
      </w:tr>
      <w:tr w:rsidR="0085203B" w14:paraId="0769D8CE" w14:textId="77777777" w:rsidTr="007D3F49">
        <w:trPr>
          <w:trHeight w:val="77"/>
        </w:trPr>
        <w:tc>
          <w:tcPr>
            <w:tcW w:w="1134" w:type="dxa"/>
          </w:tcPr>
          <w:p w14:paraId="227BFA75" w14:textId="4825782A" w:rsidR="0085203B" w:rsidRDefault="0085203B" w:rsidP="0077673A">
            <w:r>
              <w:t>Vyřizuje</w:t>
            </w:r>
          </w:p>
        </w:tc>
        <w:tc>
          <w:tcPr>
            <w:tcW w:w="2438" w:type="dxa"/>
          </w:tcPr>
          <w:p w14:paraId="09443133" w14:textId="607FB29B" w:rsidR="0085203B" w:rsidRPr="003E6B9A" w:rsidRDefault="0085203B" w:rsidP="0077673A">
            <w:r>
              <w:t>Ing. Jaromír Souček</w:t>
            </w:r>
          </w:p>
        </w:tc>
        <w:tc>
          <w:tcPr>
            <w:tcW w:w="823" w:type="dxa"/>
          </w:tcPr>
          <w:p w14:paraId="18202B13" w14:textId="77777777" w:rsidR="0085203B" w:rsidRDefault="0085203B" w:rsidP="0077673A"/>
        </w:tc>
        <w:tc>
          <w:tcPr>
            <w:tcW w:w="3685" w:type="dxa"/>
            <w:vMerge/>
          </w:tcPr>
          <w:p w14:paraId="25213E90" w14:textId="77777777" w:rsidR="0085203B" w:rsidRDefault="0085203B" w:rsidP="0077673A"/>
        </w:tc>
      </w:tr>
      <w:tr w:rsidR="0085203B" w14:paraId="2CE6B48F" w14:textId="77777777" w:rsidTr="007D3F49">
        <w:tc>
          <w:tcPr>
            <w:tcW w:w="1134" w:type="dxa"/>
          </w:tcPr>
          <w:p w14:paraId="02AF1D0C" w14:textId="1DF3CBDD" w:rsidR="0085203B" w:rsidRDefault="0085203B" w:rsidP="0077673A"/>
        </w:tc>
        <w:tc>
          <w:tcPr>
            <w:tcW w:w="2438" w:type="dxa"/>
          </w:tcPr>
          <w:p w14:paraId="12FA1068" w14:textId="2CE091D0" w:rsidR="0085203B" w:rsidRPr="003E6B9A" w:rsidRDefault="0085203B" w:rsidP="00FE3455"/>
        </w:tc>
        <w:tc>
          <w:tcPr>
            <w:tcW w:w="823" w:type="dxa"/>
          </w:tcPr>
          <w:p w14:paraId="1E541E5B" w14:textId="77777777" w:rsidR="0085203B" w:rsidRDefault="0085203B" w:rsidP="0077673A"/>
        </w:tc>
        <w:tc>
          <w:tcPr>
            <w:tcW w:w="3685" w:type="dxa"/>
            <w:vMerge/>
          </w:tcPr>
          <w:p w14:paraId="1C1D58DC" w14:textId="77777777" w:rsidR="0085203B" w:rsidRDefault="0085203B" w:rsidP="0077673A"/>
        </w:tc>
      </w:tr>
      <w:tr w:rsidR="0085203B" w14:paraId="07ADFC03" w14:textId="77777777" w:rsidTr="007D3F49">
        <w:tc>
          <w:tcPr>
            <w:tcW w:w="1134" w:type="dxa"/>
          </w:tcPr>
          <w:p w14:paraId="29A9941D" w14:textId="3E4698B4" w:rsidR="0085203B" w:rsidRDefault="0085203B" w:rsidP="009A7568">
            <w:r>
              <w:t>Mobil</w:t>
            </w:r>
          </w:p>
        </w:tc>
        <w:tc>
          <w:tcPr>
            <w:tcW w:w="2438" w:type="dxa"/>
          </w:tcPr>
          <w:p w14:paraId="69A3DEEB" w14:textId="355CF773" w:rsidR="0085203B" w:rsidRPr="003E6B9A" w:rsidRDefault="0085203B" w:rsidP="009A7568">
            <w:r>
              <w:t>+420 724 932 283</w:t>
            </w:r>
          </w:p>
        </w:tc>
        <w:tc>
          <w:tcPr>
            <w:tcW w:w="823" w:type="dxa"/>
          </w:tcPr>
          <w:p w14:paraId="4EABDB06" w14:textId="77777777" w:rsidR="0085203B" w:rsidRDefault="0085203B" w:rsidP="009A7568"/>
        </w:tc>
        <w:tc>
          <w:tcPr>
            <w:tcW w:w="3685" w:type="dxa"/>
            <w:vMerge/>
          </w:tcPr>
          <w:p w14:paraId="31FE6679" w14:textId="77777777" w:rsidR="0085203B" w:rsidRDefault="0085203B" w:rsidP="009A7568"/>
        </w:tc>
      </w:tr>
      <w:tr w:rsidR="0085203B" w14:paraId="33D4C014" w14:textId="77777777" w:rsidTr="007D3F49">
        <w:tc>
          <w:tcPr>
            <w:tcW w:w="1134" w:type="dxa"/>
          </w:tcPr>
          <w:p w14:paraId="38A9C094" w14:textId="3C94BA10" w:rsidR="0085203B" w:rsidRDefault="0085203B" w:rsidP="009A7568">
            <w:r>
              <w:t>E-mail</w:t>
            </w:r>
          </w:p>
        </w:tc>
        <w:tc>
          <w:tcPr>
            <w:tcW w:w="2438" w:type="dxa"/>
          </w:tcPr>
          <w:p w14:paraId="634DBE29" w14:textId="57D11D73" w:rsidR="0085203B" w:rsidRPr="003E6B9A" w:rsidRDefault="0085203B" w:rsidP="009A7568">
            <w:r>
              <w:t>SoucekJ@spravazeleznic.cz</w:t>
            </w:r>
          </w:p>
        </w:tc>
        <w:tc>
          <w:tcPr>
            <w:tcW w:w="823" w:type="dxa"/>
          </w:tcPr>
          <w:p w14:paraId="38852747" w14:textId="77777777" w:rsidR="0085203B" w:rsidRDefault="0085203B" w:rsidP="009A7568"/>
        </w:tc>
        <w:tc>
          <w:tcPr>
            <w:tcW w:w="3685" w:type="dxa"/>
            <w:vMerge/>
          </w:tcPr>
          <w:p w14:paraId="67409659" w14:textId="77777777" w:rsidR="0085203B" w:rsidRDefault="0085203B" w:rsidP="009A7568"/>
        </w:tc>
      </w:tr>
      <w:tr w:rsidR="0085203B" w14:paraId="2E89FA61" w14:textId="77777777" w:rsidTr="007D3F49">
        <w:tc>
          <w:tcPr>
            <w:tcW w:w="1134" w:type="dxa"/>
          </w:tcPr>
          <w:p w14:paraId="03D9A0C0" w14:textId="0C63AF54" w:rsidR="0085203B" w:rsidRDefault="0085203B" w:rsidP="009A7568"/>
        </w:tc>
        <w:tc>
          <w:tcPr>
            <w:tcW w:w="2438" w:type="dxa"/>
          </w:tcPr>
          <w:p w14:paraId="4EF8A54A" w14:textId="6749E83B" w:rsidR="0085203B" w:rsidRPr="003E6B9A" w:rsidRDefault="0085203B" w:rsidP="006104F6"/>
        </w:tc>
        <w:tc>
          <w:tcPr>
            <w:tcW w:w="823" w:type="dxa"/>
          </w:tcPr>
          <w:p w14:paraId="33E9E2EC" w14:textId="77777777" w:rsidR="0085203B" w:rsidRDefault="0085203B" w:rsidP="009A7568"/>
        </w:tc>
        <w:tc>
          <w:tcPr>
            <w:tcW w:w="3685" w:type="dxa"/>
            <w:vMerge/>
          </w:tcPr>
          <w:p w14:paraId="2EB345D0" w14:textId="77777777" w:rsidR="0085203B" w:rsidRDefault="0085203B" w:rsidP="009A7568"/>
        </w:tc>
      </w:tr>
      <w:tr w:rsidR="0085203B" w14:paraId="658BE11C" w14:textId="77777777" w:rsidTr="007D3F49">
        <w:tc>
          <w:tcPr>
            <w:tcW w:w="1134" w:type="dxa"/>
          </w:tcPr>
          <w:p w14:paraId="7E572F74" w14:textId="195EFA8D" w:rsidR="0085203B" w:rsidRDefault="0085203B" w:rsidP="009A7568">
            <w:r>
              <w:t>Datum</w:t>
            </w:r>
          </w:p>
        </w:tc>
        <w:bookmarkStart w:id="0" w:name="Datum"/>
        <w:tc>
          <w:tcPr>
            <w:tcW w:w="2438" w:type="dxa"/>
          </w:tcPr>
          <w:p w14:paraId="71C47BA2" w14:textId="040722A2" w:rsidR="0085203B" w:rsidRPr="003E6B9A" w:rsidRDefault="0085203B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C0CBB">
              <w:rPr>
                <w:noProof/>
              </w:rPr>
              <w:t>15.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9C7F7DB" w14:textId="77777777" w:rsidR="0085203B" w:rsidRDefault="0085203B" w:rsidP="009A7568"/>
        </w:tc>
        <w:tc>
          <w:tcPr>
            <w:tcW w:w="3685" w:type="dxa"/>
          </w:tcPr>
          <w:p w14:paraId="277C45BB" w14:textId="77777777" w:rsidR="0085203B" w:rsidRDefault="0085203B" w:rsidP="009A7568"/>
        </w:tc>
      </w:tr>
      <w:tr w:rsidR="0085203B" w14:paraId="75D2A4DC" w14:textId="77777777" w:rsidTr="007D3F49">
        <w:tc>
          <w:tcPr>
            <w:tcW w:w="1134" w:type="dxa"/>
          </w:tcPr>
          <w:p w14:paraId="4247E8A1" w14:textId="0B55FAFB" w:rsidR="0085203B" w:rsidRDefault="0085203B" w:rsidP="009A7568"/>
        </w:tc>
        <w:tc>
          <w:tcPr>
            <w:tcW w:w="2438" w:type="dxa"/>
          </w:tcPr>
          <w:p w14:paraId="5BB4532F" w14:textId="7C8A1D90" w:rsidR="0085203B" w:rsidRPr="003E6B9A" w:rsidRDefault="0085203B" w:rsidP="009A7568"/>
        </w:tc>
        <w:tc>
          <w:tcPr>
            <w:tcW w:w="823" w:type="dxa"/>
          </w:tcPr>
          <w:p w14:paraId="2FE82517" w14:textId="77777777" w:rsidR="0085203B" w:rsidRDefault="0085203B" w:rsidP="009A7568"/>
        </w:tc>
        <w:tc>
          <w:tcPr>
            <w:tcW w:w="3685" w:type="dxa"/>
          </w:tcPr>
          <w:p w14:paraId="77E3B639" w14:textId="77777777" w:rsidR="0085203B" w:rsidRDefault="0085203B" w:rsidP="009A7568"/>
        </w:tc>
      </w:tr>
      <w:tr w:rsidR="0085203B" w14:paraId="61267B55" w14:textId="77777777" w:rsidTr="007D3F49">
        <w:tc>
          <w:tcPr>
            <w:tcW w:w="1134" w:type="dxa"/>
          </w:tcPr>
          <w:p w14:paraId="2D0B8B60" w14:textId="77777777" w:rsidR="0085203B" w:rsidRDefault="0085203B" w:rsidP="0077673A"/>
        </w:tc>
        <w:tc>
          <w:tcPr>
            <w:tcW w:w="2438" w:type="dxa"/>
          </w:tcPr>
          <w:p w14:paraId="2EEEBAAB" w14:textId="77777777" w:rsidR="0085203B" w:rsidRPr="00FE3455" w:rsidRDefault="0085203B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7BEEF7" w14:textId="77777777" w:rsidR="0085203B" w:rsidRDefault="0085203B" w:rsidP="0077673A"/>
        </w:tc>
        <w:tc>
          <w:tcPr>
            <w:tcW w:w="3685" w:type="dxa"/>
          </w:tcPr>
          <w:p w14:paraId="088B4018" w14:textId="77777777" w:rsidR="0085203B" w:rsidRDefault="0085203B" w:rsidP="0077673A"/>
        </w:tc>
      </w:tr>
      <w:tr w:rsidR="0085203B" w14:paraId="771BA957" w14:textId="77777777" w:rsidTr="007D3F49">
        <w:trPr>
          <w:trHeight w:val="794"/>
        </w:trPr>
        <w:tc>
          <w:tcPr>
            <w:tcW w:w="1134" w:type="dxa"/>
          </w:tcPr>
          <w:p w14:paraId="1C5668F0" w14:textId="77777777" w:rsidR="0085203B" w:rsidRDefault="0085203B" w:rsidP="0077673A"/>
        </w:tc>
        <w:tc>
          <w:tcPr>
            <w:tcW w:w="2438" w:type="dxa"/>
          </w:tcPr>
          <w:p w14:paraId="3A0478BC" w14:textId="77777777" w:rsidR="0085203B" w:rsidRDefault="0085203B" w:rsidP="00F310F8"/>
        </w:tc>
        <w:tc>
          <w:tcPr>
            <w:tcW w:w="823" w:type="dxa"/>
          </w:tcPr>
          <w:p w14:paraId="58988AF4" w14:textId="77777777" w:rsidR="0085203B" w:rsidRDefault="0085203B" w:rsidP="0077673A"/>
        </w:tc>
        <w:tc>
          <w:tcPr>
            <w:tcW w:w="3685" w:type="dxa"/>
          </w:tcPr>
          <w:p w14:paraId="6F17977E" w14:textId="77777777" w:rsidR="0085203B" w:rsidRDefault="0085203B" w:rsidP="0077673A"/>
        </w:tc>
      </w:tr>
    </w:tbl>
    <w:p w14:paraId="7B3C767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764C" w:rsidRPr="000A764C">
        <w:rPr>
          <w:rFonts w:eastAsia="Calibri" w:cs="Times New Roman"/>
          <w:b/>
          <w:lang w:eastAsia="cs-CZ"/>
        </w:rPr>
        <w:t>Brno-Maloměřice St. 6 - Adamov, BC</w:t>
      </w:r>
    </w:p>
    <w:p w14:paraId="5998FFC1" w14:textId="45F3B09B" w:rsidR="00CB7B5A" w:rsidRPr="00A40878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0878">
        <w:rPr>
          <w:rFonts w:eastAsia="Calibri" w:cs="Times New Roman"/>
          <w:lang w:eastAsia="cs-CZ"/>
        </w:rPr>
        <w:t xml:space="preserve">Vysvětlení/ změna/ doplnění zadávací dokumentace č. </w:t>
      </w:r>
      <w:r w:rsidR="002A0536">
        <w:rPr>
          <w:rFonts w:eastAsia="Times New Roman" w:cs="Times New Roman"/>
          <w:lang w:eastAsia="cs-CZ"/>
        </w:rPr>
        <w:t>2</w:t>
      </w:r>
    </w:p>
    <w:p w14:paraId="5D987131" w14:textId="77777777" w:rsidR="00130434" w:rsidRPr="00A40878" w:rsidRDefault="001304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3B5C16" w14:textId="3D4605C6" w:rsidR="00CB7B5A" w:rsidRPr="00CB7B5A" w:rsidRDefault="003E05F4" w:rsidP="000722C9">
      <w:pPr>
        <w:spacing w:after="0" w:line="240" w:lineRule="auto"/>
        <w:rPr>
          <w:rFonts w:eastAsia="Calibri" w:cs="Times New Roman"/>
          <w:b/>
          <w:lang w:eastAsia="cs-CZ"/>
        </w:rPr>
      </w:pPr>
      <w:r w:rsidRPr="00EB4EBE">
        <w:rPr>
          <w:rFonts w:eastAsia="Calibri" w:cs="Times New Roman"/>
          <w:b/>
          <w:lang w:eastAsia="cs-CZ"/>
        </w:rPr>
        <w:t>Dotaz č. 2</w:t>
      </w:r>
      <w:r w:rsidR="00CB7B5A" w:rsidRPr="00EB4EBE">
        <w:rPr>
          <w:rFonts w:eastAsia="Calibri" w:cs="Times New Roman"/>
          <w:b/>
          <w:lang w:eastAsia="cs-CZ"/>
        </w:rPr>
        <w:t>:</w:t>
      </w:r>
    </w:p>
    <w:p w14:paraId="61E24802" w14:textId="420686EF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519F03A1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Žádost o vysvětlení zadávací dokumentace ve smyslu bodu 6 Výzvy k podání nabídky</w:t>
      </w:r>
    </w:p>
    <w:p w14:paraId="67EC9A35" w14:textId="77777777" w:rsidR="003E05F4" w:rsidRDefault="003E05F4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bookmarkStart w:id="1" w:name="_GoBack"/>
      <w:bookmarkEnd w:id="1"/>
    </w:p>
    <w:p w14:paraId="5C5B0E07" w14:textId="0120F1E5" w:rsidR="002A0536" w:rsidRPr="002A0536" w:rsidRDefault="002A0536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I.</w:t>
      </w:r>
    </w:p>
    <w:p w14:paraId="2C361AE1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1. Zadavatel v souvislosti s výkonem relevantní činnosti dne </w:t>
      </w:r>
      <w:proofErr w:type="gramStart"/>
      <w:r w:rsidRPr="002A0536">
        <w:rPr>
          <w:rFonts w:asciiTheme="majorHAnsi" w:hAnsiTheme="majorHAnsi" w:cs="Calibri"/>
          <w:color w:val="000000"/>
        </w:rPr>
        <w:t>18.5.2021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zahájil dle zákona</w:t>
      </w:r>
    </w:p>
    <w:p w14:paraId="5F785B6D" w14:textId="7E1E3A0D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č. 134/2016 Sb., o zadávání veřejných zakázek, v platném znění (dále jen „ZZVZ“), otevřené řízení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na zadání nadlimitní veřejné zakázky na služby s názvem „soubor staveb: Adamov – Blansko, BC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a Brno-Maloměřice St. 6 - Adamov, BC“, spočívající v provedení geotechnických prací vč. výkonu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odborného geotechnického a stavebnětechnického dozoru v souvislosti s realizací dvou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samostatných staveb „Adamov – Blansko, BC“ a „Brno-Maloměřice St. 6 - Adamov, BC“, číslo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 xml:space="preserve">veřejné zakázky P21V00000666, která byla rozhodnutím zadavatele ze dne </w:t>
      </w:r>
      <w:proofErr w:type="gramStart"/>
      <w:r w:rsidRPr="002A0536">
        <w:rPr>
          <w:rFonts w:asciiTheme="majorHAnsi" w:hAnsiTheme="majorHAnsi" w:cs="Calibri"/>
          <w:color w:val="000000"/>
        </w:rPr>
        <w:t>19.8.2021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zrušena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(dále jen „Zrušená veřejná zakázka“).</w:t>
      </w:r>
    </w:p>
    <w:p w14:paraId="768C66E3" w14:textId="00AF89EB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2. Zadavatel následně v souvislosti s výkonem relevantní činnosti zahájil (i) dne </w:t>
      </w:r>
      <w:proofErr w:type="gramStart"/>
      <w:r w:rsidRPr="002A0536">
        <w:rPr>
          <w:rFonts w:asciiTheme="majorHAnsi" w:hAnsiTheme="majorHAnsi" w:cs="Calibri"/>
          <w:color w:val="000000"/>
        </w:rPr>
        <w:t>20.10.2021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zadávací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řízení mimo režim ZZVZ na zadání podlimitní veřejné zakázky na služby s názvem „Brno-Maloměřice St. 6 – Adamov, BC“, spočívající ve výkonu činnosti občasného odborného</w:t>
      </w:r>
    </w:p>
    <w:p w14:paraId="0354001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geotechnického dozoru v Blanenských tunelech č. 3 a 4 v rámci stavby s názvem: „Adamov –</w:t>
      </w:r>
    </w:p>
    <w:p w14:paraId="48941BF1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Blansko, BC“, číslo veřejné zakázky P21V00001896 (dále jen „Veřejná zakázka“), a (</w:t>
      </w:r>
      <w:proofErr w:type="spellStart"/>
      <w:r w:rsidRPr="002A0536">
        <w:rPr>
          <w:rFonts w:asciiTheme="majorHAnsi" w:hAnsiTheme="majorHAnsi" w:cs="Calibri"/>
          <w:color w:val="000000"/>
        </w:rPr>
        <w:t>ii</w:t>
      </w:r>
      <w:proofErr w:type="spellEnd"/>
      <w:r w:rsidRPr="002A0536">
        <w:rPr>
          <w:rFonts w:asciiTheme="majorHAnsi" w:hAnsiTheme="majorHAnsi" w:cs="Calibri"/>
          <w:color w:val="000000"/>
        </w:rPr>
        <w:t>) dne</w:t>
      </w:r>
    </w:p>
    <w:p w14:paraId="38B0FF8C" w14:textId="363D1F98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proofErr w:type="gramStart"/>
      <w:r w:rsidRPr="002A0536">
        <w:rPr>
          <w:rFonts w:asciiTheme="majorHAnsi" w:hAnsiTheme="majorHAnsi" w:cs="Calibri"/>
          <w:color w:val="000000"/>
        </w:rPr>
        <w:t>22.10.2021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zadávací řízení na zadání podlimitní veřejné zakázky na služby s názvem „Adamov –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Blansko, BC“, spočívající ve výkonu činnosti občasného odborného geotechnického dozoru v</w:t>
      </w:r>
    </w:p>
    <w:p w14:paraId="79487E4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Blanenských tunelech č. 7, 8/1, 8/2, 9 a 10, číslo veřejné zakázky P21V00001906 (dále jen</w:t>
      </w:r>
    </w:p>
    <w:p w14:paraId="6D21D451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„Zakázka Adamov - Blansko“).</w:t>
      </w:r>
    </w:p>
    <w:p w14:paraId="45DB15F2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3. Dodavatel tímto podává žádost o vysvětlení zadávací dokumentace ve smyslu bodu 6 Výzvy</w:t>
      </w:r>
    </w:p>
    <w:p w14:paraId="00E5BBC3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k podání nabídky uveřejněné v rámci zadávací dokumentace na zadání Veřejné zakázky.</w:t>
      </w:r>
    </w:p>
    <w:p w14:paraId="7FC86299" w14:textId="77777777" w:rsidR="00EB4EBE" w:rsidRDefault="00EB4EBE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</w:p>
    <w:p w14:paraId="0860C8F6" w14:textId="7C5C662A" w:rsidR="002A0536" w:rsidRPr="002A0536" w:rsidRDefault="002A0536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II.</w:t>
      </w:r>
    </w:p>
    <w:p w14:paraId="76832934" w14:textId="1160FEDC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1. Dodavatel v Žádosti o vysvětlení zadávací dokumentace ze dne </w:t>
      </w:r>
      <w:proofErr w:type="gramStart"/>
      <w:r w:rsidRPr="002A0536">
        <w:rPr>
          <w:rFonts w:asciiTheme="majorHAnsi" w:hAnsiTheme="majorHAnsi" w:cs="Calibri"/>
          <w:color w:val="000000"/>
        </w:rPr>
        <w:t>26.10.2021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(dále jen „Žádost“), na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jejíž text Dodavatel odkazuje, požadoval od Zadavatele vysvětlení, zda má Zadavatel pro stavbu,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pro kterou má být zajištěn geotechnický dozor na základě Veřejné zakázky, zajištěn také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stavebnětechnický dozor a pokud ano, tak jestli se jedná o stálý nebo občasný dozor a kdo a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jakým způsobem jej bude zajišťovat. Dodavatelem požadované vysvětlení směřovalo také k tomu,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že Zadavatel je povinen hodnotu plnění Veřejné zakázky a režim jejího zadání stanovit v souladu s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§ 18 ZZVZ, kdy je povinen k předpokládané hodnotě Veřejné zakázky přičíst veškeré funkčně a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časově související veřejné zakázky (tedy zejména Zakázku Adamov - Blansko, ale i veškeré jiné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práce stavebnětechnického či geotechnického dozoru, které budou pro Zadavatele provádět třetí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subjekty).</w:t>
      </w:r>
    </w:p>
    <w:p w14:paraId="35329AD5" w14:textId="4A5B5DA6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2. Zadavatel v rámci Vysvětlení/změny/doplnění zadávací dokumentace č. 1 ze dne </w:t>
      </w:r>
      <w:proofErr w:type="gramStart"/>
      <w:r w:rsidRPr="002A0536">
        <w:rPr>
          <w:rFonts w:asciiTheme="majorHAnsi" w:hAnsiTheme="majorHAnsi" w:cs="Calibri"/>
          <w:color w:val="000000"/>
        </w:rPr>
        <w:t>2.11.2021</w:t>
      </w:r>
      <w:proofErr w:type="gramEnd"/>
      <w:r w:rsidRPr="002A0536">
        <w:rPr>
          <w:rFonts w:asciiTheme="majorHAnsi" w:hAnsiTheme="majorHAnsi" w:cs="Calibri"/>
          <w:color w:val="000000"/>
        </w:rPr>
        <w:t xml:space="preserve"> (dále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jen „Vysvětlení ZD č. 1“) k těmto dotazům Dodavatele poměrně stroze uvedl, že má pro stavbu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zajištěn dozor z řad vlastních zaměstnanců.</w:t>
      </w:r>
    </w:p>
    <w:p w14:paraId="254BB94B" w14:textId="2AA325BB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lastRenderedPageBreak/>
        <w:t>3. Vysvětlení poskytnuté Zadavatelem však dle názoru Dodavatele neobsahuje komplexní odpovědi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na dotazy Dodavatele, a proto Dodavatel žádá o doplňující vysvětlení následujících skutečností:</w:t>
      </w:r>
    </w:p>
    <w:p w14:paraId="651046FD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1) Je stavebnětechnický dozor, který budou na stavbě vykonávat zaměstnanci Zadavatele,</w:t>
      </w:r>
    </w:p>
    <w:p w14:paraId="3C804275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dozorem stálým (v režimu 24 hod./7 dní v týdnu)?</w:t>
      </w:r>
    </w:p>
    <w:p w14:paraId="1F826796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2) Počítá Zadavatel i se stálým výkonem geotechnického dozoru (v režimu 24 hod./7 dní</w:t>
      </w:r>
    </w:p>
    <w:p w14:paraId="68CC9A3D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 týdnu)? Pozn.: Dodavatel podotýká, že si neumí zejména z hlediska možných rizik všeho</w:t>
      </w:r>
    </w:p>
    <w:p w14:paraId="0C461192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druhu představit, že by geotechnický dozor nebyl vykonáván nepřetržitě po dobu provádění</w:t>
      </w:r>
    </w:p>
    <w:p w14:paraId="771CC7BB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stavebních prací zhotovitelem stavby na tunelových stavbách. Dodavatel dále podotýká, že</w:t>
      </w:r>
    </w:p>
    <w:p w14:paraId="4C974684" w14:textId="585E705E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u takto složité, technologicky náročné a nákladné stavby musí být vyjasněno, zda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Zadavatel postupuje v souladu nebo v rozporu s doporučením MD ČR.</w:t>
      </w:r>
    </w:p>
    <w:p w14:paraId="627903E0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3) Pokud ano, budou také geotechnický dozor vykonávat vedle dodavatele, se kterým bude</w:t>
      </w:r>
    </w:p>
    <w:p w14:paraId="5796A4FB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uzavřena smlouva na Veřejnou zakázku, zaměstnanci Zadavatele?</w:t>
      </w:r>
    </w:p>
    <w:p w14:paraId="49440DA5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4) Pokud ne a dle Zadavatele tedy není stálý geotechnický dozor nutný, na základě čeho došlo</w:t>
      </w:r>
    </w:p>
    <w:p w14:paraId="3E7F19D1" w14:textId="1D93AF69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k velmi razantnímu snížení objemu poskytovaných služeb geotechnického dozoru ve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srovnání se Zrušenou veřejnou zakázkou (v rámci předchozího zadání byl požadován u obou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staveb stálý dozor 24/7 po dobu cca 16 měsíců)?</w:t>
      </w:r>
    </w:p>
    <w:p w14:paraId="1381B74A" w14:textId="6C1FAD9F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Pokud k tomu došlo v důsledku redukce rozsahu stavebních prací, prosíme o předložení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redukovaného harmonogramu stavebních prací, ze kterého bude zřejmé omezení rozsahu</w:t>
      </w:r>
    </w:p>
    <w:p w14:paraId="18109336" w14:textId="6AB10B64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prací zhotovitele odpovídající takto výrazně sníženému objemu služeb poskytovaných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v rámci Veřejné zakázky.</w:t>
      </w:r>
    </w:p>
    <w:p w14:paraId="1FDE1768" w14:textId="5B67B63F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Pokud k tomu došlo z jiného důvodu, prosíme o sdělení těchto skutečností (Zadavatel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pouze obecně uvedl, že odpovědně prověřil tuto problematiku) a o sdělení, jak si Zadavatel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představuje výkon řádného dozoru a rozsah odpovědnosti dodavatelů při teoretické účasti</w:t>
      </w:r>
    </w:p>
    <w:p w14:paraId="2634AB8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dozorujících pracovníků (nepočítaje jednání/KD/RAMO atd.) v průměrném rozsahu méně</w:t>
      </w:r>
    </w:p>
    <w:p w14:paraId="4DA51D1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než 3 hod./denně za dobu provádění stavebních prací zhotovitelem.</w:t>
      </w:r>
    </w:p>
    <w:p w14:paraId="525A5E16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5) Vyhodnotil si Zadavatel režim zadání Veřejné zakázky a hodnotu plnění Veřejné zakázky</w:t>
      </w:r>
    </w:p>
    <w:p w14:paraId="6FD8648E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skutečně v souladu s § 18 ZZVZ, a to nejen s ohledem na paralelně zadávanou Zakázku</w:t>
      </w:r>
    </w:p>
    <w:p w14:paraId="5B96915F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Adamov - Blansko, ale také již zadanou související zakázku s názvem „Adamov – Blansko, BC</w:t>
      </w:r>
    </w:p>
    <w:p w14:paraId="3A53D808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(GTD)“ (číslo veřejné zakázky P21V00001182), resp. veřejnou zakázku, kterou má mít</w:t>
      </w:r>
    </w:p>
    <w:p w14:paraId="3D9381AC" w14:textId="7A9249FF" w:rsid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zajištěn výkon stavebního dozoru pro stavby dozorované v rámci Veřejné zakázky?</w:t>
      </w:r>
    </w:p>
    <w:p w14:paraId="592DA5F5" w14:textId="467FD70A" w:rsidR="001D2940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316971C7" w14:textId="3E6161F1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Odpověď:</w:t>
      </w:r>
    </w:p>
    <w:p w14:paraId="38F72900" w14:textId="3BDCF20E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Zadavatel neuvažuje se stálým geotechnickým dozorem. Rozhodnutí o nastaveném rozsahu předmětné probíhající zakázky je plně v kompetenci Zadavatele.</w:t>
      </w:r>
    </w:p>
    <w:p w14:paraId="1ED55498" w14:textId="77777777" w:rsidR="001D2940" w:rsidRPr="002A0536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5EE28A5C" w14:textId="77777777" w:rsidR="002A0536" w:rsidRPr="002A0536" w:rsidRDefault="002A0536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III.</w:t>
      </w:r>
    </w:p>
    <w:p w14:paraId="33E2D453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1. Zadavatel dále v bodu 3 Výzvy k podání nabídky konstatuje, že geotechnický dozor bude</w:t>
      </w:r>
    </w:p>
    <w:p w14:paraId="1FF83305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vykonáván na vyzvání odpovědného pracovníka objednatele.</w:t>
      </w:r>
    </w:p>
    <w:p w14:paraId="54DB66AA" w14:textId="2D8A19BF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2. V této souvislosti a s ohledem na nutnost provedení odpovědného </w:t>
      </w:r>
      <w:proofErr w:type="spellStart"/>
      <w:r w:rsidRPr="002A0536">
        <w:rPr>
          <w:rFonts w:asciiTheme="majorHAnsi" w:hAnsiTheme="majorHAnsi" w:cs="Calibri"/>
          <w:color w:val="000000"/>
        </w:rPr>
        <w:t>nacenění</w:t>
      </w:r>
      <w:proofErr w:type="spellEnd"/>
      <w:r w:rsidRPr="002A0536">
        <w:rPr>
          <w:rFonts w:asciiTheme="majorHAnsi" w:hAnsiTheme="majorHAnsi" w:cs="Calibri"/>
          <w:color w:val="000000"/>
        </w:rPr>
        <w:t xml:space="preserve"> nabídky </w:t>
      </w:r>
      <w:r w:rsidR="00D932D2">
        <w:rPr>
          <w:rFonts w:asciiTheme="majorHAnsi" w:hAnsiTheme="majorHAnsi" w:cs="Calibri"/>
          <w:color w:val="000000"/>
        </w:rPr>
        <w:t>D</w:t>
      </w:r>
      <w:r w:rsidRPr="002A0536">
        <w:rPr>
          <w:rFonts w:asciiTheme="majorHAnsi" w:hAnsiTheme="majorHAnsi" w:cs="Calibri"/>
          <w:color w:val="000000"/>
        </w:rPr>
        <w:t>odavatel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uctivě žádá o sdělení následujících informací:</w:t>
      </w:r>
    </w:p>
    <w:p w14:paraId="7FFE6890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1) S jakým časovým předstihem bude docházet k výzvám objednatele k účasti technika</w:t>
      </w:r>
    </w:p>
    <w:p w14:paraId="5DFE503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vykonávajícího občasný geotechnický dozor?</w:t>
      </w:r>
    </w:p>
    <w:p w14:paraId="00589AE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2) Bude činnost občasného geotechnického dozoru vykonávána v denní pracovní době nebo i</w:t>
      </w:r>
    </w:p>
    <w:p w14:paraId="623BAE51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 nočních směnách a případně o víkendech? Je zde nějaký časový rámec, ve kterém může</w:t>
      </w:r>
    </w:p>
    <w:p w14:paraId="269B32D2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docházet k výzvám? Pozn.: Dodavatel upozorňuje, že náklady na zajištění dozoru v nočních</w:t>
      </w:r>
    </w:p>
    <w:p w14:paraId="2AF9588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hodinách či o víkendech jsou diametrálně odlišné od výkonu dozoru pouze v pracovních</w:t>
      </w:r>
    </w:p>
    <w:p w14:paraId="3AC66D1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dnech či mimo noční hodiny.</w:t>
      </w:r>
    </w:p>
    <w:p w14:paraId="6953E5B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3) Kdo ponese odpovědnost za geotechnický dozor, který je předmětem plnění Veřejné</w:t>
      </w:r>
    </w:p>
    <w:p w14:paraId="52A09FEE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zakázky (resp. geotechnický dozor a stavební dozor obecně), mimo dobu účasti občasného</w:t>
      </w:r>
    </w:p>
    <w:p w14:paraId="7724505D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geotechnického dozoru na stavbě (za předpokladu, že zhotovitel stavby bude vykonávat</w:t>
      </w:r>
    </w:p>
    <w:p w14:paraId="472BF6FF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stavební činnost po dobu min. 10 měsíců v režimu (24 hod. / 7 dní v týdnu)?</w:t>
      </w:r>
    </w:p>
    <w:p w14:paraId="7CAF6E2C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4) Jakým smluvním vztahem má být upravena koordinace a kompetence vybraného</w:t>
      </w:r>
    </w:p>
    <w:p w14:paraId="71229082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dodavatele/poskytovatele dozoru, resp. zaměstnanců Zadavatele se správcem stavby? Kdy</w:t>
      </w:r>
    </w:p>
    <w:p w14:paraId="560EB540" w14:textId="74DBD557" w:rsid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mají být tyto smluvní vztahy uzavřeny?</w:t>
      </w:r>
    </w:p>
    <w:p w14:paraId="30944FAF" w14:textId="36F4D1AF" w:rsidR="001D2940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0886160C" w14:textId="77777777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Odpověď:</w:t>
      </w:r>
    </w:p>
    <w:p w14:paraId="691CFF36" w14:textId="7A67458D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 xml:space="preserve">Dodavatel bude vyzýván v dostatečném časovém předstihu pro zajištění účasti. Zadavatel počítá s vykonáváním činnosti v denní pracovní době. Odpovědnost za výkon občasného geotechnického dozoru, který je předmětem plnění veřejné zakázky, ponese vybraný dodavatel, to však samozřejmě pouze v rozsahu jemu přičitatelných jednání či opomenutí, která učinil v průběhu výkonu své činnosti. </w:t>
      </w:r>
      <w:r w:rsidRPr="00D932D2">
        <w:rPr>
          <w:rFonts w:asciiTheme="majorHAnsi" w:hAnsiTheme="majorHAnsi" w:cs="Calibri"/>
          <w:b/>
        </w:rPr>
        <w:lastRenderedPageBreak/>
        <w:t>Tazateli je nepochybně známo, že otázka případné odpovědnosti na tak rozsáhlých stavbách, jako je stavba dráhy „</w:t>
      </w:r>
      <w:r w:rsidR="004D0A64" w:rsidRPr="00D932D2">
        <w:rPr>
          <w:rFonts w:asciiTheme="majorHAnsi" w:hAnsiTheme="majorHAnsi" w:cs="Calibri"/>
          <w:b/>
        </w:rPr>
        <w:t xml:space="preserve">Brno-Maloměřice </w:t>
      </w:r>
      <w:proofErr w:type="gramStart"/>
      <w:r w:rsidR="004D0A64" w:rsidRPr="00D932D2">
        <w:rPr>
          <w:rFonts w:asciiTheme="majorHAnsi" w:hAnsiTheme="majorHAnsi" w:cs="Calibri"/>
          <w:b/>
        </w:rPr>
        <w:t>St.6 – Adamov</w:t>
      </w:r>
      <w:proofErr w:type="gramEnd"/>
      <w:r w:rsidRPr="00D932D2">
        <w:rPr>
          <w:rFonts w:asciiTheme="majorHAnsi" w:hAnsiTheme="majorHAnsi" w:cs="Calibri"/>
          <w:b/>
        </w:rPr>
        <w:t>, BC“, zvláště pak při účasti několika dodavatelů působících současně na staveništi, může být a zpravidla také je otázkou velice komplikovanou. Proto nastane-li situace, která může vyvolat jakýkoli odpovědnostní vztah, bude samozřejmě předmětem podrobného posouzení naplnění jednotlivých předpokladů odpovědnosti subjektů podílejících se na zhotovení stavby.</w:t>
      </w:r>
    </w:p>
    <w:p w14:paraId="7AABD8F0" w14:textId="77777777" w:rsidR="00F646F9" w:rsidRDefault="00F646F9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</w:p>
    <w:p w14:paraId="0D4C32FE" w14:textId="3DDA4C3F" w:rsidR="002A0536" w:rsidRPr="002A0536" w:rsidRDefault="002A0536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IV.</w:t>
      </w:r>
    </w:p>
    <w:p w14:paraId="0518D2A0" w14:textId="61F41EB6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1. Dodavatel v Žádosti dále požadoval od Zadavatele vysvětlení, jaké činnosti v rámci geologických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prací (u nichž je požadováno prokázání profesní způsobilosti) bude Zadavatel požadovat.</w:t>
      </w:r>
    </w:p>
    <w:p w14:paraId="699A8CE7" w14:textId="0B490B01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2. Zadavatel ve vysvětlení odpověděl, že geologickými pracemi rozumí práce ve smyslu § 2, odst. (1)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zákona č. 62/1988 Sb.</w:t>
      </w:r>
    </w:p>
    <w:p w14:paraId="691C5B2C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3. Dodavatel má za to, že Zadavatelem uváděné práce nebudou v rámci Veřejné zakázky</w:t>
      </w:r>
    </w:p>
    <w:p w14:paraId="7FE29E5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(geotechnický dozor) nikým realizovány, neboť práce dle zákona č. 62/1988 Sb. mají povahu</w:t>
      </w:r>
    </w:p>
    <w:p w14:paraId="297FD77F" w14:textId="65914D33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výzkumné, resp. nanejvýše průzkumné činnosti před vlastní realizací stavby (srov. § 2 citovaného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zákona, kdy se zejména jedná o geologický výzkum a geologický průzkum na území České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republiky spočívajíc ve zkoumání, hodnocení, dokumentování a zobrazování vývoje a složení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geologické stavby území a jejích zákonitostí).</w:t>
      </w:r>
    </w:p>
    <w:p w14:paraId="287AE54D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4. Požadavek na držbu příslušného podnikání k oprávnění je tedy dle Dodavatele nepřiměřený,</w:t>
      </w:r>
    </w:p>
    <w:p w14:paraId="6CC509B6" w14:textId="18CB1BF5" w:rsid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 xml:space="preserve">neboť nesouvisí s předmětem Veřejné zakázky. Dodavatel tedy žádá Zadavatele o </w:t>
      </w:r>
      <w:r w:rsidR="00D932D2">
        <w:rPr>
          <w:rFonts w:asciiTheme="majorHAnsi" w:hAnsiTheme="majorHAnsi" w:cs="Calibri"/>
          <w:color w:val="000000"/>
        </w:rPr>
        <w:t>p</w:t>
      </w:r>
      <w:r w:rsidRPr="002A0536">
        <w:rPr>
          <w:rFonts w:asciiTheme="majorHAnsi" w:hAnsiTheme="majorHAnsi" w:cs="Calibri"/>
          <w:color w:val="000000"/>
        </w:rPr>
        <w:t>řehodnocení</w:t>
      </w:r>
      <w:r w:rsidR="00D932D2">
        <w:rPr>
          <w:rFonts w:asciiTheme="majorHAnsi" w:hAnsiTheme="majorHAnsi" w:cs="Calibri"/>
          <w:color w:val="000000"/>
        </w:rPr>
        <w:t xml:space="preserve"> </w:t>
      </w:r>
      <w:r w:rsidRPr="002A0536">
        <w:rPr>
          <w:rFonts w:asciiTheme="majorHAnsi" w:hAnsiTheme="majorHAnsi" w:cs="Calibri"/>
          <w:color w:val="000000"/>
        </w:rPr>
        <w:t>a o vypuštění tohoto požadavku.</w:t>
      </w:r>
    </w:p>
    <w:p w14:paraId="361F9D6A" w14:textId="5A24D776" w:rsidR="001D2940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3F20BF76" w14:textId="77777777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Odpověď:</w:t>
      </w:r>
    </w:p>
    <w:p w14:paraId="526AA19B" w14:textId="63A4AA28" w:rsidR="001D2940" w:rsidRPr="00D932D2" w:rsidRDefault="001D2940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Zadavatel přezkoumal na podnět uchazeče svůj požadavek na doložení oprávnění k podnikání a nadále na něm trvá.</w:t>
      </w:r>
    </w:p>
    <w:p w14:paraId="50F84A0C" w14:textId="77777777" w:rsidR="00EB4EBE" w:rsidRDefault="00EB4EBE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</w:p>
    <w:p w14:paraId="5E127C68" w14:textId="4ED15D62" w:rsidR="002A0536" w:rsidRPr="002A0536" w:rsidRDefault="002A0536" w:rsidP="00F646F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V.</w:t>
      </w:r>
    </w:p>
    <w:p w14:paraId="063B9433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1. Zadavatel ve Vysvětlení ZD č. 1 dále uvedl, že je správná domněnka Dodavatele, že budou</w:t>
      </w:r>
    </w:p>
    <w:p w14:paraId="36B12A04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poskytnuté služby transparentně účtovány v hodinové sazbě podle skutečného rozsahu</w:t>
      </w:r>
    </w:p>
    <w:p w14:paraId="45A5ABDA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provedených prací na základě měsíčního výkazu. Nicméně pokud by měl rozsah služeb</w:t>
      </w:r>
    </w:p>
    <w:p w14:paraId="7FBEA036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přesáhnout stanovený předpoklad (968 hodin), bude nutné postupovat podle článku 14</w:t>
      </w:r>
    </w:p>
    <w:p w14:paraId="4F152589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obchodních podmínek a příslušných ustanovení ZZVZ.</w:t>
      </w:r>
    </w:p>
    <w:p w14:paraId="794DE497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2. Dodavatel z tohoto dovozuje, že ke změně ceny díla může dojít toliko na základě písemné</w:t>
      </w:r>
    </w:p>
    <w:p w14:paraId="3C475D4E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dohody smluvních stran (a Dodavatel na takovouto změnu de facto nemá ani právní nárok).</w:t>
      </w:r>
    </w:p>
    <w:p w14:paraId="18D35B45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3. S ohledem na značná obchodní rizika vyplývající z výše uvedených mechanismů Dodavatel</w:t>
      </w:r>
    </w:p>
    <w:p w14:paraId="7F61290C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tímto na Zadavatele apeluje a Zadavatele žádá o příslušnou úpravu smlouvy na Veřejnou</w:t>
      </w:r>
    </w:p>
    <w:p w14:paraId="4D70C066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zakázku spočívající v doplnění ustanovení o tom (v podstatě), že v případě hrozícího překročení</w:t>
      </w:r>
    </w:p>
    <w:p w14:paraId="7991D973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předpokládaného rozsahu poskytovaných služeb dle smlouvy jsou smluvní strany povinny</w:t>
      </w:r>
    </w:p>
    <w:p w14:paraId="6B500D28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zahájit jednání o zvýšení ceny díla, resp. že zhotovitel je oprávněn bez dalšího požadovat</w:t>
      </w:r>
    </w:p>
    <w:p w14:paraId="7915A573" w14:textId="77777777" w:rsidR="002A0536" w:rsidRP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navýšení ceny díla při překročení předpokládaného rozsahu poskytovaných služeb (které budou</w:t>
      </w:r>
    </w:p>
    <w:p w14:paraId="1E642756" w14:textId="4E791899" w:rsidR="002A0536" w:rsidRDefault="002A0536" w:rsidP="002A053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2A0536">
        <w:rPr>
          <w:rFonts w:asciiTheme="majorHAnsi" w:hAnsiTheme="majorHAnsi" w:cs="Calibri"/>
          <w:color w:val="000000"/>
        </w:rPr>
        <w:t>poskytovány na výzvu objednatele).</w:t>
      </w:r>
    </w:p>
    <w:p w14:paraId="665984A6" w14:textId="1E73111B" w:rsidR="002A0536" w:rsidRDefault="002A0536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3A17EC0F" w14:textId="488EA953" w:rsidR="001D2940" w:rsidRPr="00D932D2" w:rsidRDefault="001D2940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Odpověď:</w:t>
      </w:r>
    </w:p>
    <w:p w14:paraId="2402A4CE" w14:textId="44880474" w:rsidR="001D2940" w:rsidRPr="00D932D2" w:rsidRDefault="001D2940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 w:rsidRPr="00D932D2">
        <w:rPr>
          <w:rFonts w:asciiTheme="majorHAnsi" w:hAnsiTheme="majorHAnsi" w:cs="Calibri"/>
          <w:b/>
        </w:rPr>
        <w:t>Zadavatel žádné úpravy smlouvy a obchodních podmínek, které jsou součástí zadávací dokumentace předmětné zakázky, provádět nebude. Současné znění článku 14 Obchodních podmínek SSV pro smlouvu o dílo na poskytování služeb OP SSV/03/21 je v souladu s právními předpisy, především v souladu s ustanovením § 222 zákona č. 134/2016 Sb., o zadávání veřejných zakázek.</w:t>
      </w:r>
    </w:p>
    <w:p w14:paraId="5FDF4274" w14:textId="77777777" w:rsidR="002A0536" w:rsidRDefault="002A0536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6BE6C84A" w14:textId="52E01D05" w:rsidR="002A0536" w:rsidRDefault="002A0536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58141A20" w14:textId="77777777" w:rsidR="00EB4EBE" w:rsidRPr="00EB4EBE" w:rsidRDefault="00EB4EBE" w:rsidP="00EB4EBE">
      <w:pPr>
        <w:jc w:val="both"/>
        <w:rPr>
          <w:iCs/>
          <w:lang w:eastAsia="cs-CZ"/>
        </w:rPr>
      </w:pPr>
      <w:r w:rsidRPr="00EB4EBE">
        <w:rPr>
          <w:iCs/>
          <w:lang w:eastAsia="cs-CZ"/>
        </w:rPr>
        <w:t xml:space="preserve">Vzhledem ke skutečnosti, že bylo provedeno pouze </w:t>
      </w:r>
      <w:r w:rsidRPr="00EB4EBE">
        <w:rPr>
          <w:b/>
          <w:bCs/>
          <w:iCs/>
          <w:lang w:eastAsia="cs-CZ"/>
        </w:rPr>
        <w:t>vysvětlení zadávací dokumentace</w:t>
      </w:r>
      <w:r w:rsidRPr="00EB4EBE">
        <w:rPr>
          <w:iCs/>
          <w:lang w:eastAsia="cs-CZ"/>
        </w:rPr>
        <w:t>, neprodlužuje zadavatel lhůtu pro podání nabídek.</w:t>
      </w:r>
    </w:p>
    <w:p w14:paraId="4E16E8BC" w14:textId="72CC6FBD" w:rsidR="000A764C" w:rsidRPr="00EB4EBE" w:rsidRDefault="00EB4EBE" w:rsidP="00EB4EB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EB4EBE">
        <w:rPr>
          <w:iCs/>
          <w:lang w:eastAsia="cs-CZ"/>
        </w:rPr>
        <w:t>Povaha shora uvedených vysvětlení/ změn/ doplnění zadávací dokumentace nevyžaduje prodloužení lhůty pro podání nabídek.</w:t>
      </w:r>
    </w:p>
    <w:p w14:paraId="5A0E730F" w14:textId="77777777" w:rsidR="00E22248" w:rsidRPr="00EB4EBE" w:rsidRDefault="00E2224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4E8F8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BE5A621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40878">
        <w:rPr>
          <w:rFonts w:eastAsia="Calibri" w:cs="Times New Roman"/>
          <w:lang w:eastAsia="cs-CZ"/>
        </w:rPr>
        <w:t>Vysvětlení/ změnu/ doplnění zadávací dokumentace</w:t>
      </w:r>
      <w:r w:rsidRPr="00A40878">
        <w:rPr>
          <w:rFonts w:eastAsia="Times New Roman" w:cs="Times New Roman"/>
          <w:lang w:eastAsia="cs-CZ"/>
        </w:rPr>
        <w:t xml:space="preserve">, včetně příloh, zadavatel uveřejní stejným způsobem, jakým uveřejnil výzvu </w:t>
      </w:r>
      <w:r w:rsidRPr="00CB7B5A">
        <w:rPr>
          <w:rFonts w:eastAsia="Times New Roman" w:cs="Times New Roman"/>
          <w:lang w:eastAsia="cs-CZ"/>
        </w:rPr>
        <w:t xml:space="preserve">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D6C4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42329A4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19A2939" w14:textId="77777777" w:rsidR="0085203B" w:rsidRPr="00CB7B5A" w:rsidRDefault="0085203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7233A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57B2E89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1B53E93" w14:textId="77777777" w:rsidR="00A40878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12E4A2B" w14:textId="77777777" w:rsidR="00A40878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7E03960" w14:textId="77777777" w:rsidR="00A40878" w:rsidRPr="00CB7B5A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005E52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D33E0E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A46F2E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EE24A1B" w14:textId="77777777" w:rsidR="00CB7B5A" w:rsidRPr="00CB7B5A" w:rsidRDefault="00CB7B5A" w:rsidP="0013043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130434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130434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1F01B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A9B96" w14:textId="77777777" w:rsidR="004A7F2E" w:rsidRDefault="004A7F2E" w:rsidP="00962258">
      <w:pPr>
        <w:spacing w:after="0" w:line="240" w:lineRule="auto"/>
      </w:pPr>
      <w:r>
        <w:separator/>
      </w:r>
    </w:p>
  </w:endnote>
  <w:endnote w:type="continuationSeparator" w:id="0">
    <w:p w14:paraId="7A16C678" w14:textId="77777777" w:rsidR="004A7F2E" w:rsidRDefault="004A7F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58D28" w14:textId="77777777" w:rsidR="00E61F76" w:rsidRDefault="00E61F76">
    <w:pPr>
      <w:pStyle w:val="Zpat"/>
    </w:pPr>
  </w:p>
  <w:p w14:paraId="31C50023" w14:textId="77777777" w:rsidR="004E655F" w:rsidRDefault="004E65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3197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00309D" w14:textId="6842F7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C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C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55BB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16174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9871B5C" w14:textId="77777777" w:rsidR="00F1715C" w:rsidRDefault="00F1715C" w:rsidP="00D831A3">
          <w:pPr>
            <w:pStyle w:val="Zpat"/>
          </w:pPr>
        </w:p>
      </w:tc>
    </w:tr>
  </w:tbl>
  <w:p w14:paraId="3C82664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BA498EC" wp14:editId="148B43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E0D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B6E789" wp14:editId="2CDD53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6C9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99A693" w14:textId="77777777" w:rsidR="004E655F" w:rsidRDefault="004E65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61F76" w14:paraId="7C07B3A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CEB2FD" w14:textId="475B42C9" w:rsidR="00E61F76" w:rsidRPr="00B8518B" w:rsidRDefault="00E61F7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C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C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B55D30" w14:textId="77777777" w:rsidR="00E61F76" w:rsidRDefault="00E61F76">
          <w:pPr>
            <w:pStyle w:val="Zpat"/>
          </w:pPr>
          <w:r>
            <w:t>Správa železnic, státní organizace</w:t>
          </w:r>
        </w:p>
        <w:p w14:paraId="60C4ED00" w14:textId="77777777" w:rsidR="00E61F76" w:rsidRDefault="00E61F7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C50EDC" w14:textId="77777777" w:rsidR="00E61F76" w:rsidRDefault="00E61F76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0BD8036A" w14:textId="77777777" w:rsidR="00E61F76" w:rsidRDefault="00E61F76">
          <w:pPr>
            <w:pStyle w:val="Zpat"/>
          </w:pPr>
          <w:r>
            <w:t>IČO: 709 94 234 DIČ: CZ 709 94 234</w:t>
          </w:r>
        </w:p>
        <w:p w14:paraId="7907A5CA" w14:textId="77777777" w:rsidR="00E61F76" w:rsidRDefault="00E61F76">
          <w:pPr>
            <w:pStyle w:val="Zpat"/>
          </w:pPr>
          <w:r>
            <w:t>www.</w:t>
          </w:r>
          <w:r w:rsidR="003D6C47">
            <w:t>spravazeleznic</w:t>
          </w:r>
          <w:r>
            <w:t>.cz</w:t>
          </w:r>
        </w:p>
      </w:tc>
      <w:tc>
        <w:tcPr>
          <w:tcW w:w="2921" w:type="dxa"/>
        </w:tcPr>
        <w:p w14:paraId="35701DA3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92DB562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99428CC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3EDFCCB" w14:textId="77777777" w:rsidR="00E61F76" w:rsidRDefault="00E61F76">
          <w:pPr>
            <w:pStyle w:val="Zpat"/>
          </w:pPr>
        </w:p>
      </w:tc>
    </w:tr>
  </w:tbl>
  <w:p w14:paraId="4E854CC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BFD27F8" wp14:editId="39F361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5056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F38125" wp14:editId="40AE57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7DAB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DECF58" w14:textId="77777777" w:rsidR="00F1715C" w:rsidRPr="00460660" w:rsidRDefault="00F1715C">
    <w:pPr>
      <w:pStyle w:val="Zpat"/>
      <w:rPr>
        <w:sz w:val="2"/>
        <w:szCs w:val="2"/>
      </w:rPr>
    </w:pPr>
  </w:p>
  <w:p w14:paraId="00C56280" w14:textId="77777777" w:rsidR="004E655F" w:rsidRDefault="004E65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0FCAE" w14:textId="77777777" w:rsidR="004A7F2E" w:rsidRDefault="004A7F2E" w:rsidP="00962258">
      <w:pPr>
        <w:spacing w:after="0" w:line="240" w:lineRule="auto"/>
      </w:pPr>
      <w:r>
        <w:separator/>
      </w:r>
    </w:p>
  </w:footnote>
  <w:footnote w:type="continuationSeparator" w:id="0">
    <w:p w14:paraId="2637FCC2" w14:textId="77777777" w:rsidR="004A7F2E" w:rsidRDefault="004A7F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CB48" w14:textId="77777777" w:rsidR="00E61F76" w:rsidRDefault="00E61F76">
    <w:pPr>
      <w:pStyle w:val="Zhlav"/>
    </w:pPr>
  </w:p>
  <w:p w14:paraId="78C97486" w14:textId="77777777" w:rsidR="004E655F" w:rsidRDefault="004E65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382E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AA347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AAFBC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A5053" w14:textId="77777777" w:rsidR="00F1715C" w:rsidRPr="00D6163D" w:rsidRDefault="00F1715C" w:rsidP="00D6163D">
          <w:pPr>
            <w:pStyle w:val="Druhdokumentu"/>
          </w:pPr>
        </w:p>
      </w:tc>
    </w:tr>
  </w:tbl>
  <w:p w14:paraId="0A66A192" w14:textId="77777777" w:rsidR="00F1715C" w:rsidRPr="00D6163D" w:rsidRDefault="00F1715C">
    <w:pPr>
      <w:pStyle w:val="Zhlav"/>
      <w:rPr>
        <w:sz w:val="8"/>
        <w:szCs w:val="8"/>
      </w:rPr>
    </w:pPr>
  </w:p>
  <w:p w14:paraId="1E511065" w14:textId="77777777" w:rsidR="004E655F" w:rsidRDefault="004E655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3D8D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4A4D64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1C9731F" wp14:editId="685236F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73BA3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="00130434">
            <w:rPr>
              <w:rStyle w:val="slostrnky"/>
            </w:rPr>
            <w:t>v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87A9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8916D4" w14:textId="77777777" w:rsidR="00F1715C" w:rsidRPr="00D6163D" w:rsidRDefault="00F1715C" w:rsidP="00FC6389">
          <w:pPr>
            <w:pStyle w:val="Druhdokumentu"/>
          </w:pPr>
        </w:p>
      </w:tc>
    </w:tr>
    <w:tr w:rsidR="00F64786" w14:paraId="4C4DA6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C5E8A43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EAF0A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FE97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F4607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137F3E" wp14:editId="48053B6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85A05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130434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0BC3A127" wp14:editId="6B0A0F63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52918" w14:textId="77777777" w:rsidR="00F1715C" w:rsidRPr="00460660" w:rsidRDefault="00F1715C">
    <w:pPr>
      <w:pStyle w:val="Zhlav"/>
      <w:rPr>
        <w:sz w:val="2"/>
        <w:szCs w:val="2"/>
      </w:rPr>
    </w:pPr>
  </w:p>
  <w:p w14:paraId="1FA6473A" w14:textId="77777777" w:rsidR="004E655F" w:rsidRDefault="004E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FC22A2"/>
    <w:multiLevelType w:val="hybridMultilevel"/>
    <w:tmpl w:val="EF947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75A6"/>
    <w:multiLevelType w:val="hybridMultilevel"/>
    <w:tmpl w:val="07BAB5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4373E"/>
    <w:multiLevelType w:val="hybridMultilevel"/>
    <w:tmpl w:val="3DE615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88731B"/>
    <w:multiLevelType w:val="hybridMultilevel"/>
    <w:tmpl w:val="17FA2B8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07F0A30"/>
    <w:multiLevelType w:val="hybridMultilevel"/>
    <w:tmpl w:val="00BC99AE"/>
    <w:lvl w:ilvl="0" w:tplc="5AF6E35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3576"/>
    <w:rsid w:val="00033432"/>
    <w:rsid w:val="000335CC"/>
    <w:rsid w:val="00046555"/>
    <w:rsid w:val="000722C9"/>
    <w:rsid w:val="00072C1E"/>
    <w:rsid w:val="000A764C"/>
    <w:rsid w:val="000B6C7E"/>
    <w:rsid w:val="000B7907"/>
    <w:rsid w:val="000C0429"/>
    <w:rsid w:val="000C45E8"/>
    <w:rsid w:val="00114472"/>
    <w:rsid w:val="00130434"/>
    <w:rsid w:val="001308F2"/>
    <w:rsid w:val="00170EC5"/>
    <w:rsid w:val="001747C1"/>
    <w:rsid w:val="00183F83"/>
    <w:rsid w:val="0018596A"/>
    <w:rsid w:val="001B69C2"/>
    <w:rsid w:val="001C4DA0"/>
    <w:rsid w:val="001D2940"/>
    <w:rsid w:val="00207DF5"/>
    <w:rsid w:val="00267369"/>
    <w:rsid w:val="0026785D"/>
    <w:rsid w:val="002A0536"/>
    <w:rsid w:val="002A4103"/>
    <w:rsid w:val="002B790C"/>
    <w:rsid w:val="002C31BF"/>
    <w:rsid w:val="002E0CD7"/>
    <w:rsid w:val="002F026B"/>
    <w:rsid w:val="00357BC6"/>
    <w:rsid w:val="0037111D"/>
    <w:rsid w:val="003712FC"/>
    <w:rsid w:val="003956C6"/>
    <w:rsid w:val="003D6C47"/>
    <w:rsid w:val="003E05F4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A7F2E"/>
    <w:rsid w:val="004B3F48"/>
    <w:rsid w:val="004B47B1"/>
    <w:rsid w:val="004C4399"/>
    <w:rsid w:val="004C69ED"/>
    <w:rsid w:val="004C787C"/>
    <w:rsid w:val="004D0A64"/>
    <w:rsid w:val="004E655F"/>
    <w:rsid w:val="004F4B9B"/>
    <w:rsid w:val="00501654"/>
    <w:rsid w:val="00501F62"/>
    <w:rsid w:val="00511AB9"/>
    <w:rsid w:val="00516E9F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2CA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3441"/>
    <w:rsid w:val="00723ED1"/>
    <w:rsid w:val="00735ED4"/>
    <w:rsid w:val="00743525"/>
    <w:rsid w:val="007531A0"/>
    <w:rsid w:val="0076286B"/>
    <w:rsid w:val="00764595"/>
    <w:rsid w:val="0076662B"/>
    <w:rsid w:val="00766846"/>
    <w:rsid w:val="0077673A"/>
    <w:rsid w:val="007846E1"/>
    <w:rsid w:val="007B570C"/>
    <w:rsid w:val="007D3F49"/>
    <w:rsid w:val="007E4A6E"/>
    <w:rsid w:val="007F56A7"/>
    <w:rsid w:val="00806EAA"/>
    <w:rsid w:val="00807DD0"/>
    <w:rsid w:val="00813F11"/>
    <w:rsid w:val="0085203B"/>
    <w:rsid w:val="00891334"/>
    <w:rsid w:val="008A3568"/>
    <w:rsid w:val="008D03B9"/>
    <w:rsid w:val="008F1475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C0CBB"/>
    <w:rsid w:val="009E07F4"/>
    <w:rsid w:val="009E64F5"/>
    <w:rsid w:val="009F392E"/>
    <w:rsid w:val="00A0371C"/>
    <w:rsid w:val="00A30CC7"/>
    <w:rsid w:val="00A40878"/>
    <w:rsid w:val="00A44328"/>
    <w:rsid w:val="00A6177B"/>
    <w:rsid w:val="00A66136"/>
    <w:rsid w:val="00A92A1A"/>
    <w:rsid w:val="00AA4CBB"/>
    <w:rsid w:val="00AA65FA"/>
    <w:rsid w:val="00AA7351"/>
    <w:rsid w:val="00AD056F"/>
    <w:rsid w:val="00AD2773"/>
    <w:rsid w:val="00AD37C1"/>
    <w:rsid w:val="00AD6731"/>
    <w:rsid w:val="00AE1DDE"/>
    <w:rsid w:val="00B15B5E"/>
    <w:rsid w:val="00B15D0D"/>
    <w:rsid w:val="00B23CA3"/>
    <w:rsid w:val="00B3491A"/>
    <w:rsid w:val="00B43DB4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C80"/>
    <w:rsid w:val="00CC1E2B"/>
    <w:rsid w:val="00CD1FC4"/>
    <w:rsid w:val="00CD56DF"/>
    <w:rsid w:val="00CE371D"/>
    <w:rsid w:val="00CE5FA9"/>
    <w:rsid w:val="00CF55BC"/>
    <w:rsid w:val="00D02A4D"/>
    <w:rsid w:val="00D21061"/>
    <w:rsid w:val="00D316A7"/>
    <w:rsid w:val="00D406A7"/>
    <w:rsid w:val="00D4108E"/>
    <w:rsid w:val="00D6163D"/>
    <w:rsid w:val="00D63009"/>
    <w:rsid w:val="00D757D0"/>
    <w:rsid w:val="00D831A3"/>
    <w:rsid w:val="00D902AD"/>
    <w:rsid w:val="00D91D61"/>
    <w:rsid w:val="00D932D2"/>
    <w:rsid w:val="00DA6FFE"/>
    <w:rsid w:val="00DC3110"/>
    <w:rsid w:val="00DD46F3"/>
    <w:rsid w:val="00DD58A6"/>
    <w:rsid w:val="00DE56F2"/>
    <w:rsid w:val="00DF116D"/>
    <w:rsid w:val="00E22248"/>
    <w:rsid w:val="00E262F2"/>
    <w:rsid w:val="00E61F76"/>
    <w:rsid w:val="00E824F1"/>
    <w:rsid w:val="00E92785"/>
    <w:rsid w:val="00EA3B56"/>
    <w:rsid w:val="00EB104F"/>
    <w:rsid w:val="00EB4EBE"/>
    <w:rsid w:val="00ED14BD"/>
    <w:rsid w:val="00EE000D"/>
    <w:rsid w:val="00F01440"/>
    <w:rsid w:val="00F12DEC"/>
    <w:rsid w:val="00F1715C"/>
    <w:rsid w:val="00F310F8"/>
    <w:rsid w:val="00F35939"/>
    <w:rsid w:val="00F45607"/>
    <w:rsid w:val="00F646F9"/>
    <w:rsid w:val="00F64786"/>
    <w:rsid w:val="00F659EB"/>
    <w:rsid w:val="00F804A7"/>
    <w:rsid w:val="00F862D6"/>
    <w:rsid w:val="00F86BA6"/>
    <w:rsid w:val="00FB7F73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582830"/>
  <w14:defaultImageDpi w14:val="32767"/>
  <w15:docId w15:val="{90FBB1ED-920C-40F9-929D-7EFE7D2A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35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35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815C8D-FF14-48D5-A2E6-A9B8BAAF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4</Pages>
  <Words>1636</Words>
  <Characters>9656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Souček Jaromír, Ing.</cp:lastModifiedBy>
  <cp:revision>6</cp:revision>
  <cp:lastPrinted>2021-11-15T09:39:00Z</cp:lastPrinted>
  <dcterms:created xsi:type="dcterms:W3CDTF">2021-11-15T08:46:00Z</dcterms:created>
  <dcterms:modified xsi:type="dcterms:W3CDTF">2021-11-15T09:40:00Z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