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555E00" w:rsidRDefault="00596C7E" w:rsidP="00596C7E">
            <w:pPr>
              <w:rPr>
                <w:rStyle w:val="Potovnadresa"/>
                <w:b/>
              </w:rPr>
            </w:pPr>
          </w:p>
          <w:p w:rsidR="00F862D6" w:rsidRPr="00F862D6" w:rsidRDefault="00555E00" w:rsidP="00555E00">
            <w:pPr>
              <w:ind w:left="708"/>
              <w:rPr>
                <w:rStyle w:val="Potovnadresa"/>
              </w:rPr>
            </w:pPr>
            <w:r w:rsidRPr="00555E00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90661" w:rsidP="0037111D">
            <w:r w:rsidRPr="00B90661">
              <w:rPr>
                <w:rFonts w:ascii="Helvetica" w:hAnsi="Helvetica"/>
                <w:b/>
                <w:bCs/>
              </w:rPr>
              <w:t>18071/2021-SŽ-SSV-Ú3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0047D3" w:rsidRDefault="00F862D6" w:rsidP="0077673A">
            <w:r w:rsidRPr="000047D3">
              <w:t>Listů/příloh</w:t>
            </w:r>
          </w:p>
        </w:tc>
        <w:tc>
          <w:tcPr>
            <w:tcW w:w="2552" w:type="dxa"/>
          </w:tcPr>
          <w:p w:rsidR="00F862D6" w:rsidRPr="000047D3" w:rsidRDefault="000047D3" w:rsidP="00CC1E2B">
            <w:r w:rsidRPr="000047D3">
              <w:t>5/4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A561A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EB3AD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0056">
              <w:rPr>
                <w:noProof/>
              </w:rPr>
              <w:t>4.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561A" w:rsidRPr="00FA561A">
        <w:rPr>
          <w:rFonts w:eastAsia="Calibri" w:cs="Times New Roman"/>
          <w:b/>
          <w:lang w:eastAsia="cs-CZ"/>
        </w:rPr>
        <w:t>Zrušení přejezdu P6801 v km 179,826 trati Brno – Č. Třebová a výstavba podchodu v zast. Blansko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E41318">
        <w:rPr>
          <w:rFonts w:eastAsia="Calibri" w:cs="Times New Roman"/>
          <w:lang w:eastAsia="cs-CZ"/>
        </w:rPr>
        <w:t>4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047D3" w:rsidRPr="00CB7B5A" w:rsidRDefault="000047D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57B4F" w:rsidRPr="00EB3AD7" w:rsidRDefault="00657B4F" w:rsidP="00CB7B5A">
      <w:pPr>
        <w:spacing w:after="0" w:line="240" w:lineRule="auto"/>
        <w:jc w:val="both"/>
        <w:rPr>
          <w:rFonts w:eastAsia="Times New Roman" w:cs="Times New Roman"/>
          <w:color w:val="538135" w:themeColor="accent5" w:themeShade="BF"/>
          <w:lang w:eastAsia="cs-CZ"/>
        </w:rPr>
      </w:pPr>
    </w:p>
    <w:p w:rsidR="00555E00" w:rsidRPr="00555E00" w:rsidRDefault="00B93EDD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</w:t>
      </w:r>
      <w:r w:rsidR="00E41318">
        <w:rPr>
          <w:rFonts w:eastAsia="Calibri" w:cs="Times New Roman"/>
          <w:b/>
          <w:lang w:eastAsia="cs-CZ"/>
        </w:rPr>
        <w:t>6</w:t>
      </w:r>
      <w:r w:rsidRPr="00EB3AD7">
        <w:rPr>
          <w:rFonts w:eastAsia="Calibri" w:cs="Times New Roman"/>
          <w:b/>
          <w:lang w:eastAsia="cs-CZ"/>
        </w:rPr>
        <w:t>:</w:t>
      </w:r>
    </w:p>
    <w:p w:rsidR="00E41318" w:rsidRDefault="00E41318" w:rsidP="00B93EDD">
      <w:pPr>
        <w:spacing w:after="0" w:line="240" w:lineRule="auto"/>
      </w:pPr>
      <w:r w:rsidRPr="0067068F">
        <w:t>V soupise SO 11-20-01 podchod chybí položky pro realizaci mikropilot (stavební posup 0).  Jejich započtení (váhy trubek) do pol. 22694 je nedostatečné, chybí vrty pro mikropiloty a beton mikropilot. Můžete upravit soupis?</w:t>
      </w:r>
    </w:p>
    <w:p w:rsidR="00710056" w:rsidRDefault="00710056" w:rsidP="00B93E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93EDD" w:rsidRDefault="00B93EDD" w:rsidP="00B93EDD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B93EDD" w:rsidRPr="00710056" w:rsidRDefault="00F62E81" w:rsidP="00CB7B5A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10056">
        <w:rPr>
          <w:rFonts w:eastAsia="Times New Roman" w:cs="Times New Roman"/>
          <w:i/>
          <w:lang w:eastAsia="cs-CZ"/>
        </w:rPr>
        <w:t xml:space="preserve">Hmotnost mikropilot byla vyjmuta z položky č. 61 22594. Byly vytvořeny nové položky č. 63 227831 MIKROPILOTY KOMPLET D DO 150MM NA POVRCHU a č. 64 26114 VRTY PRO KOTVENÍ, INJEKTÁŽ A MIKROPILOTY NA POVRCHU TŘ. I D DO 200MM. Tímto byly doplněny kubatury pro vrty i materiál pro zainjektování trubek. </w:t>
      </w:r>
    </w:p>
    <w:p w:rsidR="00EB3AD7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EB3AD7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</w:t>
      </w:r>
      <w:r w:rsidR="00E41318">
        <w:rPr>
          <w:rFonts w:eastAsia="Calibri" w:cs="Times New Roman"/>
          <w:b/>
          <w:lang w:eastAsia="cs-CZ"/>
        </w:rPr>
        <w:t>7</w:t>
      </w:r>
      <w:r w:rsidRPr="00EB3AD7">
        <w:rPr>
          <w:rFonts w:eastAsia="Calibri" w:cs="Times New Roman"/>
          <w:b/>
          <w:lang w:eastAsia="cs-CZ"/>
        </w:rPr>
        <w:t>:</w:t>
      </w:r>
    </w:p>
    <w:p w:rsidR="00555E00" w:rsidRDefault="00E41318" w:rsidP="00555E00">
      <w:r w:rsidRPr="00E41318">
        <w:t>V DI č.1 v dotazu č.28 zadavatel změnil všechny štětovnice na trvalé. To se ale neshoduje s projektem a výkazem, kde je položka: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87"/>
        <w:gridCol w:w="525"/>
        <w:gridCol w:w="3905"/>
        <w:gridCol w:w="631"/>
        <w:gridCol w:w="1843"/>
      </w:tblGrid>
      <w:tr w:rsidR="00E41318" w:rsidRPr="0067068F" w:rsidTr="00E41318">
        <w:trPr>
          <w:trHeight w:val="255"/>
        </w:trPr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1318" w:rsidRPr="0067068F" w:rsidRDefault="00E41318" w:rsidP="00EF3F9E">
            <w:pPr>
              <w:jc w:val="right"/>
              <w:rPr>
                <w:rFonts w:cstheme="minorHAnsi"/>
                <w:lang w:eastAsia="cs-CZ"/>
              </w:rPr>
            </w:pPr>
            <w:r w:rsidRPr="0067068F">
              <w:rPr>
                <w:rFonts w:cstheme="minorHAnsi"/>
                <w:lang w:eastAsia="cs-CZ"/>
              </w:rPr>
              <w:t>9</w:t>
            </w:r>
          </w:p>
        </w:tc>
        <w:tc>
          <w:tcPr>
            <w:tcW w:w="88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1318" w:rsidRPr="0067068F" w:rsidRDefault="00E41318" w:rsidP="00EF3F9E">
            <w:pPr>
              <w:jc w:val="right"/>
              <w:rPr>
                <w:rFonts w:cstheme="minorHAnsi"/>
                <w:lang w:eastAsia="cs-CZ"/>
              </w:rPr>
            </w:pPr>
            <w:r w:rsidRPr="0067068F">
              <w:rPr>
                <w:rFonts w:cstheme="minorHAnsi"/>
                <w:lang w:eastAsia="cs-CZ"/>
              </w:rPr>
              <w:t>237172</w:t>
            </w:r>
          </w:p>
        </w:tc>
        <w:tc>
          <w:tcPr>
            <w:tcW w:w="5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1318" w:rsidRPr="0067068F" w:rsidRDefault="00E41318" w:rsidP="00EF3F9E">
            <w:pPr>
              <w:rPr>
                <w:rFonts w:cstheme="minorHAnsi"/>
                <w:lang w:eastAsia="cs-CZ"/>
              </w:rPr>
            </w:pPr>
          </w:p>
        </w:tc>
        <w:tc>
          <w:tcPr>
            <w:tcW w:w="3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41318" w:rsidRPr="0067068F" w:rsidRDefault="00E41318" w:rsidP="00EF3F9E">
            <w:pPr>
              <w:rPr>
                <w:rFonts w:cstheme="minorHAnsi"/>
                <w:lang w:eastAsia="cs-CZ"/>
              </w:rPr>
            </w:pPr>
            <w:r w:rsidRPr="0067068F">
              <w:rPr>
                <w:rFonts w:cstheme="minorHAnsi"/>
                <w:lang w:eastAsia="cs-CZ"/>
              </w:rPr>
              <w:t>ODŘEZÁNÍ ŠTĚTOVÝCH STĚN Z KOVOVÝCH DÍLCŮ</w:t>
            </w:r>
          </w:p>
        </w:tc>
        <w:tc>
          <w:tcPr>
            <w:tcW w:w="63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1318" w:rsidRPr="0067068F" w:rsidRDefault="00E41318" w:rsidP="00EF3F9E">
            <w:pPr>
              <w:jc w:val="center"/>
              <w:rPr>
                <w:rFonts w:cstheme="minorHAnsi"/>
                <w:lang w:eastAsia="cs-CZ"/>
              </w:rPr>
            </w:pPr>
            <w:r w:rsidRPr="0067068F">
              <w:rPr>
                <w:rFonts w:cstheme="minorHAnsi"/>
                <w:lang w:eastAsia="cs-CZ"/>
              </w:rPr>
              <w:t>M</w:t>
            </w: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41318" w:rsidRPr="0067068F" w:rsidRDefault="00E41318" w:rsidP="00EF3F9E">
            <w:pPr>
              <w:jc w:val="center"/>
              <w:rPr>
                <w:rFonts w:cstheme="minorHAnsi"/>
                <w:lang w:eastAsia="cs-CZ"/>
              </w:rPr>
            </w:pPr>
            <w:r w:rsidRPr="0067068F">
              <w:rPr>
                <w:rFonts w:cstheme="minorHAnsi"/>
                <w:lang w:eastAsia="cs-CZ"/>
              </w:rPr>
              <w:t>98,800</w:t>
            </w:r>
          </w:p>
        </w:tc>
      </w:tr>
      <w:tr w:rsidR="00E41318" w:rsidRPr="0067068F" w:rsidTr="00E41318">
        <w:trPr>
          <w:trHeight w:val="255"/>
        </w:trPr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cstheme="minorHAnsi"/>
                <w:lang w:eastAsia="cs-CZ"/>
              </w:rPr>
            </w:pPr>
          </w:p>
        </w:tc>
        <w:tc>
          <w:tcPr>
            <w:tcW w:w="88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3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E41318" w:rsidRPr="0067068F" w:rsidTr="00E41318">
        <w:trPr>
          <w:trHeight w:val="255"/>
        </w:trPr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88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9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41318" w:rsidRPr="0067068F" w:rsidRDefault="00E41318" w:rsidP="00EF3F9E">
            <w:pPr>
              <w:rPr>
                <w:rFonts w:cstheme="minorHAnsi"/>
                <w:i/>
                <w:iCs/>
                <w:lang w:eastAsia="cs-CZ"/>
              </w:rPr>
            </w:pPr>
            <w:r w:rsidRPr="0067068F">
              <w:rPr>
                <w:rFonts w:cstheme="minorHAnsi"/>
                <w:i/>
                <w:iCs/>
                <w:lang w:eastAsia="cs-CZ"/>
              </w:rPr>
              <w:t>16,4+82,4=98.800 [A]</w:t>
            </w:r>
          </w:p>
        </w:tc>
        <w:tc>
          <w:tcPr>
            <w:tcW w:w="63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cstheme="minorHAnsi"/>
                <w:i/>
                <w:iCs/>
                <w:lang w:eastAsia="cs-CZ"/>
              </w:rPr>
            </w:pPr>
          </w:p>
        </w:tc>
        <w:tc>
          <w:tcPr>
            <w:tcW w:w="184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Pr="0067068F" w:rsidRDefault="00E41318" w:rsidP="00EF3F9E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E41318" w:rsidRDefault="00E41318" w:rsidP="00E41318">
      <w:pPr>
        <w:spacing w:after="0" w:line="240" w:lineRule="auto"/>
      </w:pPr>
      <w:r w:rsidRPr="0067068F">
        <w:t>výše uvedeného je patrné, že části štětovnic  zůstanou ponechané v zemi a části budou odříznuty a odstraněny, tedy nejde v celé výměře o trvalé konstrukce. Můžete upravit výkaz výměr do souladu s projektem a přidat příslušné položky na ponechané části pažení dle metodiky OTSKP? Tedy doplnit ve správných výměrách položky jak pro trvalé, tak pro dočasné pažení ze štětovnic?</w:t>
      </w:r>
    </w:p>
    <w:p w:rsidR="00710056" w:rsidRDefault="00710056" w:rsidP="00E41318">
      <w:pPr>
        <w:spacing w:after="0" w:line="240" w:lineRule="auto"/>
      </w:pPr>
    </w:p>
    <w:p w:rsidR="00EB3AD7" w:rsidRDefault="00EB3AD7" w:rsidP="00E41318">
      <w:pPr>
        <w:spacing w:after="0" w:line="240" w:lineRule="auto"/>
        <w:rPr>
          <w:rFonts w:eastAsia="Calibri" w:cs="Times New Roman"/>
          <w:b/>
          <w:lang w:eastAsia="cs-CZ"/>
        </w:rPr>
      </w:pPr>
      <w:r w:rsidRPr="00E41318">
        <w:rPr>
          <w:b/>
        </w:rPr>
        <w:t>Odpověď</w:t>
      </w:r>
      <w:r w:rsidRPr="00E41318">
        <w:rPr>
          <w:rFonts w:eastAsia="Calibri" w:cs="Times New Roman"/>
          <w:b/>
          <w:lang w:eastAsia="cs-CZ"/>
        </w:rPr>
        <w:t xml:space="preserve">: </w:t>
      </w:r>
    </w:p>
    <w:p w:rsidR="00B93EDD" w:rsidRPr="00710056" w:rsidRDefault="00F62E81" w:rsidP="00CB7B5A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10056">
        <w:rPr>
          <w:rFonts w:eastAsia="Times New Roman" w:cs="Times New Roman"/>
          <w:i/>
          <w:lang w:eastAsia="cs-CZ"/>
        </w:rPr>
        <w:t>Jelikož se po odřezání/upálení štětovnic neuvažuje s opětovným použitím její zbytkové části, je položka uvažována v celé délce jako trvalá.</w:t>
      </w:r>
    </w:p>
    <w:p w:rsidR="00555E00" w:rsidRDefault="00555E0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555E00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E41318">
        <w:rPr>
          <w:rFonts w:eastAsia="Calibri" w:cs="Times New Roman"/>
          <w:b/>
          <w:lang w:eastAsia="cs-CZ"/>
        </w:rPr>
        <w:t>8</w:t>
      </w:r>
      <w:r w:rsidR="00766C48" w:rsidRPr="00EB3AD7">
        <w:rPr>
          <w:rFonts w:eastAsia="Calibri" w:cs="Times New Roman"/>
          <w:b/>
          <w:lang w:eastAsia="cs-CZ"/>
        </w:rPr>
        <w:t>:</w:t>
      </w:r>
    </w:p>
    <w:p w:rsidR="00E41318" w:rsidRPr="00E41318" w:rsidRDefault="00E41318" w:rsidP="00E41318">
      <w:pPr>
        <w:spacing w:after="0"/>
      </w:pPr>
      <w:r w:rsidRPr="00E41318">
        <w:t xml:space="preserve">Máme dotaz k SO 11-74-01 Zastřešení výstupních objektů. Konstrukce popsané v technické zprávě 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„</w:t>
      </w:r>
      <w:r w:rsidRPr="00E41318">
        <w:rPr>
          <w:b/>
          <w:bCs/>
        </w:rPr>
        <w:t>3.4 Obvodový plášť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Výstupy z podchodu budou opláštěny bezpečnostním kaleným sklem 1010.4 se sítotiskem z bezpečnostního skla</w:t>
      </w:r>
      <w:r w:rsidR="000047D3">
        <w:rPr>
          <w:i/>
          <w:iCs/>
        </w:rPr>
        <w:t xml:space="preserve"> </w:t>
      </w:r>
      <w:r w:rsidRPr="00E41318">
        <w:rPr>
          <w:i/>
          <w:iCs/>
        </w:rPr>
        <w:t>se sítotiskem, kotvené do nosného rámu. Skla jsou kotvené do konstrukce pomocí systémového liniového uchycení zhotovitele. Uchycení skel musí respektovat požadavky na provedení ocelových prvků, při nedostatku legislativy</w:t>
      </w:r>
      <w:r w:rsidR="000047D3">
        <w:rPr>
          <w:i/>
          <w:iCs/>
        </w:rPr>
        <w:t xml:space="preserve"> </w:t>
      </w:r>
      <w:r w:rsidRPr="00E41318">
        <w:rPr>
          <w:i/>
          <w:iCs/>
        </w:rPr>
        <w:t xml:space="preserve">zejména podle DIN 1808. Je nezbytné dodržet minimální přesahy úchytů přes hranu skla s ohledem na oblast oslabené oblasti kalených skel atd. 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Obrys střechy (atika) včetně žlabů bude obložen obkladem z hliníkového kompozitu s povrchovou úpravou PVDF, který je ke konstrukci kotven lokálně.</w:t>
      </w:r>
    </w:p>
    <w:p w:rsidR="00E41318" w:rsidRPr="00E41318" w:rsidRDefault="00E41318" w:rsidP="00E41318">
      <w:pPr>
        <w:spacing w:after="0"/>
        <w:rPr>
          <w:b/>
          <w:bCs/>
        </w:rPr>
      </w:pPr>
      <w:r w:rsidRPr="00E41318">
        <w:rPr>
          <w:b/>
          <w:bCs/>
        </w:rPr>
        <w:t>3.5 Vnitřní vodorovné konstrukce (stropy)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Je navržen podhled z hliníkového kompozitu s úpravou PVDF, který bude lokálně kotven k ocelové podkonstrukci.</w:t>
      </w:r>
    </w:p>
    <w:p w:rsidR="00E41318" w:rsidRPr="00E41318" w:rsidRDefault="00E41318" w:rsidP="00E41318">
      <w:pPr>
        <w:spacing w:after="0"/>
        <w:rPr>
          <w:b/>
          <w:bCs/>
        </w:rPr>
      </w:pPr>
      <w:r w:rsidRPr="00E41318">
        <w:rPr>
          <w:b/>
          <w:bCs/>
        </w:rPr>
        <w:t>3.6 Střešní konstrukce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Střešní konstrukce je řešena v podélném sklonu 1 %. Je tvořená sendvičovým panelem s izolačním jádrem,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nosným plechem a PVC fólií o celkové tloušťce 208 mm.</w:t>
      </w:r>
    </w:p>
    <w:p w:rsidR="00E41318" w:rsidRPr="00E41318" w:rsidRDefault="00E41318" w:rsidP="00E41318">
      <w:pPr>
        <w:spacing w:after="0"/>
        <w:rPr>
          <w:b/>
          <w:bCs/>
        </w:rPr>
      </w:pPr>
      <w:r w:rsidRPr="00E41318">
        <w:rPr>
          <w:b/>
          <w:bCs/>
        </w:rPr>
        <w:t>3.7 Podhledy</w:t>
      </w:r>
    </w:p>
    <w:p w:rsidR="00E41318" w:rsidRPr="00E41318" w:rsidRDefault="00E41318" w:rsidP="00E41318">
      <w:pPr>
        <w:spacing w:after="0"/>
        <w:rPr>
          <w:i/>
          <w:iCs/>
        </w:rPr>
      </w:pPr>
      <w:r w:rsidRPr="00E41318">
        <w:rPr>
          <w:i/>
          <w:iCs/>
        </w:rPr>
        <w:t>Je navržen podhled z hliníkového kompozitu s úpravou PVDF, který bude lokálně kotven k ocelové podkonstrukci. “</w:t>
      </w:r>
    </w:p>
    <w:p w:rsidR="00E41318" w:rsidRPr="00E41318" w:rsidRDefault="00E41318" w:rsidP="00E41318">
      <w:pPr>
        <w:spacing w:after="0"/>
      </w:pPr>
    </w:p>
    <w:p w:rsidR="00555E00" w:rsidRDefault="00E41318" w:rsidP="00E41318">
      <w:pPr>
        <w:spacing w:after="0"/>
      </w:pPr>
      <w:r w:rsidRPr="00E41318">
        <w:t>podle názoru uchazeče nekorespondují se soupisem prací:</w:t>
      </w:r>
    </w:p>
    <w:tbl>
      <w:tblPr>
        <w:tblW w:w="89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704"/>
        <w:gridCol w:w="518"/>
        <w:gridCol w:w="4259"/>
        <w:gridCol w:w="518"/>
        <w:gridCol w:w="613"/>
        <w:gridCol w:w="518"/>
      </w:tblGrid>
      <w:tr w:rsidR="00E41318" w:rsidTr="00E41318">
        <w:trPr>
          <w:trHeight w:val="255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22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77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Vodorovné konstrukce</w:t>
            </w: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444151111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Montáž krytiny ocelových střech ze sendvičových panelů šroubovaných budov v do 6 m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153+221</w:t>
            </w: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R002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Sendvičový střešní panel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55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477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Úpravy povrchů, podlahy a osazování výplní</w:t>
            </w: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55324020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kazeta fasádní plechová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621271001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Montáž odvětrávané fasády podhledů nýtováním na dřevěný rošt bez tepelné izolace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622271001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Montáž odvětrávané fasády stěn nýtováním na dřevěný rošt bez tepelné izolace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7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1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41318" w:rsidTr="00E41318">
        <w:trPr>
          <w:gridAfter w:val="1"/>
          <w:wAfter w:w="518" w:type="dxa"/>
          <w:trHeight w:val="264"/>
        </w:trPr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R003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Kompozitní hliníkový obklad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41318" w:rsidRDefault="00E41318" w:rsidP="00EF3F9E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M2        </w:t>
            </w:r>
          </w:p>
        </w:tc>
      </w:tr>
    </w:tbl>
    <w:p w:rsidR="00555E00" w:rsidRDefault="00555E00" w:rsidP="00766C4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41318" w:rsidRPr="0067068F" w:rsidRDefault="00E41318" w:rsidP="00E41318">
      <w:pPr>
        <w:spacing w:after="0"/>
      </w:pPr>
      <w:r w:rsidRPr="0067068F">
        <w:t>Nenalezli jsme položku pro opláštění z bezpečnostního skla a pro podhledy z hliníkového kompozitu. Naopak nám není zřejmé, co je náplní položek 12 a 14.</w:t>
      </w:r>
    </w:p>
    <w:p w:rsidR="00E41318" w:rsidRPr="0067068F" w:rsidRDefault="00E41318" w:rsidP="00E41318">
      <w:pPr>
        <w:spacing w:after="0"/>
      </w:pPr>
      <w:r w:rsidRPr="0067068F">
        <w:t>Může zadavatel uvést tyto nesrovnalosti do souladu?</w:t>
      </w:r>
    </w:p>
    <w:p w:rsidR="00E41318" w:rsidRDefault="00E41318" w:rsidP="00766C4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253A20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</w:p>
    <w:p w:rsidR="00F62E81" w:rsidRPr="00710056" w:rsidRDefault="00F62E81" w:rsidP="00F62E8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Položka č. 12 „kazeta fasádní plechová“ je obložení atiky.</w:t>
      </w:r>
    </w:p>
    <w:p w:rsidR="00F62E81" w:rsidRPr="00710056" w:rsidRDefault="00F62E81" w:rsidP="00F62E8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Položka č. 14 „Montáž odvětrávané … bez tepelné izolace“ je montáž položky č. 12.</w:t>
      </w:r>
    </w:p>
    <w:p w:rsidR="00F62E81" w:rsidRPr="00710056" w:rsidRDefault="00F62E81" w:rsidP="00F62E81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Pro podhled je položka č. 13 (montáž) a položka č. 15 (materiál).</w:t>
      </w:r>
    </w:p>
    <w:p w:rsidR="00F62E81" w:rsidRPr="00710056" w:rsidRDefault="00F62E81" w:rsidP="00F62E81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Pro bezpečnostní sklo byly doplněné dvě položky, a to položka č. 23 (montáž) a položka č. 24 (materiál).</w:t>
      </w:r>
    </w:p>
    <w:p w:rsidR="0007540D" w:rsidRPr="00555E00" w:rsidRDefault="0007540D" w:rsidP="000754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49</w:t>
      </w:r>
      <w:r w:rsidRPr="00EB3AD7">
        <w:rPr>
          <w:rFonts w:eastAsia="Calibri" w:cs="Times New Roman"/>
          <w:b/>
          <w:lang w:eastAsia="cs-CZ"/>
        </w:rPr>
        <w:t>:</w:t>
      </w:r>
    </w:p>
    <w:p w:rsidR="0007540D" w:rsidRDefault="0007540D" w:rsidP="0007540D">
      <w:pPr>
        <w:spacing w:after="0"/>
      </w:pPr>
      <w:r>
        <w:lastRenderedPageBreak/>
        <w:t xml:space="preserve">V návaznosti na odpověď zadavatele na dotaz č. 1 zasíláme bližší konkretizaci problému součtových vzorců: součtové vzorce v buňkách M8  jednotlivých částí soupisu prací (D.1.1, D1.2,…) by měli obsahovat součtový vzorec všech PS/SO, které jsou součástí těchto jednotlivých částí soupisu prací. Obsahují však pouze vzorec „0+M9“, který je součtem pouze prvního PS/SO v dané části soupisu prací. Pokud tedy vyplníme jednotkovými cenami celou část (celý list), do rekapitulace se promítne součet cen pouze za první PS/SO. </w:t>
      </w:r>
    </w:p>
    <w:p w:rsidR="0007540D" w:rsidRDefault="0007540D" w:rsidP="0007540D">
      <w:pPr>
        <w:spacing w:after="0"/>
      </w:pPr>
      <w:r>
        <w:t xml:space="preserve">Příklad: po zadání jednotkové ceny do položky č. 45 v PS 01-01-31 na </w:t>
      </w:r>
      <w:proofErr w:type="gramStart"/>
      <w:r>
        <w:t>listu D.1.1</w:t>
      </w:r>
      <w:proofErr w:type="gramEnd"/>
      <w:r>
        <w:t xml:space="preserve"> se tato cena nepromítne do rekapitulace.</w:t>
      </w:r>
    </w:p>
    <w:p w:rsidR="00710056" w:rsidRPr="00E41318" w:rsidRDefault="00710056" w:rsidP="0007540D">
      <w:pPr>
        <w:spacing w:after="0"/>
      </w:pPr>
    </w:p>
    <w:p w:rsidR="0007540D" w:rsidRPr="00657B4F" w:rsidRDefault="0007540D" w:rsidP="0007540D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F62E81" w:rsidRPr="00710056" w:rsidRDefault="00F62E81" w:rsidP="00F62E81">
      <w:pPr>
        <w:shd w:val="clear" w:color="auto" w:fill="FFFFFF"/>
        <w:spacing w:after="0" w:line="240" w:lineRule="auto"/>
        <w:rPr>
          <w:rFonts w:eastAsia="Calibri" w:cs="Times New Roman"/>
          <w:i/>
          <w:lang w:eastAsia="cs-CZ"/>
        </w:rPr>
      </w:pPr>
      <w:r w:rsidRPr="00710056">
        <w:rPr>
          <w:rFonts w:eastAsia="Calibri" w:cs="Times New Roman"/>
          <w:i/>
          <w:lang w:eastAsia="cs-CZ"/>
        </w:rPr>
        <w:t>Problém se součtovými vzorci byl opraven. Problém byl ve struktuře, se kterou si exportovaný excel neuměl správně poradit.</w:t>
      </w:r>
    </w:p>
    <w:p w:rsidR="005A29B6" w:rsidRDefault="005A29B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7540D" w:rsidRPr="00555E00" w:rsidRDefault="0007540D" w:rsidP="000754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  <w:t>Dotaz č. 50</w:t>
      </w:r>
      <w:r w:rsidRPr="00EB3AD7">
        <w:rPr>
          <w:rFonts w:eastAsia="Calibri" w:cs="Times New Roman"/>
          <w:b/>
          <w:lang w:eastAsia="cs-CZ"/>
        </w:rPr>
        <w:t>:</w:t>
      </w:r>
    </w:p>
    <w:p w:rsidR="0007540D" w:rsidRDefault="0007540D" w:rsidP="0007540D">
      <w:pPr>
        <w:spacing w:after="0" w:line="240" w:lineRule="auto"/>
        <w:jc w:val="both"/>
      </w:pPr>
      <w:r w:rsidRPr="0007540D">
        <w:t>Dle odpovědi zadavatele na dotaz č. 13 mělo být upraveno množství u položek č. 26 a 27. Do aktualizovaného soupisu prací nebyla tato změna promítnuta. Žádáme zadavatele o prověření.</w:t>
      </w:r>
    </w:p>
    <w:p w:rsidR="00710056" w:rsidRDefault="00710056" w:rsidP="0007540D">
      <w:pPr>
        <w:spacing w:after="0" w:line="240" w:lineRule="auto"/>
        <w:jc w:val="both"/>
      </w:pPr>
    </w:p>
    <w:p w:rsidR="00EB3AD7" w:rsidRDefault="0007540D" w:rsidP="000754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</w:p>
    <w:p w:rsidR="00A16ADE" w:rsidRPr="00710056" w:rsidRDefault="00A16ADE" w:rsidP="0007540D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710056">
        <w:rPr>
          <w:rFonts w:eastAsia="Calibri" w:cs="Times New Roman"/>
          <w:i/>
          <w:lang w:eastAsia="cs-CZ"/>
        </w:rPr>
        <w:t>Došlo k přehlédnutí ze strany projektanta při zadávání do rozpočtového programu. Bylo opraveno dle odpovědi na dotaz č. 13</w:t>
      </w:r>
      <w:r w:rsidR="00253A20" w:rsidRPr="00710056">
        <w:rPr>
          <w:rFonts w:eastAsia="Calibri" w:cs="Times New Roman"/>
          <w:i/>
          <w:lang w:eastAsia="cs-CZ"/>
        </w:rPr>
        <w:t>.</w:t>
      </w:r>
    </w:p>
    <w:p w:rsidR="0007540D" w:rsidRDefault="0007540D" w:rsidP="000754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E2958" w:rsidRDefault="000E2958" w:rsidP="000754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E81" w:rsidRPr="00555E00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B829CE">
        <w:rPr>
          <w:rFonts w:eastAsia="Calibri" w:cs="Times New Roman"/>
          <w:b/>
          <w:lang w:eastAsia="cs-CZ"/>
        </w:rPr>
        <w:t>Dotaz č. 51: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Pr="002C354C" w:rsidRDefault="00F62E81" w:rsidP="00F62E81">
      <w:pPr>
        <w:spacing w:after="0" w:line="240" w:lineRule="auto"/>
        <w:jc w:val="both"/>
      </w:pPr>
      <w:r w:rsidRPr="002C354C">
        <w:t xml:space="preserve">Ve výkazu výměr se nachází položka pořadové č. 8 – Montáž ocelových kcí skeletů 1 až 2 podlažních budov o rozsahu 16,295t. V příloze 2,002 Technické řešení – východní část je v tabulce materiálu chybně stanovena hmotnost prvku OS3 a položka je o 1,7t vyšší než by odpovídalo hmotnosti profilu. </w:t>
      </w:r>
    </w:p>
    <w:p w:rsidR="00F62E81" w:rsidRDefault="00F62E81" w:rsidP="00F62E81">
      <w:pPr>
        <w:spacing w:after="0" w:line="240" w:lineRule="auto"/>
        <w:jc w:val="both"/>
      </w:pPr>
      <w:r w:rsidRPr="002C354C">
        <w:t>Bude rozsah položky upraven?</w:t>
      </w:r>
    </w:p>
    <w:p w:rsidR="00710056" w:rsidRDefault="00710056" w:rsidP="00F62E81">
      <w:pPr>
        <w:spacing w:after="0" w:line="240" w:lineRule="auto"/>
        <w:jc w:val="both"/>
      </w:pPr>
    </w:p>
    <w:p w:rsidR="00253A20" w:rsidRDefault="00F62E81" w:rsidP="00F62E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 xml:space="preserve">V příloze </w:t>
      </w:r>
      <w:proofErr w:type="gramStart"/>
      <w:r w:rsidRPr="00710056">
        <w:rPr>
          <w:rFonts w:eastAsia="Calibri" w:cs="Times New Roman"/>
          <w:bCs/>
          <w:i/>
          <w:iCs/>
          <w:lang w:eastAsia="cs-CZ"/>
        </w:rPr>
        <w:t>2.002 (D.2.2.2.1.2</w:t>
      </w:r>
      <w:proofErr w:type="gramEnd"/>
      <w:r w:rsidRPr="00710056">
        <w:rPr>
          <w:rFonts w:eastAsia="Calibri" w:cs="Times New Roman"/>
          <w:bCs/>
          <w:i/>
          <w:iCs/>
          <w:lang w:eastAsia="cs-CZ"/>
        </w:rPr>
        <w:t xml:space="preserve">) byla v tabulce opravena hmotnost prvku OS3 z původních 2247,95 kg na nových 548,78 kg. </w:t>
      </w:r>
      <w:r w:rsidR="00253A20" w:rsidRPr="00710056">
        <w:rPr>
          <w:rFonts w:eastAsia="Calibri" w:cs="Times New Roman"/>
          <w:bCs/>
          <w:i/>
          <w:iCs/>
          <w:lang w:eastAsia="cs-CZ"/>
        </w:rPr>
        <w:t>Současně bylo opraveno (hmotnost) ve VV</w:t>
      </w:r>
      <w:r w:rsidRPr="00710056">
        <w:rPr>
          <w:rFonts w:eastAsia="Calibri" w:cs="Times New Roman"/>
          <w:bCs/>
          <w:i/>
          <w:iCs/>
          <w:lang w:eastAsia="cs-CZ"/>
        </w:rPr>
        <w:t>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538135" w:themeColor="accent5" w:themeShade="BF"/>
          <w:lang w:eastAsia="cs-CZ"/>
        </w:rPr>
      </w:pPr>
    </w:p>
    <w:p w:rsidR="00710056" w:rsidRPr="002C354C" w:rsidRDefault="00710056" w:rsidP="00F62E81">
      <w:pPr>
        <w:spacing w:after="0" w:line="240" w:lineRule="auto"/>
        <w:jc w:val="both"/>
        <w:rPr>
          <w:rFonts w:eastAsia="Times New Roman" w:cs="Times New Roman"/>
          <w:color w:val="538135" w:themeColor="accent5" w:themeShade="BF"/>
          <w:lang w:eastAsia="cs-CZ"/>
        </w:rPr>
      </w:pPr>
    </w:p>
    <w:p w:rsidR="00F62E81" w:rsidRPr="00F46875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F46875">
        <w:rPr>
          <w:rFonts w:eastAsia="Calibri" w:cs="Times New Roman"/>
          <w:b/>
          <w:lang w:eastAsia="cs-CZ"/>
        </w:rPr>
        <w:t>Dotaz č. 52: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Pr="002C354C" w:rsidRDefault="00F62E81" w:rsidP="00F62E81">
      <w:pPr>
        <w:spacing w:after="0" w:line="240" w:lineRule="auto"/>
        <w:jc w:val="both"/>
      </w:pPr>
      <w:r w:rsidRPr="002C354C">
        <w:t xml:space="preserve">Ve výkazu výměr se nenachází položka pro profil TRHR 120x60x5 (prvky OS3, OS6 ocelové konstrukce). </w:t>
      </w:r>
    </w:p>
    <w:p w:rsidR="00F62E81" w:rsidRDefault="00F62E81" w:rsidP="00F62E81">
      <w:pPr>
        <w:spacing w:after="0" w:line="240" w:lineRule="auto"/>
        <w:jc w:val="both"/>
      </w:pPr>
      <w:r w:rsidRPr="002C354C">
        <w:t>Bude ten prvek doplněn do výkazu výměr?</w:t>
      </w:r>
    </w:p>
    <w:p w:rsidR="00710056" w:rsidRDefault="00710056" w:rsidP="00F62E81">
      <w:pPr>
        <w:spacing w:after="0" w:line="240" w:lineRule="auto"/>
        <w:jc w:val="both"/>
      </w:pPr>
    </w:p>
    <w:p w:rsidR="00253A20" w:rsidRDefault="00F62E81" w:rsidP="00F62E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  <w:r>
        <w:rPr>
          <w:rFonts w:eastAsia="Calibri" w:cs="Times New Roman"/>
          <w:b/>
          <w:lang w:eastAsia="cs-CZ"/>
        </w:rPr>
        <w:t xml:space="preserve">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Prvky OS3 a OS6 byly doplněny do VV.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62E81" w:rsidRPr="000B22A2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0B22A2">
        <w:rPr>
          <w:rFonts w:eastAsia="Calibri" w:cs="Times New Roman"/>
          <w:b/>
          <w:lang w:eastAsia="cs-CZ"/>
        </w:rPr>
        <w:t>Dotaz č. 53: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Pr="002C354C" w:rsidRDefault="00F62E81" w:rsidP="00F62E81">
      <w:pPr>
        <w:spacing w:after="0" w:line="240" w:lineRule="auto"/>
        <w:jc w:val="both"/>
      </w:pPr>
      <w:r w:rsidRPr="002C354C">
        <w:t xml:space="preserve">Ve výkazu výměr se nenachází položka zahrnující podkonstrukci pro obklad atiky ((profil TRHR 60x20x3). </w:t>
      </w:r>
    </w:p>
    <w:p w:rsidR="00F62E81" w:rsidRDefault="00F62E81" w:rsidP="00F62E81">
      <w:pPr>
        <w:spacing w:after="0" w:line="240" w:lineRule="auto"/>
        <w:jc w:val="both"/>
      </w:pPr>
      <w:r w:rsidRPr="002C354C">
        <w:t>Bude položka podkonstrukce doplněna do výkazu výměr?</w:t>
      </w:r>
    </w:p>
    <w:p w:rsidR="00710056" w:rsidRDefault="00710056" w:rsidP="00F62E81">
      <w:pPr>
        <w:spacing w:after="0" w:line="240" w:lineRule="auto"/>
        <w:jc w:val="both"/>
      </w:pPr>
    </w:p>
    <w:p w:rsidR="00253A20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10056">
        <w:rPr>
          <w:rFonts w:eastAsia="Calibri" w:cs="Times New Roman"/>
          <w:b/>
          <w:lang w:eastAsia="cs-CZ"/>
        </w:rPr>
        <w:t xml:space="preserve">Odpověď: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Položka podkonstrukce byla doplněna do VV.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62E81" w:rsidRPr="00EA11C8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EA11C8">
        <w:rPr>
          <w:rFonts w:eastAsia="Calibri" w:cs="Times New Roman"/>
          <w:b/>
          <w:lang w:eastAsia="cs-CZ"/>
        </w:rPr>
        <w:t>Dotaz č. 54: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Pr="002C354C" w:rsidRDefault="00F62E81" w:rsidP="00F62E81">
      <w:pPr>
        <w:spacing w:after="0" w:line="240" w:lineRule="auto"/>
        <w:jc w:val="both"/>
      </w:pPr>
      <w:r w:rsidRPr="002C354C">
        <w:t xml:space="preserve">Projektová dokumentace neuvádí, jak jsou kotveny sloupy OK (profil TRHR 200x200x10 a TRHR 120x60x5). </w:t>
      </w:r>
    </w:p>
    <w:p w:rsidR="00F62E81" w:rsidRDefault="00F62E81" w:rsidP="00F62E81">
      <w:pPr>
        <w:spacing w:after="0" w:line="240" w:lineRule="auto"/>
        <w:jc w:val="both"/>
      </w:pPr>
      <w:r w:rsidRPr="002C354C">
        <w:t>Může být specifikován systém kotvení sloupů OK?</w:t>
      </w:r>
    </w:p>
    <w:p w:rsidR="00710056" w:rsidRDefault="00710056" w:rsidP="00F62E81">
      <w:pPr>
        <w:spacing w:after="0" w:line="240" w:lineRule="auto"/>
        <w:jc w:val="both"/>
      </w:pPr>
    </w:p>
    <w:p w:rsidR="00253A20" w:rsidRDefault="00F62E81" w:rsidP="00F62E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</w:t>
      </w:r>
      <w:bookmarkStart w:id="1" w:name="_GoBack"/>
      <w:bookmarkEnd w:id="1"/>
      <w:r w:rsidRPr="00657B4F">
        <w:rPr>
          <w:rFonts w:eastAsia="Calibri" w:cs="Times New Roman"/>
          <w:b/>
          <w:lang w:eastAsia="cs-CZ"/>
        </w:rPr>
        <w:t>dpověď:</w:t>
      </w:r>
      <w:r>
        <w:rPr>
          <w:rFonts w:eastAsia="Calibri" w:cs="Times New Roman"/>
          <w:b/>
          <w:lang w:eastAsia="cs-CZ"/>
        </w:rPr>
        <w:t xml:space="preserve">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 xml:space="preserve">Detaily kotvení obou sloupků byly doplněny do PD (výkres č. 2.002 a </w:t>
      </w:r>
      <w:proofErr w:type="gramStart"/>
      <w:r w:rsidRPr="00710056">
        <w:rPr>
          <w:rFonts w:eastAsia="Calibri" w:cs="Times New Roman"/>
          <w:bCs/>
          <w:i/>
          <w:iCs/>
          <w:lang w:eastAsia="cs-CZ"/>
        </w:rPr>
        <w:t>2.004 D.2.2.2.1.2</w:t>
      </w:r>
      <w:proofErr w:type="gramEnd"/>
      <w:r w:rsidRPr="00710056">
        <w:rPr>
          <w:rFonts w:eastAsia="Calibri" w:cs="Times New Roman"/>
          <w:bCs/>
          <w:i/>
          <w:iCs/>
          <w:lang w:eastAsia="cs-CZ"/>
        </w:rPr>
        <w:t>).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62E81" w:rsidRPr="001B7538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1B7538">
        <w:rPr>
          <w:rFonts w:eastAsia="Calibri" w:cs="Times New Roman"/>
          <w:b/>
          <w:lang w:eastAsia="cs-CZ"/>
        </w:rPr>
        <w:t>Dotaz č. 55: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Pr="002C354C" w:rsidRDefault="00F62E81" w:rsidP="00F62E81">
      <w:pPr>
        <w:spacing w:after="0" w:line="240" w:lineRule="auto"/>
        <w:jc w:val="both"/>
      </w:pPr>
      <w:r w:rsidRPr="002C354C">
        <w:t xml:space="preserve">Ve výkazu výměr se nenachází položka zahrnující PKO ocelové konstrukce. 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t>Může být specifikován požadovaný systém PKO ocelové konstrukce?</w:t>
      </w:r>
    </w:p>
    <w:p w:rsidR="00F62E81" w:rsidRDefault="00F62E81" w:rsidP="00F62E81">
      <w:pPr>
        <w:spacing w:after="0" w:line="240" w:lineRule="auto"/>
        <w:jc w:val="both"/>
      </w:pPr>
      <w:r w:rsidRPr="002C354C">
        <w:t>Může stanoven rozsah PKO v m</w:t>
      </w:r>
      <w:r w:rsidRPr="002C354C">
        <w:rPr>
          <w:vertAlign w:val="superscript"/>
        </w:rPr>
        <w:t>2</w:t>
      </w:r>
      <w:r w:rsidRPr="002C354C">
        <w:t>?</w:t>
      </w:r>
    </w:p>
    <w:p w:rsidR="00710056" w:rsidRDefault="00710056" w:rsidP="00F62E81">
      <w:pPr>
        <w:spacing w:after="0" w:line="240" w:lineRule="auto"/>
        <w:jc w:val="both"/>
      </w:pPr>
    </w:p>
    <w:p w:rsidR="00253A20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/>
          <w:i/>
          <w:lang w:eastAsia="cs-CZ"/>
        </w:rPr>
        <w:t xml:space="preserve">Odpověď: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 xml:space="preserve">Byly doplněny položky </w:t>
      </w:r>
      <w:proofErr w:type="spellStart"/>
      <w:r w:rsidRPr="00710056">
        <w:rPr>
          <w:rFonts w:eastAsia="Calibri" w:cs="Times New Roman"/>
          <w:bCs/>
          <w:i/>
          <w:iCs/>
          <w:lang w:eastAsia="cs-CZ"/>
        </w:rPr>
        <w:t>protikorozni</w:t>
      </w:r>
      <w:proofErr w:type="spellEnd"/>
      <w:r w:rsidRPr="00710056">
        <w:rPr>
          <w:rFonts w:eastAsia="Calibri" w:cs="Times New Roman"/>
          <w:bCs/>
          <w:i/>
          <w:iCs/>
          <w:lang w:eastAsia="cs-CZ"/>
        </w:rPr>
        <w:t xml:space="preserve"> ochrany do VV (položka č. 21 a 22).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62E81" w:rsidRPr="008578CB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8578CB">
        <w:rPr>
          <w:rFonts w:eastAsia="Calibri" w:cs="Times New Roman"/>
          <w:b/>
          <w:lang w:eastAsia="cs-CZ"/>
        </w:rPr>
        <w:t>Dotaz č. 56: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Default="00F62E81" w:rsidP="00F62E81">
      <w:pPr>
        <w:spacing w:after="0" w:line="240" w:lineRule="auto"/>
        <w:jc w:val="both"/>
      </w:pPr>
      <w:r w:rsidRPr="002C354C">
        <w:t>V jaké položce výkazu výměr má být obsažena výroba ocelové konstrukce?</w:t>
      </w:r>
    </w:p>
    <w:p w:rsidR="00710056" w:rsidRDefault="00710056" w:rsidP="00F62E81">
      <w:pPr>
        <w:spacing w:after="0" w:line="240" w:lineRule="auto"/>
        <w:jc w:val="both"/>
      </w:pPr>
    </w:p>
    <w:p w:rsidR="00253A20" w:rsidRDefault="00F62E81" w:rsidP="00F62E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  <w:r>
        <w:rPr>
          <w:rFonts w:eastAsia="Calibri" w:cs="Times New Roman"/>
          <w:b/>
          <w:lang w:eastAsia="cs-CZ"/>
        </w:rPr>
        <w:t xml:space="preserve">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Polož</w:t>
      </w:r>
      <w:r w:rsidR="00253A20" w:rsidRPr="00710056">
        <w:rPr>
          <w:rFonts w:eastAsia="Calibri" w:cs="Times New Roman"/>
          <w:bCs/>
          <w:i/>
          <w:iCs/>
          <w:lang w:eastAsia="cs-CZ"/>
        </w:rPr>
        <w:t>ka byla doplněna (položka č. 19</w:t>
      </w:r>
      <w:r w:rsidRPr="00710056">
        <w:rPr>
          <w:rFonts w:eastAsia="Calibri" w:cs="Times New Roman"/>
          <w:bCs/>
          <w:i/>
          <w:iCs/>
          <w:lang w:eastAsia="cs-CZ"/>
        </w:rPr>
        <w:t>).</w:t>
      </w:r>
    </w:p>
    <w:p w:rsidR="00F62E81" w:rsidRDefault="00F62E81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10056" w:rsidRDefault="00710056" w:rsidP="00F62E8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62E81" w:rsidRPr="008578CB" w:rsidRDefault="00F62E81" w:rsidP="00F62E81">
      <w:pPr>
        <w:spacing w:after="0" w:line="240" w:lineRule="auto"/>
        <w:rPr>
          <w:rFonts w:eastAsia="Calibri" w:cs="Times New Roman"/>
          <w:b/>
          <w:lang w:eastAsia="cs-CZ"/>
        </w:rPr>
      </w:pPr>
      <w:r w:rsidRPr="008578CB">
        <w:rPr>
          <w:rFonts w:eastAsia="Calibri" w:cs="Times New Roman"/>
          <w:b/>
          <w:lang w:eastAsia="cs-CZ"/>
        </w:rPr>
        <w:t>Dotaz č. 57:</w:t>
      </w:r>
    </w:p>
    <w:p w:rsidR="00F62E81" w:rsidRPr="002C354C" w:rsidRDefault="00F62E81" w:rsidP="00F62E81">
      <w:pPr>
        <w:spacing w:after="0" w:line="240" w:lineRule="auto"/>
        <w:jc w:val="both"/>
        <w:rPr>
          <w:b/>
          <w:bCs/>
          <w:i/>
          <w:iCs/>
        </w:rPr>
      </w:pPr>
      <w:r w:rsidRPr="002C354C">
        <w:rPr>
          <w:b/>
          <w:bCs/>
          <w:i/>
          <w:iCs/>
        </w:rPr>
        <w:t xml:space="preserve">SO 11-74-01 T.ú. Blansko – Rájec-Jestřabí, Zastřešení výstupních objektů </w:t>
      </w:r>
    </w:p>
    <w:p w:rsidR="00F62E81" w:rsidRDefault="00F62E81" w:rsidP="00F62E81">
      <w:pPr>
        <w:spacing w:after="0" w:line="240" w:lineRule="auto"/>
        <w:jc w:val="both"/>
      </w:pPr>
      <w:r w:rsidRPr="002C354C">
        <w:t>V jaké položce výkazu výměr má být obsažena doprava ocelové konstrukce na stavbu?</w:t>
      </w:r>
    </w:p>
    <w:p w:rsidR="00710056" w:rsidRDefault="00710056" w:rsidP="00F62E81">
      <w:pPr>
        <w:spacing w:after="0" w:line="240" w:lineRule="auto"/>
        <w:jc w:val="both"/>
      </w:pPr>
    </w:p>
    <w:p w:rsidR="00253A20" w:rsidRDefault="00F62E81" w:rsidP="00F62E81">
      <w:pPr>
        <w:spacing w:after="0" w:line="240" w:lineRule="auto"/>
        <w:jc w:val="both"/>
        <w:rPr>
          <w:rFonts w:eastAsia="Calibri" w:cs="Times New Roman"/>
          <w:bCs/>
          <w:i/>
          <w:iCs/>
          <w:color w:val="FF0000"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  <w:r w:rsidRPr="00596260">
        <w:rPr>
          <w:rFonts w:eastAsia="Calibri" w:cs="Times New Roman"/>
          <w:bCs/>
          <w:i/>
          <w:iCs/>
          <w:color w:val="FF0000"/>
          <w:lang w:eastAsia="cs-CZ"/>
        </w:rPr>
        <w:t xml:space="preserve"> </w:t>
      </w:r>
    </w:p>
    <w:p w:rsidR="00F62E81" w:rsidRPr="00710056" w:rsidRDefault="00F62E81" w:rsidP="00F62E81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710056">
        <w:rPr>
          <w:rFonts w:eastAsia="Calibri" w:cs="Times New Roman"/>
          <w:bCs/>
          <w:i/>
          <w:iCs/>
          <w:lang w:eastAsia="cs-CZ"/>
        </w:rPr>
        <w:t>Položka byla doplněna (položka č. 20).</w:t>
      </w:r>
    </w:p>
    <w:p w:rsidR="00A74CFB" w:rsidRDefault="00A74CFB" w:rsidP="00A74CFB">
      <w:pPr>
        <w:spacing w:after="0" w:line="240" w:lineRule="auto"/>
        <w:jc w:val="both"/>
        <w:rPr>
          <w:rFonts w:eastAsia="Times New Roman" w:cs="Times New Roman"/>
          <w:color w:val="538135" w:themeColor="accent5" w:themeShade="BF"/>
          <w:lang w:eastAsia="cs-CZ"/>
        </w:rPr>
      </w:pPr>
    </w:p>
    <w:p w:rsidR="00710056" w:rsidRDefault="00710056" w:rsidP="00A74CFB">
      <w:pPr>
        <w:spacing w:after="0" w:line="240" w:lineRule="auto"/>
        <w:jc w:val="both"/>
        <w:rPr>
          <w:rFonts w:eastAsia="Times New Roman" w:cs="Times New Roman"/>
          <w:color w:val="538135" w:themeColor="accent5" w:themeShade="BF"/>
          <w:lang w:eastAsia="cs-CZ"/>
        </w:rPr>
      </w:pPr>
    </w:p>
    <w:p w:rsidR="00A74CFB" w:rsidRPr="00555E00" w:rsidRDefault="00A74CFB" w:rsidP="00A74C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58</w:t>
      </w:r>
      <w:r w:rsidRPr="00EB3AD7">
        <w:rPr>
          <w:rFonts w:eastAsia="Calibri" w:cs="Times New Roman"/>
          <w:b/>
          <w:lang w:eastAsia="cs-CZ"/>
        </w:rPr>
        <w:t>:</w:t>
      </w:r>
    </w:p>
    <w:p w:rsidR="00A74CFB" w:rsidRPr="00A74CFB" w:rsidRDefault="00A74CFB" w:rsidP="00A74CFB">
      <w:pPr>
        <w:spacing w:after="0" w:line="240" w:lineRule="auto"/>
        <w:jc w:val="both"/>
        <w:rPr>
          <w:b/>
          <w:bCs/>
          <w:i/>
          <w:iCs/>
        </w:rPr>
      </w:pPr>
      <w:r w:rsidRPr="00A74CFB">
        <w:rPr>
          <w:b/>
          <w:bCs/>
          <w:i/>
          <w:iCs/>
        </w:rPr>
        <w:t>PS 11-02-61 zast. Blansko město, úprava informačního zařízení</w:t>
      </w:r>
    </w:p>
    <w:p w:rsidR="00A74CFB" w:rsidRDefault="00A74CFB" w:rsidP="00A74CFB">
      <w:pPr>
        <w:spacing w:after="0" w:line="240" w:lineRule="auto"/>
        <w:jc w:val="both"/>
      </w:pPr>
      <w:r w:rsidRPr="00A74CFB">
        <w:t xml:space="preserve">Žádáme zadavatele o potvrzení, že má být v žst. Blansko v prostorách čekárny instalována </w:t>
      </w:r>
      <w:r>
        <w:br/>
      </w:r>
      <w:r w:rsidRPr="00A74CFB">
        <w:t xml:space="preserve">12-řádková tabule. Dle aktuální specifikace směrnice č. 118 a technických požadavků odboru 6, by mělo být zcela dostačující použití odjezdového monitoru. V případě, že zadavatel bude trvat na </w:t>
      </w:r>
      <w:proofErr w:type="gramStart"/>
      <w:r w:rsidRPr="00A74CFB">
        <w:t>12-řádkové</w:t>
      </w:r>
      <w:proofErr w:type="gramEnd"/>
      <w:r w:rsidRPr="00A74CFB">
        <w:t xml:space="preserve"> tabuli, žádáme o potvrzení, že prostor pro umístění takto velké tabule (rozměry vychází ze směrnice č. 118) je v prostoru dostatečný a je zajištěno, že tabule bude umístěna v minimální výšce 2,5 m</w:t>
      </w:r>
      <w:r>
        <w:t>.</w:t>
      </w:r>
    </w:p>
    <w:p w:rsidR="00710056" w:rsidRDefault="00710056" w:rsidP="00A74CFB">
      <w:pPr>
        <w:spacing w:after="0" w:line="240" w:lineRule="auto"/>
        <w:jc w:val="both"/>
      </w:pPr>
    </w:p>
    <w:p w:rsidR="002C354C" w:rsidRDefault="00A74CFB" w:rsidP="00A74C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</w:p>
    <w:p w:rsidR="0096409A" w:rsidRPr="00710056" w:rsidRDefault="0096409A" w:rsidP="00A74CFB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710056">
        <w:rPr>
          <w:rFonts w:eastAsia="Times New Roman" w:cs="Times New Roman"/>
          <w:i/>
          <w:lang w:eastAsia="cs-CZ"/>
        </w:rPr>
        <w:t>V současné době se v ŽST Blansko vzhledem na velikost čekárny nachází atypický monitor větších rozměrů a je umístěn nad vstupem do čekárny ve výšce spodní hrany cca 3,5 m. Nová tabule bude umístěna ve stejné výšce. Požadavek na odjezdovou tabuli byl vznesen správcem zařízení OŘ Brno vzhledem k odrazům slunečního záření a velikost čekárny. Po konzultaci s OŘ Brno byl tento požadavek ponížen na 6 řádkovou odjezdovou tabuli.</w:t>
      </w:r>
    </w:p>
    <w:p w:rsidR="00710056" w:rsidRDefault="00710056" w:rsidP="00A74CF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2C354C" w:rsidRDefault="002C354C" w:rsidP="0007540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047D3" w:rsidRDefault="000047D3" w:rsidP="0007540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047D3" w:rsidRPr="00CB7B5A" w:rsidRDefault="000047D3" w:rsidP="0007540D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047D3" w:rsidRPr="00CB7B5A" w:rsidRDefault="000047D3" w:rsidP="000047D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2324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C1BBF">
        <w:rPr>
          <w:rFonts w:eastAsia="Times New Roman" w:cs="Times New Roman"/>
          <w:b/>
          <w:lang w:eastAsia="cs-CZ"/>
        </w:rPr>
        <w:t>vysvětlení/</w:t>
      </w:r>
      <w:r w:rsidRPr="0072324E">
        <w:rPr>
          <w:rFonts w:eastAsia="Times New Roman" w:cs="Times New Roman"/>
          <w:b/>
          <w:lang w:eastAsia="cs-CZ"/>
        </w:rPr>
        <w:t>změny/doplnění zadávací dokumentace</w:t>
      </w:r>
      <w:r w:rsidRPr="0072324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2324E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>1</w:t>
      </w:r>
      <w:r w:rsidRPr="0072324E">
        <w:rPr>
          <w:rFonts w:eastAsia="Times New Roman" w:cs="Times New Roman"/>
          <w:lang w:eastAsia="cs-CZ"/>
        </w:rPr>
        <w:t>. 11. 202</w:t>
      </w:r>
      <w:r>
        <w:rPr>
          <w:rFonts w:eastAsia="Times New Roman" w:cs="Times New Roman"/>
          <w:lang w:eastAsia="cs-CZ"/>
        </w:rPr>
        <w:t>1</w:t>
      </w:r>
      <w:r w:rsidRPr="0072324E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>. 11. 2021</w:t>
      </w:r>
      <w:r w:rsidRPr="0072324E">
        <w:rPr>
          <w:rFonts w:eastAsia="Times New Roman" w:cs="Times New Roman"/>
          <w:lang w:eastAsia="cs-CZ"/>
        </w:rPr>
        <w:t xml:space="preserve">. </w:t>
      </w:r>
    </w:p>
    <w:p w:rsidR="000047D3" w:rsidRPr="00CB7B5A" w:rsidRDefault="000047D3" w:rsidP="000047D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047D3" w:rsidRPr="00CB7B5A" w:rsidRDefault="000047D3" w:rsidP="000047D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047D3" w:rsidRPr="00CB7B5A" w:rsidRDefault="000047D3" w:rsidP="000047D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047D3" w:rsidRDefault="000047D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047D3" w:rsidRDefault="000047D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047D3" w:rsidRDefault="000047D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047D3" w:rsidRPr="00CB7B5A" w:rsidRDefault="000047D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047D3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AC723D" w:rsidRPr="00CB7B5A" w:rsidRDefault="00AC723D" w:rsidP="00AC723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>č.1 – XDC_podchod_Blansko_zm04_20211104</w:t>
      </w:r>
      <w:proofErr w:type="gramEnd"/>
      <w:r>
        <w:rPr>
          <w:rFonts w:eastAsia="Calibri" w:cs="Times New Roman"/>
          <w:lang w:eastAsia="cs-CZ"/>
        </w:rPr>
        <w:t>.zip</w:t>
      </w:r>
    </w:p>
    <w:p w:rsidR="00AC723D" w:rsidRDefault="00AC723D" w:rsidP="00AC723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č.2 - XLS_podchod_Blansko_zm04_20211104.zip</w:t>
      </w:r>
    </w:p>
    <w:p w:rsidR="00CB7B5A" w:rsidRDefault="00AC723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 xml:space="preserve">č.3 - </w:t>
      </w:r>
      <w:r w:rsidRPr="00AC723D">
        <w:rPr>
          <w:rFonts w:eastAsia="Calibri" w:cs="Times New Roman"/>
          <w:lang w:eastAsia="cs-CZ"/>
        </w:rPr>
        <w:t>D.2.2.2.1.2 2.002</w:t>
      </w:r>
      <w:proofErr w:type="gramEnd"/>
      <w:r w:rsidRPr="00AC723D">
        <w:rPr>
          <w:rFonts w:eastAsia="Calibri" w:cs="Times New Roman"/>
          <w:lang w:eastAsia="cs-CZ"/>
        </w:rPr>
        <w:t xml:space="preserve"> Výkresová část + rozpisky-2.002 Technické řešení východ</w:t>
      </w:r>
    </w:p>
    <w:p w:rsidR="00AC723D" w:rsidRDefault="00AC723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 xml:space="preserve">č.4 - </w:t>
      </w:r>
      <w:r w:rsidRPr="00AC723D">
        <w:rPr>
          <w:rFonts w:eastAsia="Calibri" w:cs="Times New Roman"/>
          <w:lang w:eastAsia="cs-CZ"/>
        </w:rPr>
        <w:t>D.2.2.2.1.2 2.002</w:t>
      </w:r>
      <w:proofErr w:type="gramEnd"/>
      <w:r w:rsidRPr="00AC723D">
        <w:rPr>
          <w:rFonts w:eastAsia="Calibri" w:cs="Times New Roman"/>
          <w:lang w:eastAsia="cs-CZ"/>
        </w:rPr>
        <w:t xml:space="preserve"> Výkresová část + rozpisky-2.003 Technické řešení západ</w:t>
      </w: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Pr="00CB7B5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10056">
        <w:rPr>
          <w:rFonts w:eastAsia="Calibri" w:cs="Times New Roman"/>
          <w:lang w:eastAsia="cs-CZ"/>
        </w:rPr>
        <w:t>4. 11. 2021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710056" w:rsidRDefault="00710056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Pr="00CB7B5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BB5" w:rsidRDefault="003E3BB5" w:rsidP="00962258">
      <w:pPr>
        <w:spacing w:after="0" w:line="240" w:lineRule="auto"/>
      </w:pPr>
      <w:r>
        <w:separator/>
      </w:r>
    </w:p>
  </w:endnote>
  <w:endnote w:type="continuationSeparator" w:id="0">
    <w:p w:rsidR="003E3BB5" w:rsidRDefault="003E3B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47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47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A78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970F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47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47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F70B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F08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BB5" w:rsidRDefault="003E3BB5" w:rsidP="00962258">
      <w:pPr>
        <w:spacing w:after="0" w:line="240" w:lineRule="auto"/>
      </w:pPr>
      <w:r>
        <w:separator/>
      </w:r>
    </w:p>
  </w:footnote>
  <w:footnote w:type="continuationSeparator" w:id="0">
    <w:p w:rsidR="003E3BB5" w:rsidRDefault="003E3B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4536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27"/>
  </w:num>
  <w:num w:numId="5">
    <w:abstractNumId w:val="0"/>
  </w:num>
  <w:num w:numId="6">
    <w:abstractNumId w:val="17"/>
  </w:num>
  <w:num w:numId="7">
    <w:abstractNumId w:val="21"/>
  </w:num>
  <w:num w:numId="8">
    <w:abstractNumId w:val="1"/>
  </w:num>
  <w:num w:numId="9">
    <w:abstractNumId w:val="2"/>
  </w:num>
  <w:num w:numId="10">
    <w:abstractNumId w:val="15"/>
  </w:num>
  <w:num w:numId="11">
    <w:abstractNumId w:val="6"/>
  </w:num>
  <w:num w:numId="12">
    <w:abstractNumId w:val="19"/>
  </w:num>
  <w:num w:numId="13">
    <w:abstractNumId w:val="9"/>
  </w:num>
  <w:num w:numId="14">
    <w:abstractNumId w:val="13"/>
  </w:num>
  <w:num w:numId="15">
    <w:abstractNumId w:val="20"/>
  </w:num>
  <w:num w:numId="16">
    <w:abstractNumId w:val="24"/>
  </w:num>
  <w:num w:numId="17">
    <w:abstractNumId w:val="7"/>
  </w:num>
  <w:num w:numId="18">
    <w:abstractNumId w:val="8"/>
  </w:num>
  <w:num w:numId="19">
    <w:abstractNumId w:val="26"/>
  </w:num>
  <w:num w:numId="20">
    <w:abstractNumId w:val="5"/>
  </w:num>
  <w:num w:numId="21">
    <w:abstractNumId w:val="23"/>
  </w:num>
  <w:num w:numId="22">
    <w:abstractNumId w:val="10"/>
  </w:num>
  <w:num w:numId="23">
    <w:abstractNumId w:val="4"/>
  </w:num>
  <w:num w:numId="24">
    <w:abstractNumId w:val="16"/>
  </w:num>
  <w:num w:numId="25">
    <w:abstractNumId w:val="14"/>
  </w:num>
  <w:num w:numId="26">
    <w:abstractNumId w:val="25"/>
  </w:num>
  <w:num w:numId="27">
    <w:abstractNumId w:val="22"/>
  </w:num>
  <w:num w:numId="28">
    <w:abstractNumId w:val="18"/>
  </w:num>
  <w:num w:numId="2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47D3"/>
    <w:rsid w:val="00033432"/>
    <w:rsid w:val="000335CC"/>
    <w:rsid w:val="00072C1E"/>
    <w:rsid w:val="0007540D"/>
    <w:rsid w:val="000B1153"/>
    <w:rsid w:val="000B6C7E"/>
    <w:rsid w:val="000B7907"/>
    <w:rsid w:val="000C0429"/>
    <w:rsid w:val="000C45E8"/>
    <w:rsid w:val="000E2958"/>
    <w:rsid w:val="00114472"/>
    <w:rsid w:val="00170EC5"/>
    <w:rsid w:val="001747C1"/>
    <w:rsid w:val="0018596A"/>
    <w:rsid w:val="001B69C2"/>
    <w:rsid w:val="001C4DA0"/>
    <w:rsid w:val="001F1953"/>
    <w:rsid w:val="00207DF5"/>
    <w:rsid w:val="00253A20"/>
    <w:rsid w:val="00267369"/>
    <w:rsid w:val="0026785D"/>
    <w:rsid w:val="002828E6"/>
    <w:rsid w:val="002C31BF"/>
    <w:rsid w:val="002C354C"/>
    <w:rsid w:val="002E0CD7"/>
    <w:rsid w:val="002F026B"/>
    <w:rsid w:val="00357BC6"/>
    <w:rsid w:val="0037111D"/>
    <w:rsid w:val="003956C6"/>
    <w:rsid w:val="003C5BE7"/>
    <w:rsid w:val="003E3BB5"/>
    <w:rsid w:val="003E6B9A"/>
    <w:rsid w:val="003E75CE"/>
    <w:rsid w:val="00404D03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E00"/>
    <w:rsid w:val="005658A6"/>
    <w:rsid w:val="005720E7"/>
    <w:rsid w:val="005722BB"/>
    <w:rsid w:val="005736B7"/>
    <w:rsid w:val="00575E5A"/>
    <w:rsid w:val="00584E2A"/>
    <w:rsid w:val="00596C7E"/>
    <w:rsid w:val="005A29B6"/>
    <w:rsid w:val="005A64E9"/>
    <w:rsid w:val="005B5EE9"/>
    <w:rsid w:val="006104F6"/>
    <w:rsid w:val="0061068E"/>
    <w:rsid w:val="00611D46"/>
    <w:rsid w:val="00657B4F"/>
    <w:rsid w:val="00660AD3"/>
    <w:rsid w:val="006A5570"/>
    <w:rsid w:val="006A689C"/>
    <w:rsid w:val="006B3D79"/>
    <w:rsid w:val="006E0578"/>
    <w:rsid w:val="006E314D"/>
    <w:rsid w:val="006E7F06"/>
    <w:rsid w:val="00710056"/>
    <w:rsid w:val="00710723"/>
    <w:rsid w:val="00723ED1"/>
    <w:rsid w:val="00735ED4"/>
    <w:rsid w:val="00743525"/>
    <w:rsid w:val="007531A0"/>
    <w:rsid w:val="0076286B"/>
    <w:rsid w:val="00764595"/>
    <w:rsid w:val="00766846"/>
    <w:rsid w:val="00766C48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97839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2A60"/>
    <w:rsid w:val="0096409A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6ADE"/>
    <w:rsid w:val="00A44328"/>
    <w:rsid w:val="00A6177B"/>
    <w:rsid w:val="00A66136"/>
    <w:rsid w:val="00A74CFB"/>
    <w:rsid w:val="00A936F2"/>
    <w:rsid w:val="00A977ED"/>
    <w:rsid w:val="00AA4CBB"/>
    <w:rsid w:val="00AA65FA"/>
    <w:rsid w:val="00AA7351"/>
    <w:rsid w:val="00AC723D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0661"/>
    <w:rsid w:val="00B93EDD"/>
    <w:rsid w:val="00BB3740"/>
    <w:rsid w:val="00BD7E91"/>
    <w:rsid w:val="00BF374D"/>
    <w:rsid w:val="00BF591A"/>
    <w:rsid w:val="00C02D0A"/>
    <w:rsid w:val="00C03A6E"/>
    <w:rsid w:val="00C15340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2CE2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41318"/>
    <w:rsid w:val="00E824F1"/>
    <w:rsid w:val="00EB104F"/>
    <w:rsid w:val="00EB3AD7"/>
    <w:rsid w:val="00ED14BD"/>
    <w:rsid w:val="00F01440"/>
    <w:rsid w:val="00F12DEC"/>
    <w:rsid w:val="00F1715C"/>
    <w:rsid w:val="00F24E41"/>
    <w:rsid w:val="00F310F8"/>
    <w:rsid w:val="00F3199A"/>
    <w:rsid w:val="00F35939"/>
    <w:rsid w:val="00F45607"/>
    <w:rsid w:val="00F62E81"/>
    <w:rsid w:val="00F64786"/>
    <w:rsid w:val="00F659EB"/>
    <w:rsid w:val="00F804A7"/>
    <w:rsid w:val="00F862D6"/>
    <w:rsid w:val="00F86BA6"/>
    <w:rsid w:val="00FA561A"/>
    <w:rsid w:val="00FB77C7"/>
    <w:rsid w:val="00FC0ED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C4E1D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354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29882-63B8-46BD-8053-D79B9AD0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</TotalTime>
  <Pages>5</Pages>
  <Words>1374</Words>
  <Characters>8107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2019-02-22T13:28:00Z</cp:lastPrinted>
  <dcterms:created xsi:type="dcterms:W3CDTF">2021-11-02T15:24:00Z</dcterms:created>
  <dcterms:modified xsi:type="dcterms:W3CDTF">2021-11-04T09:52:00Z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