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134"/>
        <w:gridCol w:w="2438"/>
        <w:gridCol w:w="823"/>
        <w:gridCol w:w="3685"/>
      </w:tblGrid>
      <w:tr w:rsidR="00F64786" w14:paraId="0B1A1A07" w14:textId="77777777" w:rsidTr="007D3F49">
        <w:tc>
          <w:tcPr>
            <w:tcW w:w="1134" w:type="dxa"/>
          </w:tcPr>
          <w:bookmarkStart w:id="0" w:name="_GoBack"/>
          <w:bookmarkEnd w:id="0"/>
          <w:p w14:paraId="6292CDA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0" allowOverlap="1" wp14:anchorId="4EA53737" wp14:editId="59D829AB">
                      <wp:simplePos x="0" y="0"/>
                      <wp:positionH relativeFrom="page">
                        <wp:posOffset>2672715</wp:posOffset>
                      </wp:positionH>
                      <wp:positionV relativeFrom="page">
                        <wp:posOffset>-140970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B5F113A" w14:textId="77777777"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A537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0.45pt;margin-top:-11.1pt;width:189.9pt;height:61.2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Gj881N4AAAAL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7B5F113A" w14:textId="77777777"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38" w:type="dxa"/>
          </w:tcPr>
          <w:p w14:paraId="34E98C7D" w14:textId="77777777" w:rsidR="00F64786" w:rsidRDefault="00F64786" w:rsidP="0077673A"/>
        </w:tc>
        <w:tc>
          <w:tcPr>
            <w:tcW w:w="823" w:type="dxa"/>
          </w:tcPr>
          <w:p w14:paraId="7EBF700C" w14:textId="77777777" w:rsidR="00F64786" w:rsidRDefault="00F64786" w:rsidP="0077673A"/>
        </w:tc>
        <w:tc>
          <w:tcPr>
            <w:tcW w:w="3685" w:type="dxa"/>
          </w:tcPr>
          <w:p w14:paraId="113A77FF" w14:textId="77777777" w:rsidR="00F64786" w:rsidRDefault="00F64786" w:rsidP="0077673A"/>
        </w:tc>
      </w:tr>
      <w:tr w:rsidR="0085203B" w14:paraId="3B9A2138" w14:textId="77777777" w:rsidTr="007D3F49">
        <w:tc>
          <w:tcPr>
            <w:tcW w:w="1134" w:type="dxa"/>
          </w:tcPr>
          <w:p w14:paraId="03652E5A" w14:textId="1CD53D90" w:rsidR="0085203B" w:rsidRDefault="0085203B" w:rsidP="0077673A">
            <w:r w:rsidRPr="003E6B9A">
              <w:t>Naše zn.</w:t>
            </w:r>
          </w:p>
        </w:tc>
        <w:tc>
          <w:tcPr>
            <w:tcW w:w="2438" w:type="dxa"/>
          </w:tcPr>
          <w:p w14:paraId="5BAFE1D3" w14:textId="3BA788D7" w:rsidR="0085203B" w:rsidRDefault="0085203B" w:rsidP="00764595">
            <w:r w:rsidRPr="00046555">
              <w:rPr>
                <w:rFonts w:ascii="Helvetica" w:hAnsi="Helvetica"/>
              </w:rPr>
              <w:t>18050/2021-SŽ-SSV-Ú3</w:t>
            </w:r>
          </w:p>
        </w:tc>
        <w:tc>
          <w:tcPr>
            <w:tcW w:w="823" w:type="dxa"/>
          </w:tcPr>
          <w:p w14:paraId="05773F29" w14:textId="77777777" w:rsidR="0085203B" w:rsidRDefault="0085203B" w:rsidP="0077673A"/>
        </w:tc>
        <w:tc>
          <w:tcPr>
            <w:tcW w:w="3685" w:type="dxa"/>
            <w:vMerge w:val="restart"/>
          </w:tcPr>
          <w:p w14:paraId="4ABEC3C3" w14:textId="77777777" w:rsidR="0085203B" w:rsidRDefault="0085203B" w:rsidP="00596C7E">
            <w:pPr>
              <w:rPr>
                <w:rStyle w:val="Potovnadresa"/>
              </w:rPr>
            </w:pPr>
          </w:p>
          <w:p w14:paraId="1368EEB4" w14:textId="77777777" w:rsidR="0085203B" w:rsidRPr="00F862D6" w:rsidRDefault="0085203B" w:rsidP="00596C7E">
            <w:pPr>
              <w:rPr>
                <w:rStyle w:val="Potovnadresa"/>
              </w:rPr>
            </w:pPr>
          </w:p>
        </w:tc>
      </w:tr>
      <w:tr w:rsidR="0085203B" w14:paraId="14C38497" w14:textId="77777777" w:rsidTr="007D3F49">
        <w:tc>
          <w:tcPr>
            <w:tcW w:w="1134" w:type="dxa"/>
          </w:tcPr>
          <w:p w14:paraId="22F9332B" w14:textId="29920461" w:rsidR="0085203B" w:rsidRPr="003E6B9A" w:rsidRDefault="0085203B" w:rsidP="0077673A">
            <w:r>
              <w:t>Listů/příloh</w:t>
            </w:r>
          </w:p>
        </w:tc>
        <w:tc>
          <w:tcPr>
            <w:tcW w:w="2438" w:type="dxa"/>
          </w:tcPr>
          <w:p w14:paraId="4D2CB995" w14:textId="47E1E1D5" w:rsidR="0085203B" w:rsidRPr="00046555" w:rsidRDefault="00713441" w:rsidP="0037111D">
            <w:r>
              <w:t>5</w:t>
            </w:r>
            <w:r w:rsidR="0085203B" w:rsidRPr="00046555">
              <w:t>/0</w:t>
            </w:r>
          </w:p>
        </w:tc>
        <w:tc>
          <w:tcPr>
            <w:tcW w:w="823" w:type="dxa"/>
          </w:tcPr>
          <w:p w14:paraId="47D8757A" w14:textId="77777777" w:rsidR="0085203B" w:rsidRDefault="0085203B" w:rsidP="0077673A"/>
        </w:tc>
        <w:tc>
          <w:tcPr>
            <w:tcW w:w="3685" w:type="dxa"/>
            <w:vMerge/>
          </w:tcPr>
          <w:p w14:paraId="561F95D2" w14:textId="77777777" w:rsidR="0085203B" w:rsidRDefault="0085203B" w:rsidP="0077673A"/>
        </w:tc>
      </w:tr>
      <w:tr w:rsidR="0085203B" w14:paraId="255AABC2" w14:textId="77777777" w:rsidTr="007D3F49">
        <w:tc>
          <w:tcPr>
            <w:tcW w:w="1134" w:type="dxa"/>
          </w:tcPr>
          <w:p w14:paraId="2BC24C87" w14:textId="49B99CFB" w:rsidR="0085203B" w:rsidRDefault="0085203B" w:rsidP="0077673A"/>
        </w:tc>
        <w:tc>
          <w:tcPr>
            <w:tcW w:w="2438" w:type="dxa"/>
          </w:tcPr>
          <w:p w14:paraId="57FEAF4F" w14:textId="70C81DA0" w:rsidR="0085203B" w:rsidRPr="00046555" w:rsidRDefault="0085203B" w:rsidP="00CC1E2B"/>
        </w:tc>
        <w:tc>
          <w:tcPr>
            <w:tcW w:w="823" w:type="dxa"/>
          </w:tcPr>
          <w:p w14:paraId="6098427D" w14:textId="77777777" w:rsidR="0085203B" w:rsidRDefault="0085203B" w:rsidP="0077673A"/>
        </w:tc>
        <w:tc>
          <w:tcPr>
            <w:tcW w:w="3685" w:type="dxa"/>
            <w:vMerge/>
          </w:tcPr>
          <w:p w14:paraId="4C3B989D" w14:textId="77777777" w:rsidR="0085203B" w:rsidRDefault="0085203B" w:rsidP="0077673A">
            <w:pPr>
              <w:rPr>
                <w:noProof/>
              </w:rPr>
            </w:pPr>
          </w:p>
        </w:tc>
      </w:tr>
      <w:tr w:rsidR="0085203B" w14:paraId="0769D8CE" w14:textId="77777777" w:rsidTr="007D3F49">
        <w:trPr>
          <w:trHeight w:val="77"/>
        </w:trPr>
        <w:tc>
          <w:tcPr>
            <w:tcW w:w="1134" w:type="dxa"/>
          </w:tcPr>
          <w:p w14:paraId="227BFA75" w14:textId="4825782A" w:rsidR="0085203B" w:rsidRDefault="0085203B" w:rsidP="0077673A">
            <w:r>
              <w:t>Vyřizuje</w:t>
            </w:r>
          </w:p>
        </w:tc>
        <w:tc>
          <w:tcPr>
            <w:tcW w:w="2438" w:type="dxa"/>
          </w:tcPr>
          <w:p w14:paraId="09443133" w14:textId="607FB29B" w:rsidR="0085203B" w:rsidRPr="003E6B9A" w:rsidRDefault="0085203B" w:rsidP="0077673A">
            <w:r>
              <w:t>Ing. Jaromír Souček</w:t>
            </w:r>
          </w:p>
        </w:tc>
        <w:tc>
          <w:tcPr>
            <w:tcW w:w="823" w:type="dxa"/>
          </w:tcPr>
          <w:p w14:paraId="18202B13" w14:textId="77777777" w:rsidR="0085203B" w:rsidRDefault="0085203B" w:rsidP="0077673A"/>
        </w:tc>
        <w:tc>
          <w:tcPr>
            <w:tcW w:w="3685" w:type="dxa"/>
            <w:vMerge/>
          </w:tcPr>
          <w:p w14:paraId="25213E90" w14:textId="77777777" w:rsidR="0085203B" w:rsidRDefault="0085203B" w:rsidP="0077673A"/>
        </w:tc>
      </w:tr>
      <w:tr w:rsidR="0085203B" w14:paraId="2CE6B48F" w14:textId="77777777" w:rsidTr="007D3F49">
        <w:tc>
          <w:tcPr>
            <w:tcW w:w="1134" w:type="dxa"/>
          </w:tcPr>
          <w:p w14:paraId="02AF1D0C" w14:textId="1DF3CBDD" w:rsidR="0085203B" w:rsidRDefault="0085203B" w:rsidP="0077673A"/>
        </w:tc>
        <w:tc>
          <w:tcPr>
            <w:tcW w:w="2438" w:type="dxa"/>
          </w:tcPr>
          <w:p w14:paraId="12FA1068" w14:textId="2CE091D0" w:rsidR="0085203B" w:rsidRPr="003E6B9A" w:rsidRDefault="0085203B" w:rsidP="00FE3455"/>
        </w:tc>
        <w:tc>
          <w:tcPr>
            <w:tcW w:w="823" w:type="dxa"/>
          </w:tcPr>
          <w:p w14:paraId="1E541E5B" w14:textId="77777777" w:rsidR="0085203B" w:rsidRDefault="0085203B" w:rsidP="0077673A"/>
        </w:tc>
        <w:tc>
          <w:tcPr>
            <w:tcW w:w="3685" w:type="dxa"/>
            <w:vMerge/>
          </w:tcPr>
          <w:p w14:paraId="1C1D58DC" w14:textId="77777777" w:rsidR="0085203B" w:rsidRDefault="0085203B" w:rsidP="0077673A"/>
        </w:tc>
      </w:tr>
      <w:tr w:rsidR="0085203B" w14:paraId="07ADFC03" w14:textId="77777777" w:rsidTr="007D3F49">
        <w:tc>
          <w:tcPr>
            <w:tcW w:w="1134" w:type="dxa"/>
          </w:tcPr>
          <w:p w14:paraId="29A9941D" w14:textId="3E4698B4" w:rsidR="0085203B" w:rsidRDefault="0085203B" w:rsidP="009A7568">
            <w:r>
              <w:t>Mobil</w:t>
            </w:r>
          </w:p>
        </w:tc>
        <w:tc>
          <w:tcPr>
            <w:tcW w:w="2438" w:type="dxa"/>
          </w:tcPr>
          <w:p w14:paraId="69A3DEEB" w14:textId="355CF773" w:rsidR="0085203B" w:rsidRPr="003E6B9A" w:rsidRDefault="0085203B" w:rsidP="009A7568">
            <w:r>
              <w:t>+420 724 932 283</w:t>
            </w:r>
          </w:p>
        </w:tc>
        <w:tc>
          <w:tcPr>
            <w:tcW w:w="823" w:type="dxa"/>
          </w:tcPr>
          <w:p w14:paraId="4EABDB06" w14:textId="77777777" w:rsidR="0085203B" w:rsidRDefault="0085203B" w:rsidP="009A7568"/>
        </w:tc>
        <w:tc>
          <w:tcPr>
            <w:tcW w:w="3685" w:type="dxa"/>
            <w:vMerge/>
          </w:tcPr>
          <w:p w14:paraId="31FE6679" w14:textId="77777777" w:rsidR="0085203B" w:rsidRDefault="0085203B" w:rsidP="009A7568"/>
        </w:tc>
      </w:tr>
      <w:tr w:rsidR="0085203B" w14:paraId="33D4C014" w14:textId="77777777" w:rsidTr="007D3F49">
        <w:tc>
          <w:tcPr>
            <w:tcW w:w="1134" w:type="dxa"/>
          </w:tcPr>
          <w:p w14:paraId="38A9C094" w14:textId="3C94BA10" w:rsidR="0085203B" w:rsidRDefault="0085203B" w:rsidP="009A7568">
            <w:r>
              <w:t>E-mail</w:t>
            </w:r>
          </w:p>
        </w:tc>
        <w:tc>
          <w:tcPr>
            <w:tcW w:w="2438" w:type="dxa"/>
          </w:tcPr>
          <w:p w14:paraId="634DBE29" w14:textId="57D11D73" w:rsidR="0085203B" w:rsidRPr="003E6B9A" w:rsidRDefault="0085203B" w:rsidP="009A7568">
            <w:r>
              <w:t>SoucekJ@spravazeleznic.cz</w:t>
            </w:r>
          </w:p>
        </w:tc>
        <w:tc>
          <w:tcPr>
            <w:tcW w:w="823" w:type="dxa"/>
          </w:tcPr>
          <w:p w14:paraId="38852747" w14:textId="77777777" w:rsidR="0085203B" w:rsidRDefault="0085203B" w:rsidP="009A7568"/>
        </w:tc>
        <w:tc>
          <w:tcPr>
            <w:tcW w:w="3685" w:type="dxa"/>
            <w:vMerge/>
          </w:tcPr>
          <w:p w14:paraId="67409659" w14:textId="77777777" w:rsidR="0085203B" w:rsidRDefault="0085203B" w:rsidP="009A7568"/>
        </w:tc>
      </w:tr>
      <w:tr w:rsidR="0085203B" w14:paraId="2E89FA61" w14:textId="77777777" w:rsidTr="007D3F49">
        <w:tc>
          <w:tcPr>
            <w:tcW w:w="1134" w:type="dxa"/>
          </w:tcPr>
          <w:p w14:paraId="03D9A0C0" w14:textId="0C63AF54" w:rsidR="0085203B" w:rsidRDefault="0085203B" w:rsidP="009A7568"/>
        </w:tc>
        <w:tc>
          <w:tcPr>
            <w:tcW w:w="2438" w:type="dxa"/>
          </w:tcPr>
          <w:p w14:paraId="4EF8A54A" w14:textId="6749E83B" w:rsidR="0085203B" w:rsidRPr="003E6B9A" w:rsidRDefault="0085203B" w:rsidP="006104F6"/>
        </w:tc>
        <w:tc>
          <w:tcPr>
            <w:tcW w:w="823" w:type="dxa"/>
          </w:tcPr>
          <w:p w14:paraId="33E9E2EC" w14:textId="77777777" w:rsidR="0085203B" w:rsidRDefault="0085203B" w:rsidP="009A7568"/>
        </w:tc>
        <w:tc>
          <w:tcPr>
            <w:tcW w:w="3685" w:type="dxa"/>
            <w:vMerge/>
          </w:tcPr>
          <w:p w14:paraId="2EB345D0" w14:textId="77777777" w:rsidR="0085203B" w:rsidRDefault="0085203B" w:rsidP="009A7568"/>
        </w:tc>
      </w:tr>
      <w:tr w:rsidR="0085203B" w14:paraId="658BE11C" w14:textId="77777777" w:rsidTr="007D3F49">
        <w:tc>
          <w:tcPr>
            <w:tcW w:w="1134" w:type="dxa"/>
          </w:tcPr>
          <w:p w14:paraId="7E572F74" w14:textId="195EFA8D" w:rsidR="0085203B" w:rsidRDefault="0085203B" w:rsidP="009A7568">
            <w:r>
              <w:t>Datum</w:t>
            </w:r>
          </w:p>
        </w:tc>
        <w:bookmarkStart w:id="1" w:name="Datum"/>
        <w:tc>
          <w:tcPr>
            <w:tcW w:w="2438" w:type="dxa"/>
          </w:tcPr>
          <w:p w14:paraId="71C47BA2" w14:textId="50EEC5FE" w:rsidR="0085203B" w:rsidRPr="003E6B9A" w:rsidRDefault="0085203B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13441">
              <w:rPr>
                <w:noProof/>
              </w:rPr>
              <w:t>2. listopadu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19C7F7DB" w14:textId="77777777" w:rsidR="0085203B" w:rsidRDefault="0085203B" w:rsidP="009A7568"/>
        </w:tc>
        <w:tc>
          <w:tcPr>
            <w:tcW w:w="3685" w:type="dxa"/>
          </w:tcPr>
          <w:p w14:paraId="277C45BB" w14:textId="77777777" w:rsidR="0085203B" w:rsidRDefault="0085203B" w:rsidP="009A7568"/>
        </w:tc>
      </w:tr>
      <w:tr w:rsidR="0085203B" w14:paraId="75D2A4DC" w14:textId="77777777" w:rsidTr="007D3F49">
        <w:tc>
          <w:tcPr>
            <w:tcW w:w="1134" w:type="dxa"/>
          </w:tcPr>
          <w:p w14:paraId="4247E8A1" w14:textId="0B55FAFB" w:rsidR="0085203B" w:rsidRDefault="0085203B" w:rsidP="009A7568"/>
        </w:tc>
        <w:tc>
          <w:tcPr>
            <w:tcW w:w="2438" w:type="dxa"/>
          </w:tcPr>
          <w:p w14:paraId="5BB4532F" w14:textId="7C8A1D90" w:rsidR="0085203B" w:rsidRPr="003E6B9A" w:rsidRDefault="0085203B" w:rsidP="009A7568"/>
        </w:tc>
        <w:tc>
          <w:tcPr>
            <w:tcW w:w="823" w:type="dxa"/>
          </w:tcPr>
          <w:p w14:paraId="2FE82517" w14:textId="77777777" w:rsidR="0085203B" w:rsidRDefault="0085203B" w:rsidP="009A7568"/>
        </w:tc>
        <w:tc>
          <w:tcPr>
            <w:tcW w:w="3685" w:type="dxa"/>
          </w:tcPr>
          <w:p w14:paraId="77E3B639" w14:textId="77777777" w:rsidR="0085203B" w:rsidRDefault="0085203B" w:rsidP="009A7568"/>
        </w:tc>
      </w:tr>
      <w:tr w:rsidR="0085203B" w14:paraId="61267B55" w14:textId="77777777" w:rsidTr="007D3F49">
        <w:tc>
          <w:tcPr>
            <w:tcW w:w="1134" w:type="dxa"/>
          </w:tcPr>
          <w:p w14:paraId="2D0B8B60" w14:textId="77777777" w:rsidR="0085203B" w:rsidRDefault="0085203B" w:rsidP="0077673A"/>
        </w:tc>
        <w:tc>
          <w:tcPr>
            <w:tcW w:w="2438" w:type="dxa"/>
          </w:tcPr>
          <w:p w14:paraId="2EEEBAAB" w14:textId="77777777" w:rsidR="0085203B" w:rsidRPr="00FE3455" w:rsidRDefault="0085203B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77BEEF7" w14:textId="77777777" w:rsidR="0085203B" w:rsidRDefault="0085203B" w:rsidP="0077673A"/>
        </w:tc>
        <w:tc>
          <w:tcPr>
            <w:tcW w:w="3685" w:type="dxa"/>
          </w:tcPr>
          <w:p w14:paraId="088B4018" w14:textId="77777777" w:rsidR="0085203B" w:rsidRDefault="0085203B" w:rsidP="0077673A"/>
        </w:tc>
      </w:tr>
      <w:tr w:rsidR="0085203B" w14:paraId="771BA957" w14:textId="77777777" w:rsidTr="007D3F49">
        <w:trPr>
          <w:trHeight w:val="794"/>
        </w:trPr>
        <w:tc>
          <w:tcPr>
            <w:tcW w:w="1134" w:type="dxa"/>
          </w:tcPr>
          <w:p w14:paraId="1C5668F0" w14:textId="77777777" w:rsidR="0085203B" w:rsidRDefault="0085203B" w:rsidP="0077673A"/>
        </w:tc>
        <w:tc>
          <w:tcPr>
            <w:tcW w:w="2438" w:type="dxa"/>
          </w:tcPr>
          <w:p w14:paraId="3A0478BC" w14:textId="77777777" w:rsidR="0085203B" w:rsidRDefault="0085203B" w:rsidP="00F310F8"/>
        </w:tc>
        <w:tc>
          <w:tcPr>
            <w:tcW w:w="823" w:type="dxa"/>
          </w:tcPr>
          <w:p w14:paraId="58988AF4" w14:textId="77777777" w:rsidR="0085203B" w:rsidRDefault="0085203B" w:rsidP="0077673A"/>
        </w:tc>
        <w:tc>
          <w:tcPr>
            <w:tcW w:w="3685" w:type="dxa"/>
          </w:tcPr>
          <w:p w14:paraId="6F17977E" w14:textId="77777777" w:rsidR="0085203B" w:rsidRDefault="0085203B" w:rsidP="0077673A"/>
        </w:tc>
      </w:tr>
    </w:tbl>
    <w:p w14:paraId="7B3C767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764C" w:rsidRPr="000A764C">
        <w:rPr>
          <w:rFonts w:eastAsia="Calibri" w:cs="Times New Roman"/>
          <w:b/>
          <w:lang w:eastAsia="cs-CZ"/>
        </w:rPr>
        <w:t>Brno-Maloměřice St. 6 - Adamov, BC</w:t>
      </w:r>
    </w:p>
    <w:p w14:paraId="5998FFC1" w14:textId="77777777" w:rsidR="00CB7B5A" w:rsidRPr="00A40878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A40878">
        <w:rPr>
          <w:rFonts w:eastAsia="Calibri" w:cs="Times New Roman"/>
          <w:lang w:eastAsia="cs-CZ"/>
        </w:rPr>
        <w:t xml:space="preserve">Vysvětlení/ změna/ doplnění zadávací dokumentace č. </w:t>
      </w:r>
      <w:r w:rsidR="00806EAA" w:rsidRPr="00A40878">
        <w:rPr>
          <w:rFonts w:eastAsia="Times New Roman" w:cs="Times New Roman"/>
          <w:lang w:eastAsia="cs-CZ"/>
        </w:rPr>
        <w:t>1</w:t>
      </w:r>
      <w:r w:rsidRPr="00A40878">
        <w:rPr>
          <w:rFonts w:eastAsia="Calibri" w:cs="Times New Roman"/>
          <w:lang w:eastAsia="cs-CZ"/>
        </w:rPr>
        <w:t xml:space="preserve"> </w:t>
      </w:r>
    </w:p>
    <w:p w14:paraId="5D987131" w14:textId="77777777" w:rsidR="00130434" w:rsidRPr="00A40878" w:rsidRDefault="0013043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C3B5C16" w14:textId="77777777" w:rsidR="00CB7B5A" w:rsidRPr="00CB7B5A" w:rsidRDefault="00CB7B5A" w:rsidP="000722C9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C48986D" w14:textId="77777777" w:rsidR="00806EAA" w:rsidRPr="000A764C" w:rsidRDefault="00A40878" w:rsidP="000722C9">
      <w:pPr>
        <w:spacing w:after="0" w:line="240" w:lineRule="auto"/>
        <w:rPr>
          <w:rFonts w:asciiTheme="majorHAnsi" w:eastAsia="Calibri" w:hAnsiTheme="majorHAnsi" w:cs="Times New Roman"/>
          <w:b/>
          <w:lang w:eastAsia="cs-CZ"/>
        </w:rPr>
      </w:pPr>
      <w:r>
        <w:rPr>
          <w:rFonts w:asciiTheme="majorHAnsi" w:eastAsia="Calibri" w:hAnsiTheme="majorHAnsi" w:cs="Times New Roman"/>
          <w:b/>
          <w:lang w:eastAsia="cs-CZ"/>
        </w:rPr>
        <w:t>I.</w:t>
      </w:r>
    </w:p>
    <w:p w14:paraId="180C5EAC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>
        <w:rPr>
          <w:rFonts w:asciiTheme="majorHAnsi" w:hAnsiTheme="majorHAnsi" w:cs="Calibri"/>
          <w:color w:val="000000"/>
        </w:rPr>
        <w:t xml:space="preserve">1. </w:t>
      </w:r>
      <w:r w:rsidRPr="000A764C">
        <w:rPr>
          <w:rFonts w:asciiTheme="majorHAnsi" w:hAnsiTheme="majorHAnsi" w:cs="Calibri"/>
          <w:color w:val="000000"/>
        </w:rPr>
        <w:t xml:space="preserve">Zadavatel v souvislosti s výkonem relevantní činnosti dne </w:t>
      </w:r>
      <w:proofErr w:type="gramStart"/>
      <w:r w:rsidRPr="000A764C">
        <w:rPr>
          <w:rFonts w:asciiTheme="majorHAnsi" w:hAnsiTheme="majorHAnsi" w:cs="Calibri"/>
          <w:color w:val="000000"/>
        </w:rPr>
        <w:t>18.5.2021</w:t>
      </w:r>
      <w:proofErr w:type="gramEnd"/>
      <w:r w:rsidRPr="000A764C">
        <w:rPr>
          <w:rFonts w:asciiTheme="majorHAnsi" w:hAnsiTheme="majorHAnsi" w:cs="Calibri"/>
          <w:color w:val="000000"/>
        </w:rPr>
        <w:t xml:space="preserve"> zahájil dle zákona</w:t>
      </w:r>
    </w:p>
    <w:p w14:paraId="2D98B47E" w14:textId="77777777" w:rsid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č. 134/2016 Sb., o zadávání veřejných zakázek, v platném znění (dále jen „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ZZVZ</w:t>
      </w:r>
      <w:r>
        <w:rPr>
          <w:rFonts w:asciiTheme="majorHAnsi" w:hAnsiTheme="majorHAnsi" w:cs="Calibri"/>
          <w:color w:val="000000"/>
        </w:rPr>
        <w:t xml:space="preserve">“), otevřené řízení </w:t>
      </w:r>
      <w:r w:rsidRPr="000A764C">
        <w:rPr>
          <w:rFonts w:asciiTheme="majorHAnsi" w:hAnsiTheme="majorHAnsi" w:cs="Calibri"/>
          <w:color w:val="000000"/>
        </w:rPr>
        <w:t xml:space="preserve">na zadání nadlimitní veřejné zakázky na služby s názvem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„soub</w:t>
      </w:r>
      <w:r>
        <w:rPr>
          <w:rFonts w:asciiTheme="majorHAnsi" w:hAnsiTheme="majorHAnsi" w:cs="Calibri,BoldItalic"/>
          <w:b/>
          <w:bCs/>
          <w:i/>
          <w:iCs/>
          <w:color w:val="000000"/>
        </w:rPr>
        <w:t xml:space="preserve">or staveb: Adamov – Blansko, BC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a Brno-Maloměřice St. 6 - Adamov, BC“</w:t>
      </w:r>
      <w:r w:rsidRPr="000A764C">
        <w:rPr>
          <w:rFonts w:asciiTheme="majorHAnsi" w:hAnsiTheme="majorHAnsi" w:cs="Calibri"/>
          <w:color w:val="000000"/>
        </w:rPr>
        <w:t>, spočívající v provedení geotechnických prací vč. Výkonu</w:t>
      </w:r>
      <w:r>
        <w:rPr>
          <w:rFonts w:asciiTheme="majorHAnsi" w:hAnsiTheme="majorHAnsi" w:cs="Calibri,BoldItalic"/>
          <w:b/>
          <w:bCs/>
          <w:i/>
          <w:iCs/>
          <w:color w:val="000000"/>
        </w:rPr>
        <w:t xml:space="preserve"> </w:t>
      </w:r>
      <w:r w:rsidRPr="000A764C">
        <w:rPr>
          <w:rFonts w:asciiTheme="majorHAnsi" w:hAnsiTheme="majorHAnsi" w:cs="Calibri"/>
          <w:color w:val="000000"/>
        </w:rPr>
        <w:t>odborného geotechnického a stavebnětechnického dozoru v souvislosti s realizací dvou</w:t>
      </w:r>
      <w:r>
        <w:rPr>
          <w:rFonts w:asciiTheme="majorHAnsi" w:hAnsiTheme="majorHAnsi" w:cs="Calibri,BoldItalic"/>
          <w:b/>
          <w:bCs/>
          <w:i/>
          <w:iCs/>
          <w:color w:val="000000"/>
        </w:rPr>
        <w:t xml:space="preserve"> </w:t>
      </w:r>
      <w:r w:rsidRPr="000A764C">
        <w:rPr>
          <w:rFonts w:asciiTheme="majorHAnsi" w:hAnsiTheme="majorHAnsi" w:cs="Calibri"/>
          <w:color w:val="000000"/>
        </w:rPr>
        <w:t>samostatných staveb „Adamov – Blansko, BC“ a „Brno-Maloměřice St. 6 - Adamov, BC“, číslo</w:t>
      </w:r>
      <w:r>
        <w:rPr>
          <w:rFonts w:asciiTheme="majorHAnsi" w:hAnsiTheme="majorHAnsi" w:cs="Calibri,BoldItalic"/>
          <w:b/>
          <w:bCs/>
          <w:i/>
          <w:iCs/>
          <w:color w:val="000000"/>
        </w:rPr>
        <w:t xml:space="preserve"> </w:t>
      </w:r>
      <w:r w:rsidRPr="000A764C">
        <w:rPr>
          <w:rFonts w:asciiTheme="majorHAnsi" w:hAnsiTheme="majorHAnsi" w:cs="Calibri"/>
          <w:color w:val="000000"/>
        </w:rPr>
        <w:t xml:space="preserve">veřejné zakázky P21V00000666, která byla rozhodnutím zadavatele ze dne </w:t>
      </w:r>
      <w:proofErr w:type="gramStart"/>
      <w:r w:rsidRPr="000A764C">
        <w:rPr>
          <w:rFonts w:asciiTheme="majorHAnsi" w:hAnsiTheme="majorHAnsi" w:cs="Calibri"/>
          <w:color w:val="000000"/>
        </w:rPr>
        <w:t>19.8.2021</w:t>
      </w:r>
      <w:proofErr w:type="gramEnd"/>
      <w:r w:rsidRPr="000A764C">
        <w:rPr>
          <w:rFonts w:asciiTheme="majorHAnsi" w:hAnsiTheme="majorHAnsi" w:cs="Calibri"/>
          <w:color w:val="000000"/>
        </w:rPr>
        <w:t xml:space="preserve"> zrušena</w:t>
      </w:r>
      <w:r>
        <w:rPr>
          <w:rFonts w:asciiTheme="majorHAnsi" w:hAnsiTheme="majorHAnsi" w:cs="Calibri,BoldItalic"/>
          <w:b/>
          <w:bCs/>
          <w:i/>
          <w:iCs/>
          <w:color w:val="000000"/>
        </w:rPr>
        <w:t xml:space="preserve"> </w:t>
      </w:r>
      <w:r w:rsidRPr="000A764C">
        <w:rPr>
          <w:rFonts w:asciiTheme="majorHAnsi" w:hAnsiTheme="majorHAnsi" w:cs="Calibri"/>
          <w:color w:val="000000"/>
        </w:rPr>
        <w:t xml:space="preserve">(dále jen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„Zrušená veřejná zakázka“</w:t>
      </w:r>
      <w:r w:rsidRPr="000A764C">
        <w:rPr>
          <w:rFonts w:asciiTheme="majorHAnsi" w:hAnsiTheme="majorHAnsi" w:cs="Calibri"/>
          <w:color w:val="000000"/>
        </w:rPr>
        <w:t>).</w:t>
      </w:r>
    </w:p>
    <w:p w14:paraId="56510E9A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Italic"/>
          <w:b/>
          <w:bCs/>
          <w:i/>
          <w:iCs/>
          <w:color w:val="000000"/>
        </w:rPr>
      </w:pPr>
    </w:p>
    <w:p w14:paraId="7EAA190F" w14:textId="77777777" w:rsid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 xml:space="preserve">2. Zadavatel následně v souvislosti s výkonem relevantní činnosti zahájil </w:t>
      </w:r>
      <w:r w:rsidRPr="000A764C">
        <w:rPr>
          <w:rFonts w:asciiTheme="majorHAnsi" w:hAnsiTheme="majorHAnsi" w:cs="Calibri,Bold"/>
          <w:b/>
          <w:bCs/>
          <w:color w:val="000000"/>
        </w:rPr>
        <w:t xml:space="preserve">(i) </w:t>
      </w:r>
      <w:r>
        <w:rPr>
          <w:rFonts w:asciiTheme="majorHAnsi" w:hAnsiTheme="majorHAnsi" w:cs="Calibri"/>
          <w:color w:val="000000"/>
        </w:rPr>
        <w:t xml:space="preserve">dne </w:t>
      </w:r>
      <w:proofErr w:type="gramStart"/>
      <w:r>
        <w:rPr>
          <w:rFonts w:asciiTheme="majorHAnsi" w:hAnsiTheme="majorHAnsi" w:cs="Calibri"/>
          <w:color w:val="000000"/>
        </w:rPr>
        <w:t>20.10.2021</w:t>
      </w:r>
      <w:proofErr w:type="gramEnd"/>
      <w:r>
        <w:rPr>
          <w:rFonts w:asciiTheme="majorHAnsi" w:hAnsiTheme="majorHAnsi" w:cs="Calibri"/>
          <w:color w:val="000000"/>
        </w:rPr>
        <w:t xml:space="preserve"> zadávací </w:t>
      </w:r>
      <w:r w:rsidRPr="000A764C">
        <w:rPr>
          <w:rFonts w:asciiTheme="majorHAnsi" w:hAnsiTheme="majorHAnsi" w:cs="Calibri"/>
          <w:color w:val="000000"/>
        </w:rPr>
        <w:t xml:space="preserve">řízení mimo režim ZZVZ na zadání podlimitní veřejné zakázky na služby s názvem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„Brno</w:t>
      </w:r>
      <w:r>
        <w:rPr>
          <w:rFonts w:asciiTheme="majorHAnsi" w:hAnsiTheme="majorHAnsi" w:cs="Calibri,BoldItalic"/>
          <w:b/>
          <w:bCs/>
          <w:i/>
          <w:iCs/>
          <w:color w:val="000000"/>
        </w:rPr>
        <w:t xml:space="preserve">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-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Maloměřice St.6 - Adamov, BC“</w:t>
      </w:r>
      <w:r w:rsidRPr="000A764C">
        <w:rPr>
          <w:rFonts w:asciiTheme="majorHAnsi" w:hAnsiTheme="majorHAnsi" w:cs="Calibri"/>
          <w:color w:val="000000"/>
        </w:rPr>
        <w:t>, spočívající ve výko</w:t>
      </w:r>
      <w:r w:rsidR="000722C9">
        <w:rPr>
          <w:rFonts w:asciiTheme="majorHAnsi" w:hAnsiTheme="majorHAnsi" w:cs="Calibri"/>
          <w:color w:val="000000"/>
        </w:rPr>
        <w:t xml:space="preserve">nu činnosti občasného </w:t>
      </w:r>
      <w:r>
        <w:rPr>
          <w:rFonts w:asciiTheme="majorHAnsi" w:hAnsiTheme="majorHAnsi" w:cs="Calibri"/>
          <w:color w:val="000000"/>
        </w:rPr>
        <w:t xml:space="preserve">odborného </w:t>
      </w:r>
      <w:r w:rsidRPr="000A764C">
        <w:rPr>
          <w:rFonts w:asciiTheme="majorHAnsi" w:hAnsiTheme="majorHAnsi" w:cs="Calibri"/>
          <w:color w:val="000000"/>
        </w:rPr>
        <w:t>geotechnického dozoru v Blanenských tunelech č. 3 a 4, čís</w:t>
      </w:r>
      <w:r>
        <w:rPr>
          <w:rFonts w:asciiTheme="majorHAnsi" w:hAnsiTheme="majorHAnsi" w:cs="Calibri"/>
          <w:color w:val="000000"/>
        </w:rPr>
        <w:t xml:space="preserve">lo veřejné zakázky P21V00001896 </w:t>
      </w:r>
      <w:r w:rsidRPr="000A764C">
        <w:rPr>
          <w:rFonts w:asciiTheme="majorHAnsi" w:hAnsiTheme="majorHAnsi" w:cs="Calibri"/>
          <w:color w:val="000000"/>
        </w:rPr>
        <w:t>(dále jen „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Veřejná zakázka</w:t>
      </w:r>
      <w:r w:rsidRPr="000A764C">
        <w:rPr>
          <w:rFonts w:asciiTheme="majorHAnsi" w:hAnsiTheme="majorHAnsi" w:cs="Calibri"/>
          <w:color w:val="000000"/>
        </w:rPr>
        <w:t xml:space="preserve">“) a </w:t>
      </w:r>
      <w:r w:rsidRPr="000A764C">
        <w:rPr>
          <w:rFonts w:asciiTheme="majorHAnsi" w:hAnsiTheme="majorHAnsi" w:cs="Calibri,Bold"/>
          <w:b/>
          <w:bCs/>
          <w:color w:val="000000"/>
        </w:rPr>
        <w:t>(</w:t>
      </w:r>
      <w:proofErr w:type="spellStart"/>
      <w:r w:rsidRPr="000A764C">
        <w:rPr>
          <w:rFonts w:asciiTheme="majorHAnsi" w:hAnsiTheme="majorHAnsi" w:cs="Calibri,Bold"/>
          <w:b/>
          <w:bCs/>
          <w:color w:val="000000"/>
        </w:rPr>
        <w:t>ii</w:t>
      </w:r>
      <w:proofErr w:type="spellEnd"/>
      <w:r w:rsidRPr="000A764C">
        <w:rPr>
          <w:rFonts w:asciiTheme="majorHAnsi" w:hAnsiTheme="majorHAnsi" w:cs="Calibri,Bold"/>
          <w:b/>
          <w:bCs/>
          <w:color w:val="000000"/>
        </w:rPr>
        <w:t xml:space="preserve">) </w:t>
      </w:r>
      <w:r w:rsidRPr="000A764C">
        <w:rPr>
          <w:rFonts w:asciiTheme="majorHAnsi" w:hAnsiTheme="majorHAnsi" w:cs="Calibri"/>
          <w:color w:val="000000"/>
        </w:rPr>
        <w:t>dne 22.10.2021 zadávací říze</w:t>
      </w:r>
      <w:r>
        <w:rPr>
          <w:rFonts w:asciiTheme="majorHAnsi" w:hAnsiTheme="majorHAnsi" w:cs="Calibri"/>
          <w:color w:val="000000"/>
        </w:rPr>
        <w:t xml:space="preserve">ní na zadání podlimitní veřejné </w:t>
      </w:r>
      <w:r w:rsidRPr="000A764C">
        <w:rPr>
          <w:rFonts w:asciiTheme="majorHAnsi" w:hAnsiTheme="majorHAnsi" w:cs="Calibri"/>
          <w:color w:val="000000"/>
        </w:rPr>
        <w:t xml:space="preserve">zakázky na služby s názvem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„Adamov – Blansko, BC“</w:t>
      </w:r>
      <w:r>
        <w:rPr>
          <w:rFonts w:asciiTheme="majorHAnsi" w:hAnsiTheme="majorHAnsi" w:cs="Calibri"/>
          <w:color w:val="000000"/>
        </w:rPr>
        <w:t xml:space="preserve">, spočívající ve výkonu činnosti, občasného </w:t>
      </w:r>
      <w:r w:rsidRPr="000A764C">
        <w:rPr>
          <w:rFonts w:asciiTheme="majorHAnsi" w:hAnsiTheme="majorHAnsi" w:cs="Calibri"/>
          <w:color w:val="000000"/>
        </w:rPr>
        <w:t>odborného geotechnického dozoru v Blanenských tunelech č. 7, 8/</w:t>
      </w:r>
      <w:r>
        <w:rPr>
          <w:rFonts w:asciiTheme="majorHAnsi" w:hAnsiTheme="majorHAnsi" w:cs="Calibri"/>
          <w:color w:val="000000"/>
        </w:rPr>
        <w:t xml:space="preserve">1, 8/2, 9 a 10 v rámci stavby s </w:t>
      </w:r>
      <w:r w:rsidRPr="000A764C">
        <w:rPr>
          <w:rFonts w:asciiTheme="majorHAnsi" w:hAnsiTheme="majorHAnsi" w:cs="Calibri"/>
          <w:color w:val="000000"/>
        </w:rPr>
        <w:t xml:space="preserve">názvem: „Adamov – Blansko, BC“, číslo veřejné zakázky P21V00001906 (dále jen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„Zakázka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Adamov – Blansko“</w:t>
      </w:r>
      <w:r w:rsidRPr="000A764C">
        <w:rPr>
          <w:rFonts w:asciiTheme="majorHAnsi" w:hAnsiTheme="majorHAnsi" w:cs="Calibri"/>
          <w:color w:val="000000"/>
        </w:rPr>
        <w:t>).</w:t>
      </w:r>
    </w:p>
    <w:p w14:paraId="5E9062F6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643163C9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3. Dodavatel tímto podává žádost o vysvětlení zadávací dokumentace ve smyslu bodu 6 Výzvy</w:t>
      </w:r>
    </w:p>
    <w:p w14:paraId="55CE0FDA" w14:textId="77777777" w:rsid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k podání nabídky uveřejněné v rámci zadávací dokumentace na zadání Veřejné zakázky.</w:t>
      </w:r>
    </w:p>
    <w:p w14:paraId="5D43055F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6F31EBEB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>II.</w:t>
      </w:r>
    </w:p>
    <w:p w14:paraId="6934917A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1. Zadavatel v bodu 9.2 písm. c) Výzvy k podání nabídky požaduje po dodavatelích k prokázání</w:t>
      </w:r>
    </w:p>
    <w:p w14:paraId="20BDDFF2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splnění profesní způsobilosti předložení dokladu o autorizaci v rozsahu dle § 5 odst. 3 písm. i)</w:t>
      </w:r>
    </w:p>
    <w:p w14:paraId="2F450C99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zákona 360/1992 Sb., o výkonu povolání autorizovaných architektů a o výkonu povolání</w:t>
      </w:r>
    </w:p>
    <w:p w14:paraId="07012094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autorizovaných inženýrů a techniků činných ve výstavbě, tedy dokladu o autorizaci v oboru</w:t>
      </w:r>
    </w:p>
    <w:p w14:paraId="514B7CD2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geotechnika.</w:t>
      </w:r>
      <w:r w:rsidR="00A40878">
        <w:rPr>
          <w:rFonts w:asciiTheme="majorHAnsi" w:hAnsiTheme="majorHAnsi" w:cs="Calibri"/>
          <w:color w:val="000000"/>
        </w:rPr>
        <w:br/>
      </w:r>
    </w:p>
    <w:p w14:paraId="580060D3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2. Dodavatel si dovoluje požádat zadavatele o vysvětlení, zda doklad dle předchozího odstavce</w:t>
      </w:r>
    </w:p>
    <w:p w14:paraId="218F6502" w14:textId="77777777" w:rsid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zahrnuje pouze osvědčení o autorizaci vydávané inženýrům a te</w:t>
      </w:r>
      <w:r>
        <w:rPr>
          <w:rFonts w:asciiTheme="majorHAnsi" w:hAnsiTheme="majorHAnsi" w:cs="Calibri"/>
          <w:color w:val="000000"/>
        </w:rPr>
        <w:t xml:space="preserve">chnikům činným ve výstavbě v ČR </w:t>
      </w:r>
      <w:r w:rsidRPr="000A764C">
        <w:rPr>
          <w:rFonts w:asciiTheme="majorHAnsi" w:hAnsiTheme="majorHAnsi" w:cs="Calibri"/>
          <w:color w:val="000000"/>
        </w:rPr>
        <w:t>nebo také osvědčení o registraci dané osoby získané v zahran</w:t>
      </w:r>
      <w:r>
        <w:rPr>
          <w:rFonts w:asciiTheme="majorHAnsi" w:hAnsiTheme="majorHAnsi" w:cs="Calibri"/>
          <w:color w:val="000000"/>
        </w:rPr>
        <w:t xml:space="preserve">ičí. Dle názoru dodavatele tato </w:t>
      </w:r>
      <w:r w:rsidRPr="000A764C">
        <w:rPr>
          <w:rFonts w:asciiTheme="majorHAnsi" w:hAnsiTheme="majorHAnsi" w:cs="Calibri"/>
          <w:color w:val="000000"/>
        </w:rPr>
        <w:t>informace ze zadávací dokumentace (na rozdíl od zadávací d</w:t>
      </w:r>
      <w:r>
        <w:rPr>
          <w:rFonts w:asciiTheme="majorHAnsi" w:hAnsiTheme="majorHAnsi" w:cs="Calibri"/>
          <w:color w:val="000000"/>
        </w:rPr>
        <w:t xml:space="preserve">okumentace pro Zakázku Adamov – </w:t>
      </w:r>
      <w:r w:rsidRPr="000A764C">
        <w:rPr>
          <w:rFonts w:asciiTheme="majorHAnsi" w:hAnsiTheme="majorHAnsi" w:cs="Calibri"/>
          <w:color w:val="000000"/>
        </w:rPr>
        <w:t>Blansko) nevyplývá.</w:t>
      </w:r>
    </w:p>
    <w:p w14:paraId="686BF48D" w14:textId="77777777" w:rsidR="00582CAA" w:rsidRDefault="00582CAA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2B9075ED" w14:textId="77777777" w:rsidR="00582CAA" w:rsidRDefault="00582CAA" w:rsidP="00582CAA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47C593C2" w14:textId="77777777" w:rsidR="00582CAA" w:rsidRDefault="00582CAA" w:rsidP="00582CAA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141206" w14:textId="0BF6E766" w:rsidR="00582CAA" w:rsidRPr="001308F2" w:rsidRDefault="00582CAA" w:rsidP="00582CAA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1308F2">
        <w:rPr>
          <w:rFonts w:eastAsia="Times New Roman" w:cs="Times New Roman"/>
          <w:b/>
          <w:i/>
          <w:lang w:eastAsia="cs-CZ"/>
        </w:rPr>
        <w:lastRenderedPageBreak/>
        <w:t>Odpověď:</w:t>
      </w:r>
    </w:p>
    <w:p w14:paraId="5746F5A5" w14:textId="03F2F0FF" w:rsidR="00582CAA" w:rsidRPr="001308F2" w:rsidRDefault="00582CAA" w:rsidP="00582CAA">
      <w:pPr>
        <w:spacing w:after="0" w:line="240" w:lineRule="auto"/>
        <w:rPr>
          <w:rFonts w:eastAsia="Times New Roman" w:cs="Times New Roman"/>
          <w:b/>
          <w:i/>
          <w:lang w:eastAsia="cs-CZ"/>
        </w:rPr>
      </w:pPr>
      <w:r w:rsidRPr="001308F2">
        <w:rPr>
          <w:rFonts w:eastAsia="Times New Roman" w:cs="Times New Roman"/>
          <w:b/>
          <w:i/>
          <w:lang w:eastAsia="cs-CZ"/>
        </w:rPr>
        <w:t>Jak je uvedeno v bodě 9.4 Výzvy k podání nabídky zn. 17577/2021-SŽ-SSV-Ú3 „Prokazování odborné způsobilosti zahraničními osobami podle zvláštních právních předpisů“, zadavatel uzná i osvědčení o registraci získané v zahraničí.</w:t>
      </w:r>
    </w:p>
    <w:p w14:paraId="1522B5DA" w14:textId="547A0704" w:rsidR="000A764C" w:rsidRDefault="00A40878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>
        <w:rPr>
          <w:rFonts w:asciiTheme="majorHAnsi" w:hAnsiTheme="majorHAnsi" w:cs="Calibri"/>
          <w:color w:val="000000"/>
        </w:rPr>
        <w:br/>
      </w:r>
    </w:p>
    <w:p w14:paraId="6FA7218B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>III.</w:t>
      </w:r>
    </w:p>
    <w:p w14:paraId="79BEB7EB" w14:textId="77777777" w:rsidR="000A764C" w:rsidRPr="00A40878" w:rsidRDefault="00A40878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proofErr w:type="gramStart"/>
      <w:r>
        <w:rPr>
          <w:rFonts w:asciiTheme="majorHAnsi" w:hAnsiTheme="majorHAnsi" w:cs="Calibri"/>
          <w:color w:val="000000"/>
        </w:rPr>
        <w:t>1.</w:t>
      </w:r>
      <w:r w:rsidR="000A764C" w:rsidRPr="00A40878">
        <w:rPr>
          <w:rFonts w:asciiTheme="majorHAnsi" w:hAnsiTheme="majorHAnsi" w:cs="Calibri"/>
          <w:color w:val="000000"/>
        </w:rPr>
        <w:t>Zadavatel</w:t>
      </w:r>
      <w:proofErr w:type="gramEnd"/>
      <w:r w:rsidR="000A764C" w:rsidRPr="00A40878">
        <w:rPr>
          <w:rFonts w:asciiTheme="majorHAnsi" w:hAnsiTheme="majorHAnsi" w:cs="Calibri"/>
          <w:color w:val="000000"/>
        </w:rPr>
        <w:t xml:space="preserve"> Veřejnou zakázku zadává vedle, resp. společně se Zakázkou Adamov – Blansko, jejíž předpokládaná hodnota činí 863 000 Kč. Předpokládaná hodnota zadávané Veřejné zakázky činí 726 000 Kč. Součet předpokládaných hodnot Veřejné zakázky a Zakázky Adamov – Blansko (dle hledisek stanovených § 18 ZZVZ) tedy činí 1 589 000 Kč, což je přibližně 26 krát méně, než předpokládaná hodnota Zrušené veřejné zakázky, jejíž předmět se vztahoval ke stejným stavbám, k jakým se má vztahovat plnění dle Veřejné zakázky i Zakázky Adamov – Blansko.</w:t>
      </w:r>
    </w:p>
    <w:p w14:paraId="24A2BE44" w14:textId="77777777" w:rsidR="000A764C" w:rsidRPr="000A764C" w:rsidRDefault="000A764C" w:rsidP="000722C9">
      <w:pPr>
        <w:pStyle w:val="Odstavecseseznamem"/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1269EEFA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2. Dodavatel primárně vychází z toho, resp. identifikoval, že oproti Zrušené veřejné zakázce</w:t>
      </w:r>
    </w:p>
    <w:p w14:paraId="0501B01C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Zadavatel nyní nepoptává trvalý/stálý dozor (tj. pro každou stavb</w:t>
      </w:r>
      <w:r>
        <w:rPr>
          <w:rFonts w:asciiTheme="majorHAnsi" w:hAnsiTheme="majorHAnsi" w:cs="Calibri"/>
          <w:color w:val="000000"/>
        </w:rPr>
        <w:t xml:space="preserve">u 24 hodin denně, 7 dní v týdnu </w:t>
      </w:r>
      <w:r w:rsidRPr="000A764C">
        <w:rPr>
          <w:rFonts w:asciiTheme="majorHAnsi" w:hAnsiTheme="majorHAnsi" w:cs="Calibri"/>
          <w:color w:val="000000"/>
        </w:rPr>
        <w:t>po dobu dle harmonogramu jednotlivých staveb, jak uváděl</w:t>
      </w:r>
      <w:r>
        <w:rPr>
          <w:rFonts w:asciiTheme="majorHAnsi" w:hAnsiTheme="majorHAnsi" w:cs="Calibri"/>
          <w:color w:val="000000"/>
        </w:rPr>
        <w:t xml:space="preserve"> Zadavatel mj. ve vysvětlení ZD </w:t>
      </w:r>
      <w:r w:rsidRPr="000A764C">
        <w:rPr>
          <w:rFonts w:asciiTheme="majorHAnsi" w:hAnsiTheme="majorHAnsi" w:cs="Calibri"/>
          <w:color w:val="000000"/>
        </w:rPr>
        <w:t xml:space="preserve">Zrušené veřejné zakázky č. 2 ze dne </w:t>
      </w:r>
      <w:proofErr w:type="gramStart"/>
      <w:r w:rsidRPr="000A764C">
        <w:rPr>
          <w:rFonts w:asciiTheme="majorHAnsi" w:hAnsiTheme="majorHAnsi" w:cs="Calibri"/>
          <w:color w:val="000000"/>
        </w:rPr>
        <w:t>16.6.2021</w:t>
      </w:r>
      <w:proofErr w:type="gramEnd"/>
      <w:r w:rsidRPr="000A764C">
        <w:rPr>
          <w:rFonts w:asciiTheme="majorHAnsi" w:hAnsiTheme="majorHAnsi" w:cs="Calibri"/>
          <w:color w:val="000000"/>
        </w:rPr>
        <w:t>), nýbrž jen dozor</w:t>
      </w:r>
      <w:r>
        <w:rPr>
          <w:rFonts w:asciiTheme="majorHAnsi" w:hAnsiTheme="majorHAnsi" w:cs="Calibri"/>
          <w:color w:val="000000"/>
        </w:rPr>
        <w:t xml:space="preserve"> občasný. Dále Dodavatel chápe, </w:t>
      </w:r>
      <w:r w:rsidRPr="000A764C">
        <w:rPr>
          <w:rFonts w:asciiTheme="majorHAnsi" w:hAnsiTheme="majorHAnsi" w:cs="Calibri"/>
          <w:color w:val="000000"/>
        </w:rPr>
        <w:t>že předmětem Veřejné zakázky i Zakázky Adamov – Blansko je již jen výkon geotechnického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"/>
          <w:color w:val="000000"/>
        </w:rPr>
        <w:t>dozoru.</w:t>
      </w:r>
      <w:r>
        <w:rPr>
          <w:rFonts w:asciiTheme="majorHAnsi" w:hAnsiTheme="majorHAnsi" w:cs="Calibri"/>
          <w:color w:val="000000"/>
        </w:rPr>
        <w:br/>
      </w:r>
    </w:p>
    <w:p w14:paraId="2CCDD9FF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3. Dodavatel si však v této souvislosti dovoluje Zadavateli předně při</w:t>
      </w:r>
      <w:r>
        <w:rPr>
          <w:rFonts w:asciiTheme="majorHAnsi" w:hAnsiTheme="majorHAnsi" w:cs="Calibri"/>
          <w:color w:val="000000"/>
        </w:rPr>
        <w:t xml:space="preserve">pomenout, že stavby, které mají </w:t>
      </w:r>
      <w:r w:rsidRPr="000A764C">
        <w:rPr>
          <w:rFonts w:asciiTheme="majorHAnsi" w:hAnsiTheme="majorHAnsi" w:cs="Calibri"/>
          <w:color w:val="000000"/>
        </w:rPr>
        <w:t>být dozorovány v rámci Veřejné zakázky i Zakázky Adamov – Blans</w:t>
      </w:r>
      <w:r>
        <w:rPr>
          <w:rFonts w:asciiTheme="majorHAnsi" w:hAnsiTheme="majorHAnsi" w:cs="Calibri"/>
          <w:color w:val="000000"/>
        </w:rPr>
        <w:t xml:space="preserve">ko, jsou stavby složité, velice </w:t>
      </w:r>
      <w:r w:rsidRPr="000A764C">
        <w:rPr>
          <w:rFonts w:asciiTheme="majorHAnsi" w:hAnsiTheme="majorHAnsi" w:cs="Calibri"/>
          <w:color w:val="000000"/>
        </w:rPr>
        <w:t>nákladné na realizaci a s potenciálem značných škod v př</w:t>
      </w:r>
      <w:r>
        <w:rPr>
          <w:rFonts w:asciiTheme="majorHAnsi" w:hAnsiTheme="majorHAnsi" w:cs="Calibri"/>
          <w:color w:val="000000"/>
        </w:rPr>
        <w:t xml:space="preserve">ípadě jakéhokoliv pochybení při </w:t>
      </w:r>
      <w:r w:rsidRPr="000A764C">
        <w:rPr>
          <w:rFonts w:asciiTheme="majorHAnsi" w:hAnsiTheme="majorHAnsi" w:cs="Calibri"/>
          <w:color w:val="000000"/>
        </w:rPr>
        <w:t xml:space="preserve">výstavbě/dozoru. </w:t>
      </w:r>
      <w:r w:rsidRPr="000A764C">
        <w:rPr>
          <w:rFonts w:asciiTheme="majorHAnsi" w:hAnsiTheme="majorHAnsi" w:cs="Calibri,Bold"/>
          <w:b/>
          <w:bCs/>
          <w:color w:val="000000"/>
        </w:rPr>
        <w:t>Stejně tak by měl Zadavatel již z těchto hledisek zvážit, zda je opravdu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 xml:space="preserve">vhodné, aby byl ze strany dodavatelů vykonáván pouze časově omezený dozor </w:t>
      </w:r>
      <w:r>
        <w:rPr>
          <w:rFonts w:asciiTheme="majorHAnsi" w:hAnsiTheme="majorHAnsi" w:cs="Calibri"/>
          <w:color w:val="000000"/>
        </w:rPr>
        <w:t xml:space="preserve">(a to ještě </w:t>
      </w:r>
      <w:r w:rsidRPr="000A764C">
        <w:rPr>
          <w:rFonts w:asciiTheme="majorHAnsi" w:hAnsiTheme="majorHAnsi" w:cs="Calibri"/>
          <w:color w:val="000000"/>
        </w:rPr>
        <w:t xml:space="preserve">aktivovaný na výzvu Zadavatele, tj. zřejmě v závislosti na vyhodnocení situace Zadavatelem), </w:t>
      </w:r>
      <w:r w:rsidRPr="000A764C">
        <w:rPr>
          <w:rFonts w:asciiTheme="majorHAnsi" w:hAnsiTheme="majorHAnsi" w:cs="Calibri,Bold"/>
          <w:b/>
          <w:bCs/>
          <w:color w:val="000000"/>
        </w:rPr>
        <w:t>tím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spíše, pokud se má jednat o dozor geotechnický, který je pro bezpečnost obou staveb naprosto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zásadní</w:t>
      </w:r>
      <w:r w:rsidRPr="000A764C">
        <w:rPr>
          <w:rFonts w:asciiTheme="majorHAnsi" w:hAnsiTheme="majorHAnsi" w:cs="Calibri"/>
          <w:color w:val="000000"/>
        </w:rPr>
        <w:t>.</w:t>
      </w:r>
      <w:r>
        <w:rPr>
          <w:rFonts w:asciiTheme="majorHAnsi" w:hAnsiTheme="majorHAnsi" w:cs="Calibri"/>
          <w:color w:val="000000"/>
        </w:rPr>
        <w:br/>
      </w:r>
    </w:p>
    <w:p w14:paraId="7030CB79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"/>
          <w:color w:val="000000"/>
        </w:rPr>
        <w:t xml:space="preserve">4. Dodavateli dále není zřejmé, </w:t>
      </w:r>
      <w:r w:rsidRPr="000A764C">
        <w:rPr>
          <w:rFonts w:asciiTheme="majorHAnsi" w:hAnsiTheme="majorHAnsi" w:cs="Calibri,Bold"/>
          <w:b/>
          <w:bCs/>
          <w:color w:val="000000"/>
        </w:rPr>
        <w:t>zda bude nějaký subjekt vyko</w:t>
      </w:r>
      <w:r>
        <w:rPr>
          <w:rFonts w:asciiTheme="majorHAnsi" w:hAnsiTheme="majorHAnsi" w:cs="Calibri,Bold"/>
          <w:b/>
          <w:bCs/>
          <w:color w:val="000000"/>
        </w:rPr>
        <w:t xml:space="preserve">návat i „běžný“ stavební, resp. </w:t>
      </w:r>
      <w:r w:rsidRPr="000A764C">
        <w:rPr>
          <w:rFonts w:asciiTheme="majorHAnsi" w:hAnsiTheme="majorHAnsi" w:cs="Calibri,Bold"/>
          <w:b/>
          <w:bCs/>
          <w:color w:val="000000"/>
        </w:rPr>
        <w:t>stavebnětechnický dozor a jak bude zajištěna koordinace č</w:t>
      </w:r>
      <w:r>
        <w:rPr>
          <w:rFonts w:asciiTheme="majorHAnsi" w:hAnsiTheme="majorHAnsi" w:cs="Calibri,Bold"/>
          <w:b/>
          <w:bCs/>
          <w:color w:val="000000"/>
        </w:rPr>
        <w:t xml:space="preserve">inností geotechnického dozoru a </w:t>
      </w:r>
      <w:r w:rsidRPr="000A764C">
        <w:rPr>
          <w:rFonts w:asciiTheme="majorHAnsi" w:hAnsiTheme="majorHAnsi" w:cs="Calibri,Bold"/>
          <w:b/>
          <w:bCs/>
          <w:color w:val="000000"/>
        </w:rPr>
        <w:t>stavebnětechnického dozoru, resp. rozdělení odpovědnosti jejich poskytovatelů vůči Zadavateli</w:t>
      </w:r>
      <w:r w:rsidRPr="000A764C">
        <w:rPr>
          <w:rFonts w:asciiTheme="majorHAnsi" w:hAnsiTheme="majorHAnsi" w:cs="Calibri"/>
          <w:color w:val="000000"/>
        </w:rPr>
        <w:t>.</w:t>
      </w:r>
      <w:r>
        <w:rPr>
          <w:rFonts w:asciiTheme="majorHAnsi" w:hAnsiTheme="majorHAnsi" w:cs="Calibri"/>
          <w:color w:val="000000"/>
        </w:rPr>
        <w:br/>
      </w:r>
    </w:p>
    <w:p w14:paraId="1AFAD7DF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5. Pokud má být stavebnětechnický dozor prováděn, tak bez ohledu na to, zda m</w:t>
      </w:r>
      <w:r>
        <w:rPr>
          <w:rFonts w:asciiTheme="majorHAnsi" w:hAnsiTheme="majorHAnsi" w:cs="Calibri"/>
          <w:color w:val="000000"/>
        </w:rPr>
        <w:t xml:space="preserve">á tento vykonávat </w:t>
      </w:r>
      <w:r w:rsidRPr="000A764C">
        <w:rPr>
          <w:rFonts w:asciiTheme="majorHAnsi" w:hAnsiTheme="majorHAnsi" w:cs="Calibri"/>
          <w:color w:val="000000"/>
        </w:rPr>
        <w:t>jiný dodavatel, nebo např. zaměstnanci samotného Zadavatele, D</w:t>
      </w:r>
      <w:r>
        <w:rPr>
          <w:rFonts w:asciiTheme="majorHAnsi" w:hAnsiTheme="majorHAnsi" w:cs="Calibri"/>
          <w:color w:val="000000"/>
        </w:rPr>
        <w:t xml:space="preserve">odavatel Zadavatele upozorňuje, </w:t>
      </w:r>
      <w:r w:rsidRPr="000A764C">
        <w:rPr>
          <w:rFonts w:asciiTheme="majorHAnsi" w:hAnsiTheme="majorHAnsi" w:cs="Calibri"/>
          <w:color w:val="000000"/>
        </w:rPr>
        <w:t xml:space="preserve">že </w:t>
      </w:r>
      <w:r w:rsidRPr="000A764C">
        <w:rPr>
          <w:rFonts w:asciiTheme="majorHAnsi" w:hAnsiTheme="majorHAnsi" w:cs="Calibri,Bold"/>
          <w:b/>
          <w:bCs/>
          <w:color w:val="000000"/>
        </w:rPr>
        <w:t>jakékoliv smluvně nekoordinované vyčlenění geotechnického dozoru (tj. dozoru tunelových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děl) z celkového stálého/občasného dozoru stavby může přinášet zcela zásadní a těžko řešitelné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problémy při vlastní realizaci, jakož i po realizaci jednotlivých staveb</w:t>
      </w:r>
      <w:r>
        <w:rPr>
          <w:rFonts w:asciiTheme="majorHAnsi" w:hAnsiTheme="majorHAnsi" w:cs="Calibri"/>
          <w:color w:val="000000"/>
        </w:rPr>
        <w:t xml:space="preserve">. Jakékoliv oddělení </w:t>
      </w:r>
      <w:r w:rsidRPr="000A764C">
        <w:rPr>
          <w:rFonts w:asciiTheme="majorHAnsi" w:hAnsiTheme="majorHAnsi" w:cs="Calibri"/>
          <w:color w:val="000000"/>
        </w:rPr>
        <w:t>odpovědnosti jednotlivých subjektů vykonávajících stavební dozor (</w:t>
      </w:r>
      <w:r w:rsidRPr="000A764C">
        <w:rPr>
          <w:rFonts w:asciiTheme="majorHAnsi" w:hAnsiTheme="majorHAnsi" w:cs="Calibri,Italic"/>
          <w:i/>
          <w:iCs/>
          <w:color w:val="000000"/>
        </w:rPr>
        <w:t>např. na čistou odpovědnost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Italic"/>
          <w:i/>
          <w:iCs/>
          <w:color w:val="000000"/>
        </w:rPr>
        <w:t>za geotechnickou část a čistou odpovědnost za „běžnou“ stavební část</w:t>
      </w:r>
      <w:r>
        <w:rPr>
          <w:rFonts w:asciiTheme="majorHAnsi" w:hAnsiTheme="majorHAnsi" w:cs="Calibri"/>
          <w:color w:val="000000"/>
        </w:rPr>
        <w:t xml:space="preserve">), které Zadavateli </w:t>
      </w:r>
      <w:r w:rsidRPr="000A764C">
        <w:rPr>
          <w:rFonts w:asciiTheme="majorHAnsi" w:hAnsiTheme="majorHAnsi" w:cs="Calibri"/>
          <w:color w:val="000000"/>
        </w:rPr>
        <w:t>neodpovídají společně a nerozdílně, resp. nemají mezi sebou jas</w:t>
      </w:r>
      <w:r>
        <w:rPr>
          <w:rFonts w:asciiTheme="majorHAnsi" w:hAnsiTheme="majorHAnsi" w:cs="Calibri"/>
          <w:color w:val="000000"/>
        </w:rPr>
        <w:t xml:space="preserve">ně vymezeno, kde začíná a končí </w:t>
      </w:r>
      <w:r w:rsidRPr="000A764C">
        <w:rPr>
          <w:rFonts w:asciiTheme="majorHAnsi" w:hAnsiTheme="majorHAnsi" w:cs="Calibri"/>
          <w:color w:val="000000"/>
        </w:rPr>
        <w:t xml:space="preserve">jejich odpovědnost, </w:t>
      </w:r>
      <w:r w:rsidRPr="000A764C">
        <w:rPr>
          <w:rFonts w:asciiTheme="majorHAnsi" w:hAnsiTheme="majorHAnsi" w:cs="Calibri,Bold"/>
          <w:b/>
          <w:bCs/>
          <w:color w:val="000000"/>
        </w:rPr>
        <w:t>je krajně nepraktické, nevhodné a pro Zadavatele to může v budoucnu např.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vést k tomu, že nebude vědět, který subjekt odpovídá za tu kterou vadu stavby/dozoru, tedy po</w:t>
      </w:r>
    </w:p>
    <w:p w14:paraId="243843AE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Italic"/>
          <w:i/>
          <w:i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>kterém subjektu (a zda vůbec po nějakém) může vymáhat plnění</w:t>
      </w:r>
      <w:r w:rsidRPr="000A764C">
        <w:rPr>
          <w:rFonts w:asciiTheme="majorHAnsi" w:hAnsiTheme="majorHAnsi" w:cs="Calibri"/>
          <w:color w:val="000000"/>
        </w:rPr>
        <w:t xml:space="preserve">. </w:t>
      </w:r>
      <w:r>
        <w:rPr>
          <w:rFonts w:asciiTheme="majorHAnsi" w:hAnsiTheme="majorHAnsi" w:cs="Calibri,Italic"/>
          <w:i/>
          <w:iCs/>
          <w:color w:val="000000"/>
        </w:rPr>
        <w:t xml:space="preserve">Pozn.: V tomto ohledu </w:t>
      </w:r>
      <w:r w:rsidRPr="000A764C">
        <w:rPr>
          <w:rFonts w:asciiTheme="majorHAnsi" w:hAnsiTheme="majorHAnsi" w:cs="Calibri,Italic"/>
          <w:i/>
          <w:iCs/>
          <w:color w:val="000000"/>
        </w:rPr>
        <w:t>smlouva na veřejnou zakázku vůbec neřeší návaznosti na správce stavby, resp. začle</w:t>
      </w:r>
      <w:r>
        <w:rPr>
          <w:rFonts w:asciiTheme="majorHAnsi" w:hAnsiTheme="majorHAnsi" w:cs="Calibri,Italic"/>
          <w:i/>
          <w:iCs/>
          <w:color w:val="000000"/>
        </w:rPr>
        <w:t xml:space="preserve">nění do této </w:t>
      </w:r>
      <w:r w:rsidRPr="000A764C">
        <w:rPr>
          <w:rFonts w:asciiTheme="majorHAnsi" w:hAnsiTheme="majorHAnsi" w:cs="Calibri,Italic"/>
          <w:i/>
          <w:iCs/>
          <w:color w:val="000000"/>
        </w:rPr>
        <w:t>struktury.</w:t>
      </w:r>
      <w:r>
        <w:rPr>
          <w:rFonts w:asciiTheme="majorHAnsi" w:hAnsiTheme="majorHAnsi" w:cs="Calibri,Italic"/>
          <w:i/>
          <w:iCs/>
          <w:color w:val="000000"/>
        </w:rPr>
        <w:br/>
      </w:r>
    </w:p>
    <w:p w14:paraId="1D89307F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6. Ve výše uvedených souvislostech si Dodavatel dovoluje rovněž odkázat na doporučení</w:t>
      </w:r>
    </w:p>
    <w:p w14:paraId="33163A26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Ministerstva dopravy uvedená v Metodickém pokynu pro výkon stavebního dozoru na stavbách</w:t>
      </w:r>
    </w:p>
    <w:p w14:paraId="76C19E9D" w14:textId="5A4DB28B" w:rsidR="0085203B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 xml:space="preserve">pozemních </w:t>
      </w:r>
      <w:r w:rsidR="00A40878">
        <w:rPr>
          <w:rFonts w:asciiTheme="majorHAnsi" w:hAnsiTheme="majorHAnsi" w:cs="Calibri"/>
          <w:color w:val="000000"/>
        </w:rPr>
        <w:t xml:space="preserve">komunikací (dostupné např. zde: </w:t>
      </w:r>
      <w:r w:rsidRPr="000A764C">
        <w:rPr>
          <w:rFonts w:asciiTheme="majorHAnsi" w:hAnsiTheme="majorHAnsi" w:cs="Calibri"/>
          <w:color w:val="0000FF"/>
        </w:rPr>
        <w:t>http://www.pjpk.cz/data/USR_001_2_11_METODICKE_POK</w:t>
      </w:r>
      <w:r>
        <w:rPr>
          <w:rFonts w:asciiTheme="majorHAnsi" w:hAnsiTheme="majorHAnsi" w:cs="Calibri"/>
          <w:color w:val="0000FF"/>
        </w:rPr>
        <w:t>YNY/MP_vykon_staveb_dozoru_2019</w:t>
      </w:r>
      <w:r w:rsidRPr="000A764C">
        <w:rPr>
          <w:rFonts w:asciiTheme="majorHAnsi" w:hAnsiTheme="majorHAnsi" w:cs="Calibri"/>
          <w:color w:val="0000FF"/>
        </w:rPr>
        <w:t>_FINAL.pdf</w:t>
      </w:r>
      <w:r w:rsidRPr="000A764C">
        <w:rPr>
          <w:rFonts w:asciiTheme="majorHAnsi" w:hAnsiTheme="majorHAnsi" w:cs="Calibri"/>
          <w:color w:val="000000"/>
        </w:rPr>
        <w:t xml:space="preserve">), kde se uvádí, že </w:t>
      </w:r>
      <w:r w:rsidRPr="000A764C">
        <w:rPr>
          <w:rFonts w:asciiTheme="majorHAnsi" w:hAnsiTheme="majorHAnsi" w:cs="Calibri,Bold"/>
          <w:b/>
          <w:bCs/>
          <w:color w:val="000000"/>
        </w:rPr>
        <w:t>u zvlášť složitých a nákladných staveb (vždy nad 300 mil. Kč) se</w:t>
      </w:r>
      <w:r>
        <w:rPr>
          <w:rFonts w:asciiTheme="majorHAnsi" w:hAnsiTheme="majorHAnsi" w:cs="Calibri"/>
          <w:color w:val="0000FF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doporučuje zajistit stálý stavební dozor jmenováním správce stavby</w:t>
      </w:r>
      <w:r w:rsidRPr="000A764C">
        <w:rPr>
          <w:rFonts w:asciiTheme="majorHAnsi" w:hAnsiTheme="majorHAnsi" w:cs="Calibri"/>
          <w:color w:val="000000"/>
        </w:rPr>
        <w:t>, který jako zastřešující</w:t>
      </w:r>
      <w:r>
        <w:rPr>
          <w:rFonts w:asciiTheme="majorHAnsi" w:hAnsiTheme="majorHAnsi" w:cs="Calibri"/>
          <w:color w:val="0000FF"/>
        </w:rPr>
        <w:t xml:space="preserve"> </w:t>
      </w:r>
      <w:r w:rsidRPr="000A764C">
        <w:rPr>
          <w:rFonts w:asciiTheme="majorHAnsi" w:hAnsiTheme="majorHAnsi" w:cs="Calibri"/>
          <w:color w:val="000000"/>
        </w:rPr>
        <w:t>subjekt následně zadavateli odpovídá za celkový dozor stavby (včetně případného dozoru</w:t>
      </w:r>
      <w:r>
        <w:rPr>
          <w:rFonts w:asciiTheme="majorHAnsi" w:hAnsiTheme="majorHAnsi" w:cs="Calibri"/>
          <w:color w:val="0000FF"/>
        </w:rPr>
        <w:t xml:space="preserve"> </w:t>
      </w:r>
      <w:r w:rsidRPr="000A764C">
        <w:rPr>
          <w:rFonts w:asciiTheme="majorHAnsi" w:hAnsiTheme="majorHAnsi" w:cs="Calibri"/>
          <w:color w:val="000000"/>
        </w:rPr>
        <w:t>geotechnického). Zcela logicky se ani nepřipouští možnost delegace části dozoru mimo strukturu</w:t>
      </w:r>
      <w:r>
        <w:rPr>
          <w:rFonts w:asciiTheme="majorHAnsi" w:hAnsiTheme="majorHAnsi" w:cs="Calibri"/>
          <w:color w:val="0000FF"/>
        </w:rPr>
        <w:t xml:space="preserve"> </w:t>
      </w:r>
      <w:r w:rsidRPr="000A764C">
        <w:rPr>
          <w:rFonts w:asciiTheme="majorHAnsi" w:hAnsiTheme="majorHAnsi" w:cs="Calibri"/>
          <w:color w:val="000000"/>
        </w:rPr>
        <w:t>jmenovaného správce stavby (a právní rozdělení odpovědnosti).</w:t>
      </w:r>
      <w:r>
        <w:rPr>
          <w:rFonts w:asciiTheme="majorHAnsi" w:hAnsiTheme="majorHAnsi" w:cs="Calibri"/>
          <w:color w:val="000000"/>
        </w:rPr>
        <w:br/>
      </w:r>
    </w:p>
    <w:p w14:paraId="0FEB8B5A" w14:textId="072AB67C" w:rsidR="000A764C" w:rsidRPr="00A40878" w:rsidRDefault="0085203B" w:rsidP="0085203B">
      <w:pPr>
        <w:rPr>
          <w:rFonts w:asciiTheme="majorHAnsi" w:hAnsiTheme="majorHAnsi" w:cs="Calibri"/>
          <w:color w:val="000000"/>
        </w:rPr>
      </w:pPr>
      <w:r>
        <w:rPr>
          <w:rFonts w:asciiTheme="majorHAnsi" w:hAnsiTheme="majorHAnsi" w:cs="Calibri"/>
          <w:color w:val="000000"/>
        </w:rPr>
        <w:br w:type="page"/>
      </w:r>
    </w:p>
    <w:p w14:paraId="7CEEF2EE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"/>
          <w:color w:val="000000"/>
        </w:rPr>
        <w:lastRenderedPageBreak/>
        <w:t xml:space="preserve">7. </w:t>
      </w:r>
      <w:r w:rsidRPr="000A764C">
        <w:rPr>
          <w:rFonts w:asciiTheme="majorHAnsi" w:hAnsiTheme="majorHAnsi" w:cs="Calibri,Bold"/>
          <w:b/>
          <w:bCs/>
          <w:color w:val="000000"/>
        </w:rPr>
        <w:t>Dodavatel tedy apeluje na Zadavatele, má-li snad v úm</w:t>
      </w:r>
      <w:r>
        <w:rPr>
          <w:rFonts w:asciiTheme="majorHAnsi" w:hAnsiTheme="majorHAnsi" w:cs="Calibri,Bold"/>
          <w:b/>
          <w:bCs/>
          <w:color w:val="000000"/>
        </w:rPr>
        <w:t xml:space="preserve">yslu zajišťovat výkon „běžného“ </w:t>
      </w:r>
      <w:r w:rsidRPr="000A764C">
        <w:rPr>
          <w:rFonts w:asciiTheme="majorHAnsi" w:hAnsiTheme="majorHAnsi" w:cs="Calibri,Bold"/>
          <w:b/>
          <w:bCs/>
          <w:color w:val="000000"/>
        </w:rPr>
        <w:t>stavebního dozoru vlastními silami, nebo externím dodavatelem</w:t>
      </w:r>
      <w:r>
        <w:rPr>
          <w:rFonts w:asciiTheme="majorHAnsi" w:hAnsiTheme="majorHAnsi" w:cs="Calibri,Bold"/>
          <w:b/>
          <w:bCs/>
          <w:color w:val="000000"/>
        </w:rPr>
        <w:t xml:space="preserve">, aby svůj přístup přehodnotil, </w:t>
      </w:r>
      <w:r w:rsidRPr="000A764C">
        <w:rPr>
          <w:rFonts w:asciiTheme="majorHAnsi" w:hAnsiTheme="majorHAnsi" w:cs="Calibri,Bold"/>
          <w:b/>
          <w:bCs/>
          <w:color w:val="000000"/>
        </w:rPr>
        <w:t>neboť žádná skutečnost (ani nutnost rychlého zadání Veřejné zakázky) nemůž</w:t>
      </w:r>
      <w:r>
        <w:rPr>
          <w:rFonts w:asciiTheme="majorHAnsi" w:hAnsiTheme="majorHAnsi" w:cs="Calibri,Bold"/>
          <w:b/>
          <w:bCs/>
          <w:color w:val="000000"/>
        </w:rPr>
        <w:t xml:space="preserve">e odůvodňovat </w:t>
      </w:r>
      <w:r w:rsidRPr="000A764C">
        <w:rPr>
          <w:rFonts w:asciiTheme="majorHAnsi" w:hAnsiTheme="majorHAnsi" w:cs="Calibri,Bold"/>
          <w:b/>
          <w:bCs/>
          <w:color w:val="000000"/>
        </w:rPr>
        <w:t>nastolení nejasných hranic odpovědnosti jednotlivých subjektů</w:t>
      </w:r>
      <w:r>
        <w:rPr>
          <w:rFonts w:asciiTheme="majorHAnsi" w:hAnsiTheme="majorHAnsi" w:cs="Calibri,Bold"/>
          <w:b/>
          <w:bCs/>
          <w:color w:val="000000"/>
        </w:rPr>
        <w:t xml:space="preserve"> podílejících se na stavebním a </w:t>
      </w:r>
      <w:r w:rsidRPr="000A764C">
        <w:rPr>
          <w:rFonts w:asciiTheme="majorHAnsi" w:hAnsiTheme="majorHAnsi" w:cs="Calibri,Bold"/>
          <w:b/>
          <w:bCs/>
          <w:color w:val="000000"/>
        </w:rPr>
        <w:t>geotechnickém dozoru, ani riziko, že za chybu dozoru praktick</w:t>
      </w:r>
      <w:r>
        <w:rPr>
          <w:rFonts w:asciiTheme="majorHAnsi" w:hAnsiTheme="majorHAnsi" w:cs="Calibri,Bold"/>
          <w:b/>
          <w:bCs/>
          <w:color w:val="000000"/>
        </w:rPr>
        <w:t xml:space="preserve">y nebude odpovídat nikdo, resp. </w:t>
      </w:r>
      <w:r w:rsidRPr="000A764C">
        <w:rPr>
          <w:rFonts w:asciiTheme="majorHAnsi" w:hAnsiTheme="majorHAnsi" w:cs="Calibri,Bold"/>
          <w:b/>
          <w:bCs/>
          <w:color w:val="000000"/>
        </w:rPr>
        <w:t>jen do určité výše (což hrozí v případě pochybení na straně zaměstnanců Zadavatele).</w:t>
      </w:r>
      <w:r>
        <w:rPr>
          <w:rFonts w:asciiTheme="majorHAnsi" w:hAnsiTheme="majorHAnsi" w:cs="Calibri,Bold"/>
          <w:b/>
          <w:bCs/>
          <w:color w:val="000000"/>
        </w:rPr>
        <w:br/>
      </w:r>
    </w:p>
    <w:p w14:paraId="75EA8513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8. Má-li Zadavatel snad v úmyslu zajišťovat běžný stavební dozor externím subjektem</w:t>
      </w:r>
    </w:p>
    <w:p w14:paraId="41002A68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(dodavatelem), nadto Dodavatel upozorňuje na § 18 ZZVZ a povinnost Zadavatele „načítat“</w:t>
      </w:r>
    </w:p>
    <w:p w14:paraId="3E679F0A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hodnoty všech souvisejících zakázek pro účely volby správného režimu jejich zadání, kdy je</w:t>
      </w:r>
    </w:p>
    <w:p w14:paraId="284D1282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nepochybné, že u všech takto souvisejících zakázek (tj. všech zak</w:t>
      </w:r>
      <w:r>
        <w:rPr>
          <w:rFonts w:asciiTheme="majorHAnsi" w:hAnsiTheme="majorHAnsi" w:cs="Calibri"/>
          <w:color w:val="000000"/>
        </w:rPr>
        <w:t xml:space="preserve">ázek na „běžný“ stavební dozor, </w:t>
      </w:r>
      <w:r w:rsidRPr="000A764C">
        <w:rPr>
          <w:rFonts w:asciiTheme="majorHAnsi" w:hAnsiTheme="majorHAnsi" w:cs="Calibri"/>
          <w:color w:val="000000"/>
        </w:rPr>
        <w:t>Veřejné zakázky i Zakázky Adamov – Blansko), by tato povinnost byla dána.</w:t>
      </w:r>
      <w:r>
        <w:rPr>
          <w:rFonts w:asciiTheme="majorHAnsi" w:hAnsiTheme="majorHAnsi" w:cs="Calibri"/>
          <w:color w:val="000000"/>
        </w:rPr>
        <w:br/>
      </w:r>
    </w:p>
    <w:p w14:paraId="2FCBD0D5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 xml:space="preserve">9. S ohledem na značné množství tunelů realizovaných v rámci obou </w:t>
      </w:r>
      <w:r>
        <w:rPr>
          <w:rFonts w:asciiTheme="majorHAnsi" w:hAnsiTheme="majorHAnsi" w:cs="Calibri"/>
          <w:color w:val="000000"/>
        </w:rPr>
        <w:t xml:space="preserve">staveb (v rámci Veřejné zakázky </w:t>
      </w:r>
      <w:r w:rsidRPr="000A764C">
        <w:rPr>
          <w:rFonts w:asciiTheme="majorHAnsi" w:hAnsiTheme="majorHAnsi" w:cs="Calibri"/>
          <w:color w:val="000000"/>
        </w:rPr>
        <w:t>se jedná o 2 tunely a v rámci Zakázky Adamov – Blansko o 5 tune</w:t>
      </w:r>
      <w:r>
        <w:rPr>
          <w:rFonts w:asciiTheme="majorHAnsi" w:hAnsiTheme="majorHAnsi" w:cs="Calibri"/>
          <w:color w:val="000000"/>
        </w:rPr>
        <w:t xml:space="preserve">lů, z nichž je jeden ražený) má </w:t>
      </w:r>
      <w:r w:rsidRPr="000A764C">
        <w:rPr>
          <w:rFonts w:asciiTheme="majorHAnsi" w:hAnsiTheme="majorHAnsi" w:cs="Calibri"/>
          <w:color w:val="000000"/>
        </w:rPr>
        <w:t>nadto Dodavatel důvodné pochybnosti, nakolik je Zadavatelův</w:t>
      </w:r>
      <w:r>
        <w:rPr>
          <w:rFonts w:asciiTheme="majorHAnsi" w:hAnsiTheme="majorHAnsi" w:cs="Calibri"/>
          <w:color w:val="000000"/>
        </w:rPr>
        <w:t xml:space="preserve"> odhad předpokládaného množství </w:t>
      </w:r>
      <w:r w:rsidRPr="000A764C">
        <w:rPr>
          <w:rFonts w:asciiTheme="majorHAnsi" w:hAnsiTheme="majorHAnsi" w:cs="Calibri"/>
          <w:color w:val="000000"/>
        </w:rPr>
        <w:t xml:space="preserve">hodin poskytování služby geotechnického dozoru na obou stavbách reálný. </w:t>
      </w:r>
      <w:r w:rsidRPr="000A764C">
        <w:rPr>
          <w:rFonts w:asciiTheme="majorHAnsi" w:hAnsiTheme="majorHAnsi" w:cs="Calibri,Bold"/>
          <w:b/>
          <w:bCs/>
          <w:color w:val="000000"/>
        </w:rPr>
        <w:t>Dodavatel je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přesvědčen, že nikoliv, kdy „občasnost“ geotechnického dozoru musí ze své podstaty a pro svou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důležitost probíhat nepřetržitě po dobu provádění prací staveb na příslušných tunelech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(vztaženo či</w:t>
      </w:r>
      <w:r>
        <w:rPr>
          <w:rFonts w:asciiTheme="majorHAnsi" w:hAnsiTheme="majorHAnsi" w:cs="Calibri,Bold"/>
          <w:b/>
          <w:bCs/>
          <w:color w:val="000000"/>
        </w:rPr>
        <w:t xml:space="preserve">stě na tunely, musí se fakticky </w:t>
      </w:r>
      <w:r w:rsidRPr="000A764C">
        <w:rPr>
          <w:rFonts w:asciiTheme="majorHAnsi" w:hAnsiTheme="majorHAnsi" w:cs="Calibri,Bold"/>
          <w:b/>
          <w:bCs/>
          <w:color w:val="000000"/>
        </w:rPr>
        <w:t>jednat o dozor stálý i v souladu s výše citovaným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>metodickým pokynem)</w:t>
      </w:r>
      <w:r w:rsidRPr="000A764C">
        <w:rPr>
          <w:rFonts w:asciiTheme="majorHAnsi" w:hAnsiTheme="majorHAnsi" w:cs="Calibri"/>
          <w:color w:val="000000"/>
        </w:rPr>
        <w:t>. Přesvědčivosti odhadu Zadavatele p</w:t>
      </w:r>
      <w:r>
        <w:rPr>
          <w:rFonts w:asciiTheme="majorHAnsi" w:hAnsiTheme="majorHAnsi" w:cs="Calibri"/>
          <w:color w:val="000000"/>
        </w:rPr>
        <w:t xml:space="preserve">ak nepřidává ani skutečnost, že </w:t>
      </w:r>
      <w:r w:rsidRPr="000A764C">
        <w:rPr>
          <w:rFonts w:asciiTheme="majorHAnsi" w:hAnsiTheme="majorHAnsi" w:cs="Calibri"/>
          <w:color w:val="000000"/>
        </w:rPr>
        <w:t xml:space="preserve">předpokládaný rozsah výkonu občasného geotechnického dozoru u Veřejné zakázky (tedy </w:t>
      </w:r>
      <w:r w:rsidRPr="000A764C">
        <w:rPr>
          <w:rFonts w:asciiTheme="majorHAnsi" w:hAnsiTheme="majorHAnsi" w:cs="Calibri,Bold"/>
          <w:b/>
          <w:bCs/>
          <w:color w:val="000000"/>
        </w:rPr>
        <w:t>u 2</w:t>
      </w:r>
      <w:r>
        <w:rPr>
          <w:rFonts w:asciiTheme="majorHAnsi" w:hAnsiTheme="majorHAnsi" w:cs="Calibri"/>
          <w:color w:val="000000"/>
        </w:rPr>
        <w:t xml:space="preserve"> </w:t>
      </w:r>
      <w:r w:rsidRPr="000A764C">
        <w:rPr>
          <w:rFonts w:asciiTheme="majorHAnsi" w:hAnsiTheme="majorHAnsi" w:cs="Calibri,Bold"/>
          <w:b/>
          <w:bCs/>
          <w:color w:val="000000"/>
        </w:rPr>
        <w:t xml:space="preserve">tunelů) činí 968 hodin </w:t>
      </w:r>
      <w:r w:rsidRPr="000A764C">
        <w:rPr>
          <w:rFonts w:asciiTheme="majorHAnsi" w:hAnsiTheme="majorHAnsi" w:cs="Calibri"/>
          <w:color w:val="000000"/>
        </w:rPr>
        <w:t>a výkon občasného geotechnického do</w:t>
      </w:r>
      <w:r>
        <w:rPr>
          <w:rFonts w:asciiTheme="majorHAnsi" w:hAnsiTheme="majorHAnsi" w:cs="Calibri"/>
          <w:color w:val="000000"/>
        </w:rPr>
        <w:t xml:space="preserve">zoru u Zakázky Adamov – Blansko </w:t>
      </w:r>
      <w:r w:rsidRPr="000A764C">
        <w:rPr>
          <w:rFonts w:asciiTheme="majorHAnsi" w:hAnsiTheme="majorHAnsi" w:cs="Calibri"/>
          <w:color w:val="000000"/>
        </w:rPr>
        <w:t xml:space="preserve">(tedy </w:t>
      </w:r>
      <w:r w:rsidRPr="000A764C">
        <w:rPr>
          <w:rFonts w:asciiTheme="majorHAnsi" w:hAnsiTheme="majorHAnsi" w:cs="Calibri,Bold"/>
          <w:b/>
          <w:bCs/>
          <w:color w:val="000000"/>
        </w:rPr>
        <w:t>u 5 tunelů, z nichž jeden bude ražen) činí 1 150 hodin</w:t>
      </w:r>
      <w:r w:rsidRPr="000A764C">
        <w:rPr>
          <w:rFonts w:asciiTheme="majorHAnsi" w:hAnsiTheme="majorHAnsi" w:cs="Calibri"/>
          <w:color w:val="000000"/>
        </w:rPr>
        <w:t>. S ohledem na tyto skutečnost tedy</w:t>
      </w:r>
    </w:p>
    <w:p w14:paraId="3917396C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Dodavatel nepovažuje odhady Zadavatele za správné, neboť nelze reálně předpokládat, že</w:t>
      </w:r>
    </w:p>
    <w:p w14:paraId="4B02A6FF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stavební práce na předmětných tunelech budou probíhat v součtu pouze 2 118 hodin, přičemž</w:t>
      </w:r>
    </w:p>
    <w:p w14:paraId="3FCD5868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nepoměr mezi časovou „dotací“ Veřejné zakázky a Zakázky Ad</w:t>
      </w:r>
      <w:r>
        <w:rPr>
          <w:rFonts w:asciiTheme="majorHAnsi" w:hAnsiTheme="majorHAnsi" w:cs="Calibri"/>
          <w:color w:val="000000"/>
        </w:rPr>
        <w:t xml:space="preserve">amov – Blansko vzhledem k počtu </w:t>
      </w:r>
      <w:r w:rsidRPr="000A764C">
        <w:rPr>
          <w:rFonts w:asciiTheme="majorHAnsi" w:hAnsiTheme="majorHAnsi" w:cs="Calibri"/>
          <w:color w:val="000000"/>
        </w:rPr>
        <w:t>realizovaných tunelů v každé z nich hovoří sám za sebe.</w:t>
      </w:r>
      <w:r>
        <w:rPr>
          <w:rFonts w:asciiTheme="majorHAnsi" w:hAnsiTheme="majorHAnsi" w:cs="Calibri"/>
          <w:color w:val="000000"/>
        </w:rPr>
        <w:br/>
      </w:r>
    </w:p>
    <w:p w14:paraId="43C56A78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"/>
          <w:color w:val="000000"/>
        </w:rPr>
        <w:t xml:space="preserve">10. </w:t>
      </w:r>
      <w:r w:rsidRPr="000A764C">
        <w:rPr>
          <w:rFonts w:asciiTheme="majorHAnsi" w:hAnsiTheme="majorHAnsi" w:cs="Calibri,Bold"/>
          <w:b/>
          <w:bCs/>
          <w:color w:val="000000"/>
        </w:rPr>
        <w:t>Dodavatel tedy tímto Zadavatele žádá o vysvětlení následujících skutečností:</w:t>
      </w:r>
    </w:p>
    <w:p w14:paraId="52B9BBD4" w14:textId="77777777" w:rsidR="00501F62" w:rsidRDefault="00501F62" w:rsidP="000722C9">
      <w:pPr>
        <w:autoSpaceDE w:val="0"/>
        <w:autoSpaceDN w:val="0"/>
        <w:adjustRightInd w:val="0"/>
        <w:spacing w:after="0" w:line="240" w:lineRule="auto"/>
        <w:ind w:left="708"/>
        <w:rPr>
          <w:rFonts w:asciiTheme="majorHAnsi" w:hAnsiTheme="majorHAnsi" w:cs="Calibri,Bold"/>
          <w:b/>
          <w:bCs/>
          <w:color w:val="000000"/>
        </w:rPr>
      </w:pPr>
    </w:p>
    <w:p w14:paraId="07924B86" w14:textId="174F27E2" w:rsidR="000A764C" w:rsidRPr="000A764C" w:rsidRDefault="000A764C" w:rsidP="00501F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 xml:space="preserve">1) </w:t>
      </w:r>
      <w:r w:rsidRPr="00A40878">
        <w:rPr>
          <w:rFonts w:asciiTheme="majorHAnsi" w:hAnsiTheme="majorHAnsi" w:cs="Calibri,Bold"/>
          <w:bCs/>
          <w:color w:val="000000"/>
        </w:rPr>
        <w:t>Má Zadavatel pro stavbu, pro kterou má být zajištěn geotechnický dozor na základě Veřejné zakázky, zajištěn i „běžný“ stavební, resp. stavebnětechnický dozor?</w:t>
      </w:r>
      <w:r w:rsidR="00A40878">
        <w:rPr>
          <w:rFonts w:asciiTheme="majorHAnsi" w:hAnsiTheme="majorHAnsi" w:cs="Calibri,Bold"/>
          <w:b/>
          <w:bCs/>
          <w:color w:val="000000"/>
        </w:rPr>
        <w:br/>
      </w:r>
    </w:p>
    <w:p w14:paraId="12680390" w14:textId="77777777" w:rsidR="000A764C" w:rsidRPr="000A764C" w:rsidRDefault="000A764C" w:rsidP="00501F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>Pokud ano:</w:t>
      </w:r>
    </w:p>
    <w:p w14:paraId="3B5D6169" w14:textId="3DAD681D" w:rsidR="000A764C" w:rsidRPr="00582CAA" w:rsidRDefault="000A764C" w:rsidP="00501F62">
      <w:pPr>
        <w:pStyle w:val="Odstavecseseznamem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Calibri,Bold"/>
          <w:bCs/>
          <w:color w:val="000000"/>
        </w:rPr>
      </w:pPr>
      <w:r w:rsidRPr="00582CAA">
        <w:rPr>
          <w:rFonts w:asciiTheme="majorHAnsi" w:hAnsiTheme="majorHAnsi" w:cs="Calibri,Bold"/>
          <w:bCs/>
          <w:color w:val="000000"/>
        </w:rPr>
        <w:t>Jedná se o stálý nebo o občasný dozor?</w:t>
      </w:r>
    </w:p>
    <w:p w14:paraId="086ED888" w14:textId="77777777" w:rsidR="000A764C" w:rsidRPr="000A764C" w:rsidRDefault="000A764C" w:rsidP="00501F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 xml:space="preserve">b) </w:t>
      </w:r>
      <w:r w:rsidRPr="00A40878">
        <w:rPr>
          <w:rFonts w:asciiTheme="majorHAnsi" w:hAnsiTheme="majorHAnsi" w:cs="Calibri,Bold"/>
          <w:bCs/>
          <w:color w:val="000000"/>
        </w:rPr>
        <w:t>Kdo a jakým způsobem jej bude zajišťovat? Je-li tento zajištěn u externího subjektu, zohlednil Zadavatel hodnotu plnění ve smyslu § 18 ZZVZ i u stanovení režimu zadání této Veřejné zakázky (a Zakázky Adamov – Blansko)?</w:t>
      </w:r>
    </w:p>
    <w:p w14:paraId="1F7595A7" w14:textId="77777777" w:rsidR="000A764C" w:rsidRPr="00A40878" w:rsidRDefault="000A764C" w:rsidP="00501F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 xml:space="preserve">c) </w:t>
      </w:r>
      <w:r w:rsidRPr="00A40878">
        <w:rPr>
          <w:rFonts w:asciiTheme="majorHAnsi" w:hAnsiTheme="majorHAnsi" w:cs="Calibri,Bold"/>
          <w:bCs/>
          <w:color w:val="000000"/>
        </w:rPr>
        <w:t>Jakým způsobem má Zadavatel v úmyslu zajistit dělení odpovědnosti mezi</w:t>
      </w:r>
    </w:p>
    <w:p w14:paraId="61382D2B" w14:textId="77777777" w:rsidR="00501F62" w:rsidRDefault="000A764C" w:rsidP="00501F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Cs/>
          <w:color w:val="000000"/>
        </w:rPr>
      </w:pPr>
      <w:r w:rsidRPr="00A40878">
        <w:rPr>
          <w:rFonts w:asciiTheme="majorHAnsi" w:hAnsiTheme="majorHAnsi" w:cs="Calibri,Bold"/>
          <w:bCs/>
          <w:color w:val="000000"/>
        </w:rPr>
        <w:t>poskytovatele služby geotechnického dozoru a stavebnětechnického dozoru, koordinaci jejich činností a vymezení jejich kompetencí?</w:t>
      </w:r>
    </w:p>
    <w:p w14:paraId="7BE2CF5D" w14:textId="77777777" w:rsidR="00501F62" w:rsidRDefault="00501F62" w:rsidP="00501F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Cs/>
          <w:color w:val="000000"/>
        </w:rPr>
      </w:pPr>
    </w:p>
    <w:p w14:paraId="2E105B08" w14:textId="77777777" w:rsidR="00501F62" w:rsidRPr="00582CAA" w:rsidRDefault="00501F62" w:rsidP="00501F62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i/>
          <w:color w:val="000000"/>
        </w:rPr>
      </w:pPr>
      <w:r w:rsidRPr="00582CAA">
        <w:rPr>
          <w:rFonts w:asciiTheme="majorHAnsi" w:hAnsiTheme="majorHAnsi" w:cs="Calibri,Bold"/>
          <w:b/>
          <w:bCs/>
          <w:i/>
          <w:color w:val="000000"/>
        </w:rPr>
        <w:t xml:space="preserve">Odpověď: </w:t>
      </w:r>
    </w:p>
    <w:p w14:paraId="44810A83" w14:textId="77777777" w:rsidR="00501F62" w:rsidRPr="00582CAA" w:rsidRDefault="00501F62" w:rsidP="00501F62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/>
          <w:i/>
          <w:lang w:eastAsia="cs-CZ"/>
        </w:rPr>
      </w:pPr>
      <w:r w:rsidRPr="00582CAA">
        <w:rPr>
          <w:rFonts w:eastAsia="Times New Roman" w:cs="Times New Roman"/>
          <w:b/>
          <w:i/>
          <w:lang w:eastAsia="cs-CZ"/>
        </w:rPr>
        <w:t>Zadavatel má pro stavbu zajištěn dozor z řad vlastních zaměstnanců. Koordinace činností a vymezení kompetencí obou dozorů podléhá hlavnímu správci stavby.</w:t>
      </w:r>
    </w:p>
    <w:p w14:paraId="7CFADCA4" w14:textId="73A429C1" w:rsidR="000A764C" w:rsidRPr="000A764C" w:rsidRDefault="00A40878" w:rsidP="000722C9">
      <w:pPr>
        <w:autoSpaceDE w:val="0"/>
        <w:autoSpaceDN w:val="0"/>
        <w:adjustRightInd w:val="0"/>
        <w:spacing w:after="0" w:line="240" w:lineRule="auto"/>
        <w:ind w:left="708"/>
        <w:rPr>
          <w:rFonts w:asciiTheme="majorHAnsi" w:hAnsiTheme="majorHAnsi" w:cs="Calibri,Bold"/>
          <w:b/>
          <w:bCs/>
          <w:color w:val="000000"/>
        </w:rPr>
      </w:pPr>
      <w:r>
        <w:rPr>
          <w:rFonts w:asciiTheme="majorHAnsi" w:hAnsiTheme="majorHAnsi" w:cs="Calibri,Bold"/>
          <w:b/>
          <w:bCs/>
          <w:color w:val="000000"/>
        </w:rPr>
        <w:br/>
      </w:r>
    </w:p>
    <w:p w14:paraId="38AFC84C" w14:textId="77777777" w:rsidR="00582CAA" w:rsidRDefault="000A764C" w:rsidP="00E222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 xml:space="preserve">2) </w:t>
      </w:r>
      <w:r w:rsidRPr="00A40878">
        <w:rPr>
          <w:rFonts w:asciiTheme="majorHAnsi" w:hAnsiTheme="majorHAnsi" w:cs="Calibri,Bold"/>
          <w:bCs/>
          <w:color w:val="000000"/>
        </w:rPr>
        <w:t>Jakým způsobem Zadavatel dospěl k závěru, že poskytnutí služeb geotechnického dozoru se předpokládá v uvedeném rozsahu a že tento rozsah je dostačující pro řádný výkon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 </w:t>
      </w:r>
      <w:r w:rsidRPr="00A40878">
        <w:rPr>
          <w:rFonts w:asciiTheme="majorHAnsi" w:hAnsiTheme="majorHAnsi" w:cs="Calibri,Bold"/>
          <w:bCs/>
          <w:color w:val="000000"/>
        </w:rPr>
        <w:t>geotechnického dozoru dle smlouvy na veřejnou zakázku?</w:t>
      </w:r>
    </w:p>
    <w:p w14:paraId="171DCBB3" w14:textId="77777777" w:rsidR="00582CAA" w:rsidRDefault="00582CAA" w:rsidP="00E222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</w:p>
    <w:p w14:paraId="1BC453A9" w14:textId="1CEF970A" w:rsidR="00582CAA" w:rsidRPr="00582CAA" w:rsidRDefault="00582CAA" w:rsidP="00E222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i/>
          <w:color w:val="000000"/>
        </w:rPr>
      </w:pPr>
      <w:r w:rsidRPr="00582CAA">
        <w:rPr>
          <w:rFonts w:asciiTheme="majorHAnsi" w:hAnsiTheme="majorHAnsi" w:cs="Calibri,Bold"/>
          <w:b/>
          <w:bCs/>
          <w:i/>
          <w:color w:val="000000"/>
        </w:rPr>
        <w:t>Odpověď:</w:t>
      </w:r>
    </w:p>
    <w:p w14:paraId="072EBA64" w14:textId="77777777" w:rsidR="00582CAA" w:rsidRPr="00582CAA" w:rsidRDefault="00582CAA" w:rsidP="00E2224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/>
          <w:i/>
          <w:sz w:val="16"/>
          <w:lang w:eastAsia="cs-CZ"/>
        </w:rPr>
      </w:pPr>
      <w:r w:rsidRPr="00582CAA">
        <w:rPr>
          <w:b/>
          <w:i/>
          <w:szCs w:val="20"/>
        </w:rPr>
        <w:t>Zadavatel prověřil danou problematiku a na základě nabytých informací stanovil odborným odhadem rozsah pro řádný výkon geotechnického dozoru.</w:t>
      </w:r>
    </w:p>
    <w:p w14:paraId="3EEF6987" w14:textId="2106C51B" w:rsidR="000A764C" w:rsidRPr="000A764C" w:rsidRDefault="00A40878" w:rsidP="000722C9">
      <w:pPr>
        <w:autoSpaceDE w:val="0"/>
        <w:autoSpaceDN w:val="0"/>
        <w:adjustRightInd w:val="0"/>
        <w:spacing w:after="0" w:line="240" w:lineRule="auto"/>
        <w:ind w:left="708"/>
        <w:rPr>
          <w:rFonts w:asciiTheme="majorHAnsi" w:hAnsiTheme="majorHAnsi" w:cs="Calibri,Bold"/>
          <w:b/>
          <w:bCs/>
          <w:color w:val="000000"/>
        </w:rPr>
      </w:pPr>
      <w:r>
        <w:rPr>
          <w:rFonts w:asciiTheme="majorHAnsi" w:hAnsiTheme="majorHAnsi" w:cs="Calibri,Bold"/>
          <w:b/>
          <w:bCs/>
          <w:color w:val="000000"/>
        </w:rPr>
        <w:br/>
      </w:r>
    </w:p>
    <w:p w14:paraId="23B95447" w14:textId="77777777" w:rsidR="00582CAA" w:rsidRDefault="000A764C" w:rsidP="00E222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 xml:space="preserve">3) </w:t>
      </w:r>
      <w:r w:rsidRPr="00A40878">
        <w:rPr>
          <w:rFonts w:asciiTheme="majorHAnsi" w:hAnsiTheme="majorHAnsi" w:cs="Calibri,Bold"/>
          <w:bCs/>
          <w:color w:val="000000"/>
        </w:rPr>
        <w:t>Zadavatel požaduje doložit v rámci ZD (viz Profesní způsobilost) živnosten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ský list nebo výpis </w:t>
      </w:r>
      <w:r w:rsidRPr="00A40878">
        <w:rPr>
          <w:rFonts w:asciiTheme="majorHAnsi" w:hAnsiTheme="majorHAnsi" w:cs="Calibri,Bold"/>
          <w:bCs/>
          <w:color w:val="000000"/>
        </w:rPr>
        <w:t xml:space="preserve">ze živnostenského rejstříku pro činnost – geologické 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práce. Prosíme o doplnění, jaké </w:t>
      </w:r>
      <w:r w:rsidRPr="00A40878">
        <w:rPr>
          <w:rFonts w:asciiTheme="majorHAnsi" w:hAnsiTheme="majorHAnsi" w:cs="Calibri,Bold"/>
          <w:bCs/>
          <w:color w:val="000000"/>
        </w:rPr>
        <w:t>činnosti v rámci geologických prací zadavatel bude požadovat.</w:t>
      </w:r>
    </w:p>
    <w:p w14:paraId="0778B929" w14:textId="77777777" w:rsidR="00582CAA" w:rsidRDefault="00582CAA" w:rsidP="00E222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</w:p>
    <w:p w14:paraId="0A4A25D6" w14:textId="77777777" w:rsidR="00582CAA" w:rsidRPr="00582CAA" w:rsidRDefault="00582CAA" w:rsidP="00E222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i/>
          <w:color w:val="000000"/>
        </w:rPr>
      </w:pPr>
      <w:r w:rsidRPr="00582CAA">
        <w:rPr>
          <w:rFonts w:asciiTheme="majorHAnsi" w:hAnsiTheme="majorHAnsi" w:cs="Calibri,Bold"/>
          <w:b/>
          <w:bCs/>
          <w:i/>
          <w:color w:val="000000"/>
        </w:rPr>
        <w:t>Odpověď:</w:t>
      </w:r>
    </w:p>
    <w:p w14:paraId="19DB873F" w14:textId="77777777" w:rsidR="00582CAA" w:rsidRPr="00582CAA" w:rsidRDefault="00582CAA" w:rsidP="00E2224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b/>
          <w:i/>
          <w:sz w:val="16"/>
          <w:lang w:eastAsia="cs-CZ"/>
        </w:rPr>
      </w:pPr>
      <w:r w:rsidRPr="00582CAA">
        <w:rPr>
          <w:b/>
          <w:i/>
          <w:szCs w:val="20"/>
        </w:rPr>
        <w:t>Zadavatel geologickými pracemi rozumí práce ve smyslu § 2, odst. (1) zákona 62/1988.</w:t>
      </w:r>
    </w:p>
    <w:p w14:paraId="01B033E4" w14:textId="74F58708" w:rsidR="000A764C" w:rsidRPr="000A764C" w:rsidRDefault="00A40878" w:rsidP="000722C9">
      <w:pPr>
        <w:autoSpaceDE w:val="0"/>
        <w:autoSpaceDN w:val="0"/>
        <w:adjustRightInd w:val="0"/>
        <w:spacing w:after="0" w:line="240" w:lineRule="auto"/>
        <w:ind w:left="708"/>
        <w:rPr>
          <w:rFonts w:asciiTheme="majorHAnsi" w:hAnsiTheme="majorHAnsi" w:cs="Calibri,Bold"/>
          <w:b/>
          <w:bCs/>
          <w:color w:val="000000"/>
        </w:rPr>
      </w:pPr>
      <w:r>
        <w:rPr>
          <w:rFonts w:asciiTheme="majorHAnsi" w:hAnsiTheme="majorHAnsi" w:cs="Calibri,Bold"/>
          <w:b/>
          <w:bCs/>
          <w:color w:val="000000"/>
        </w:rPr>
        <w:br/>
      </w:r>
    </w:p>
    <w:p w14:paraId="5FC36F1E" w14:textId="483180CD" w:rsidR="000A764C" w:rsidRDefault="000A764C" w:rsidP="00E2224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 xml:space="preserve">4) </w:t>
      </w:r>
      <w:r w:rsidRPr="00A40878">
        <w:rPr>
          <w:rFonts w:asciiTheme="majorHAnsi" w:hAnsiTheme="majorHAnsi" w:cs="Calibri,Bold"/>
          <w:bCs/>
          <w:color w:val="000000"/>
        </w:rPr>
        <w:t>Zadavatel požaduje v rámci ZD předložení/splnění kvali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fikačního kritéria pouze jednou </w:t>
      </w:r>
      <w:r w:rsidRPr="00A40878">
        <w:rPr>
          <w:rFonts w:asciiTheme="majorHAnsi" w:hAnsiTheme="majorHAnsi" w:cs="Calibri,Bold"/>
          <w:bCs/>
          <w:color w:val="000000"/>
        </w:rPr>
        <w:t>osobou člena odborného personálu – specialista na geotec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hniku. Prosíme o informaci, zda </w:t>
      </w:r>
      <w:r w:rsidRPr="00A40878">
        <w:rPr>
          <w:rFonts w:asciiTheme="majorHAnsi" w:hAnsiTheme="majorHAnsi" w:cs="Calibri,Bold"/>
          <w:bCs/>
          <w:color w:val="000000"/>
        </w:rPr>
        <w:t>výkon „občasného“ geotechnického dozoru na základě po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žadovaných činností uvedených v </w:t>
      </w:r>
      <w:r w:rsidRPr="00A40878">
        <w:rPr>
          <w:rFonts w:asciiTheme="majorHAnsi" w:hAnsiTheme="majorHAnsi" w:cs="Calibri,Bold"/>
          <w:bCs/>
          <w:color w:val="000000"/>
        </w:rPr>
        <w:t>ZD může být zajišťován i dalšími členy týmu, kteří neprokazovali kvalifikaci (kvali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fikační </w:t>
      </w:r>
      <w:r w:rsidRPr="00A40878">
        <w:rPr>
          <w:rFonts w:asciiTheme="majorHAnsi" w:hAnsiTheme="majorHAnsi" w:cs="Calibri,Bold"/>
          <w:bCs/>
          <w:color w:val="000000"/>
        </w:rPr>
        <w:t>kritéria), ale jejichž činnosti jsou v rámci dozoru požadovány,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 jedná se např. o specialisty v </w:t>
      </w:r>
      <w:r w:rsidRPr="00A40878">
        <w:rPr>
          <w:rFonts w:asciiTheme="majorHAnsi" w:hAnsiTheme="majorHAnsi" w:cs="Calibri,Bold"/>
          <w:bCs/>
          <w:color w:val="000000"/>
        </w:rPr>
        <w:t>oboru geologie, hydrogeologie, v oblasti zeměměřičství (</w:t>
      </w:r>
      <w:r w:rsidR="00A40878" w:rsidRPr="00A40878">
        <w:rPr>
          <w:rFonts w:asciiTheme="majorHAnsi" w:hAnsiTheme="majorHAnsi" w:cs="Calibri,Bold"/>
          <w:bCs/>
          <w:color w:val="000000"/>
        </w:rPr>
        <w:t xml:space="preserve">viz např. požadavek na kontrolu </w:t>
      </w:r>
      <w:r w:rsidRPr="00A40878">
        <w:rPr>
          <w:rFonts w:asciiTheme="majorHAnsi" w:hAnsiTheme="majorHAnsi" w:cs="Calibri,Bold"/>
          <w:bCs/>
          <w:color w:val="000000"/>
        </w:rPr>
        <w:t>geodetických prací) apod.</w:t>
      </w:r>
      <w:r w:rsidR="00A40878">
        <w:rPr>
          <w:rFonts w:asciiTheme="majorHAnsi" w:hAnsiTheme="majorHAnsi" w:cs="Calibri,Bold"/>
          <w:b/>
          <w:bCs/>
          <w:color w:val="000000"/>
        </w:rPr>
        <w:br/>
      </w:r>
    </w:p>
    <w:p w14:paraId="2E271DB4" w14:textId="7D52C25F" w:rsidR="0085203B" w:rsidRPr="00582CAA" w:rsidRDefault="00582CAA" w:rsidP="00582CA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i/>
          <w:color w:val="000000"/>
        </w:rPr>
      </w:pPr>
      <w:r w:rsidRPr="00582CAA">
        <w:rPr>
          <w:rFonts w:asciiTheme="majorHAnsi" w:hAnsiTheme="majorHAnsi" w:cs="Calibri,Bold"/>
          <w:b/>
          <w:bCs/>
          <w:i/>
          <w:color w:val="000000"/>
        </w:rPr>
        <w:t>Odpověď:</w:t>
      </w:r>
    </w:p>
    <w:p w14:paraId="659DA827" w14:textId="31B4144A" w:rsidR="00582CAA" w:rsidRPr="00582CAA" w:rsidRDefault="00582CAA" w:rsidP="00582CAA">
      <w:pPr>
        <w:spacing w:after="0" w:line="240" w:lineRule="auto"/>
        <w:jc w:val="both"/>
        <w:rPr>
          <w:rFonts w:eastAsia="Times New Roman" w:cs="Times New Roman"/>
          <w:b/>
          <w:i/>
          <w:lang w:eastAsia="cs-CZ"/>
        </w:rPr>
      </w:pPr>
      <w:r w:rsidRPr="00582CAA">
        <w:rPr>
          <w:rFonts w:eastAsia="Times New Roman" w:cs="Times New Roman"/>
          <w:b/>
          <w:i/>
          <w:lang w:eastAsia="cs-CZ"/>
        </w:rPr>
        <w:t>Ano, výkon může být zajišťován i dalšími členy týmu, jež neprokazovali kvalifikaci dle požadavků zadavatele.</w:t>
      </w:r>
    </w:p>
    <w:p w14:paraId="6AF7B85C" w14:textId="77777777" w:rsidR="00582CAA" w:rsidRDefault="00582CAA" w:rsidP="00582CA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</w:p>
    <w:p w14:paraId="16B6E439" w14:textId="77777777" w:rsidR="0085203B" w:rsidRPr="000A764C" w:rsidRDefault="0085203B" w:rsidP="000722C9">
      <w:pPr>
        <w:autoSpaceDE w:val="0"/>
        <w:autoSpaceDN w:val="0"/>
        <w:adjustRightInd w:val="0"/>
        <w:spacing w:after="0" w:line="240" w:lineRule="auto"/>
        <w:ind w:left="708"/>
        <w:rPr>
          <w:rFonts w:asciiTheme="majorHAnsi" w:hAnsiTheme="majorHAnsi" w:cs="Calibri,Bold"/>
          <w:b/>
          <w:bCs/>
          <w:color w:val="000000"/>
        </w:rPr>
      </w:pPr>
    </w:p>
    <w:p w14:paraId="678AC211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>IV.</w:t>
      </w:r>
    </w:p>
    <w:p w14:paraId="5143F3CC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1. Zadavatel dále v bodu 3 Výzvy k podání nabídky konstatuje, že předpokládaná činnost</w:t>
      </w:r>
    </w:p>
    <w:p w14:paraId="36ECA8FC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geotechnického dozoru bude činit celkem 968 hodin, a to v období leden 2022 až říjen 2022.</w:t>
      </w:r>
    </w:p>
    <w:p w14:paraId="301B9727" w14:textId="77777777" w:rsidR="000A764C" w:rsidRPr="00A40878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"/>
          <w:color w:val="000000"/>
        </w:rPr>
        <w:t xml:space="preserve">Tento rozsah je opět zopakován v bodu 14 Výzvy k podání nabídky, ze kterého vyplývá, že </w:t>
      </w:r>
      <w:r w:rsidRPr="000A764C">
        <w:rPr>
          <w:rFonts w:asciiTheme="majorHAnsi" w:hAnsiTheme="majorHAnsi" w:cs="Calibri,Bold"/>
          <w:b/>
          <w:bCs/>
          <w:color w:val="000000"/>
        </w:rPr>
        <w:t xml:space="preserve">celková cena díla </w:t>
      </w:r>
      <w:r w:rsidRPr="000A764C">
        <w:rPr>
          <w:rFonts w:asciiTheme="majorHAnsi" w:hAnsiTheme="majorHAnsi" w:cs="Calibri"/>
          <w:color w:val="000000"/>
        </w:rPr>
        <w:t>se rovná jednotkové ceně (doplněné dodavateli) a počtu jednotek (tj. hodin dle</w:t>
      </w:r>
      <w:r w:rsidR="00A40878">
        <w:rPr>
          <w:rFonts w:asciiTheme="majorHAnsi" w:hAnsiTheme="majorHAnsi" w:cs="Calibri,Bold"/>
          <w:b/>
          <w:bCs/>
          <w:color w:val="000000"/>
        </w:rPr>
        <w:t xml:space="preserve"> </w:t>
      </w:r>
      <w:r w:rsidRPr="000A764C">
        <w:rPr>
          <w:rFonts w:asciiTheme="majorHAnsi" w:hAnsiTheme="majorHAnsi" w:cs="Calibri"/>
          <w:color w:val="000000"/>
        </w:rPr>
        <w:t>předpokladu Zadavatele – 968).</w:t>
      </w:r>
      <w:r w:rsidR="00A40878">
        <w:rPr>
          <w:rFonts w:asciiTheme="majorHAnsi" w:hAnsiTheme="majorHAnsi" w:cs="Calibri,Bold"/>
          <w:b/>
          <w:bCs/>
          <w:color w:val="000000"/>
        </w:rPr>
        <w:t xml:space="preserve"> </w:t>
      </w:r>
      <w:r w:rsidRPr="000A764C">
        <w:rPr>
          <w:rFonts w:asciiTheme="majorHAnsi" w:hAnsiTheme="majorHAnsi" w:cs="Calibri,Italic"/>
          <w:i/>
          <w:iCs/>
          <w:color w:val="000000"/>
        </w:rPr>
        <w:t>Pozn.: V této souvislosti Dodavatel upozorňuje na zcela nevhodně z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volený smluvní typ, mj. z čehož </w:t>
      </w:r>
      <w:r w:rsidRPr="000A764C">
        <w:rPr>
          <w:rFonts w:asciiTheme="majorHAnsi" w:hAnsiTheme="majorHAnsi" w:cs="Calibri,Italic"/>
          <w:i/>
          <w:iCs/>
          <w:color w:val="000000"/>
        </w:rPr>
        <w:t xml:space="preserve">pramení níže vytýkané nelogičnosti a nedostatky, kdy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poskytování služeb geotechnického dozoru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 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 xml:space="preserve">objektivně není dílem, nýbrž příkazem </w:t>
      </w:r>
      <w:r w:rsidRPr="000A764C">
        <w:rPr>
          <w:rFonts w:asciiTheme="majorHAnsi" w:hAnsiTheme="majorHAnsi" w:cs="Calibri,Italic"/>
          <w:i/>
          <w:iCs/>
          <w:color w:val="000000"/>
        </w:rPr>
        <w:t>- právo na zaplacení díla v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zniká až úplným provedením, tj. </w:t>
      </w:r>
      <w:r w:rsidRPr="000A764C">
        <w:rPr>
          <w:rFonts w:asciiTheme="majorHAnsi" w:hAnsiTheme="majorHAnsi" w:cs="Calibri,Italic"/>
          <w:i/>
          <w:iCs/>
          <w:color w:val="000000"/>
        </w:rPr>
        <w:t>dokončením a předáním (</w:t>
      </w:r>
      <w:r w:rsidRPr="000A764C">
        <w:rPr>
          <w:rFonts w:asciiTheme="majorHAnsi" w:hAnsiTheme="majorHAnsi" w:cs="Calibri,BoldItalic"/>
          <w:b/>
          <w:bCs/>
          <w:i/>
          <w:iCs/>
          <w:color w:val="000000"/>
        </w:rPr>
        <w:t>zde samozřejmě není co předávat</w:t>
      </w:r>
      <w:r w:rsidRPr="000A764C">
        <w:rPr>
          <w:rFonts w:asciiTheme="majorHAnsi" w:hAnsiTheme="majorHAnsi" w:cs="Calibri,Italic"/>
          <w:i/>
          <w:iCs/>
          <w:color w:val="000000"/>
        </w:rPr>
        <w:t>); právo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 za zaplacení služby vzniká již </w:t>
      </w:r>
      <w:r w:rsidRPr="000A764C">
        <w:rPr>
          <w:rFonts w:asciiTheme="majorHAnsi" w:hAnsiTheme="majorHAnsi" w:cs="Calibri,Italic"/>
          <w:i/>
          <w:iCs/>
          <w:color w:val="000000"/>
        </w:rPr>
        <w:t>jejím poskytnutím).</w:t>
      </w:r>
    </w:p>
    <w:p w14:paraId="6892BDEA" w14:textId="77777777" w:rsidR="0076662B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2. V bodu 8 Výzvy k podání nabídky a v příloze č. 1 smlouvy o dílo se dále konstatuje, že: „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Zhotovitel </w:t>
      </w:r>
      <w:r w:rsidRPr="000A764C">
        <w:rPr>
          <w:rFonts w:asciiTheme="majorHAnsi" w:hAnsiTheme="majorHAnsi" w:cs="Calibri,Italic"/>
          <w:i/>
          <w:iCs/>
          <w:color w:val="000000"/>
        </w:rPr>
        <w:t>je oprávněn účtovat cenu díla měsíčně vždy k poslednímu dni v m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ěsíci. Provedené měsíční výkony </w:t>
      </w:r>
      <w:r w:rsidRPr="000A764C">
        <w:rPr>
          <w:rFonts w:asciiTheme="majorHAnsi" w:hAnsiTheme="majorHAnsi" w:cs="Calibri,Italic"/>
          <w:i/>
          <w:iCs/>
          <w:color w:val="000000"/>
        </w:rPr>
        <w:t>budou evidovány v přehledové tabulce a před fakturací odsouhlaseny stavebním dozorem a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 </w:t>
      </w:r>
      <w:r w:rsidRPr="000A764C">
        <w:rPr>
          <w:rFonts w:asciiTheme="majorHAnsi" w:hAnsiTheme="majorHAnsi" w:cs="Calibri,Italic"/>
          <w:i/>
          <w:iCs/>
          <w:color w:val="000000"/>
        </w:rPr>
        <w:t>Správcem stavby objednatele pro příslušnou stavbu. Tyto tabul</w:t>
      </w:r>
      <w:r w:rsidR="00A40878">
        <w:rPr>
          <w:rFonts w:asciiTheme="majorHAnsi" w:hAnsiTheme="majorHAnsi" w:cs="Calibri,Italic"/>
          <w:i/>
          <w:iCs/>
          <w:color w:val="000000"/>
        </w:rPr>
        <w:t xml:space="preserve">ky jsou podkladem pro fakturaci </w:t>
      </w:r>
      <w:r w:rsidRPr="000A764C">
        <w:rPr>
          <w:rFonts w:asciiTheme="majorHAnsi" w:hAnsiTheme="majorHAnsi" w:cs="Calibri,Italic"/>
          <w:i/>
          <w:iCs/>
          <w:color w:val="000000"/>
        </w:rPr>
        <w:t>a musí být přílohou daňového dokladu</w:t>
      </w:r>
      <w:r w:rsidRPr="000A764C">
        <w:rPr>
          <w:rFonts w:asciiTheme="majorHAnsi" w:hAnsiTheme="majorHAnsi" w:cs="Calibri"/>
          <w:color w:val="000000"/>
        </w:rPr>
        <w:t>.“</w:t>
      </w:r>
    </w:p>
    <w:p w14:paraId="5AD41341" w14:textId="77777777" w:rsidR="0076662B" w:rsidRDefault="0076662B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16C81EAC" w14:textId="3350254C" w:rsidR="00582CAA" w:rsidRPr="00582CAA" w:rsidRDefault="00582CAA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582CAA">
        <w:rPr>
          <w:rFonts w:asciiTheme="majorHAnsi" w:hAnsiTheme="majorHAnsi" w:cs="Calibri"/>
          <w:b/>
          <w:i/>
        </w:rPr>
        <w:t>Odpověď:</w:t>
      </w:r>
    </w:p>
    <w:p w14:paraId="64E40887" w14:textId="60C593E8" w:rsidR="0076662B" w:rsidRPr="00582CAA" w:rsidRDefault="0076662B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582CAA">
        <w:rPr>
          <w:rFonts w:asciiTheme="majorHAnsi" w:hAnsiTheme="majorHAnsi" w:cs="Calibri"/>
          <w:b/>
          <w:i/>
        </w:rPr>
        <w:t>Jak stanoví § 2587 Zákona č. 89/2012 Sb. Občanského zákoníku, rozumí se dílem nikoli pouze zhotovení určité věci, ale také činnost s jiným výsledkem. Výsledek činnosti může být i nehmotný.</w:t>
      </w:r>
    </w:p>
    <w:p w14:paraId="1B281B15" w14:textId="77777777" w:rsidR="0076662B" w:rsidRPr="00582CAA" w:rsidRDefault="0076662B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582CAA">
        <w:rPr>
          <w:rFonts w:asciiTheme="majorHAnsi" w:hAnsiTheme="majorHAnsi" w:cs="Calibri"/>
          <w:b/>
          <w:i/>
        </w:rPr>
        <w:t>Základní rozdíl mezi smlouvou o dílo a příkazní smlouvou je v otázce odpovědnosti za výsledek. V souladu se smlouvou o dílo provádí zhotovitel dílo (hmotné, či nehmotné) pro objednatele na svůj náklad a nebezpečí a nese riziko zmaření výsledku. V případě příkazní smlouvy nese riziko zmaření výsledku příkazce. Vzhledem k tomu, že je v zájmu zadavatele, aby zhotovitel nesl odpovědnost v situaci, kdy nenastane očekávaný výsledek jeho činnosti, nesouhlasí zadavatel s tvrzením uchazeče, že nesprávně zvolil typ smluvního vztahu.</w:t>
      </w:r>
    </w:p>
    <w:p w14:paraId="6CA3A7A7" w14:textId="77777777" w:rsidR="0076662B" w:rsidRPr="00582CAA" w:rsidRDefault="0076662B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Italic"/>
          <w:b/>
          <w:i/>
          <w:iCs/>
        </w:rPr>
      </w:pPr>
      <w:r w:rsidRPr="00582CAA">
        <w:rPr>
          <w:rFonts w:asciiTheme="majorHAnsi" w:hAnsiTheme="majorHAnsi" w:cs="Calibri"/>
          <w:b/>
          <w:i/>
        </w:rPr>
        <w:t>V této souvislosti zadavatel rovněž uvádí, že v případě zakázek na služby jakéhokoli typu standardně používá jako typ smluvního vztahu smlouvu o dílo.</w:t>
      </w:r>
      <w:r w:rsidRPr="00582CAA">
        <w:rPr>
          <w:rFonts w:asciiTheme="majorHAnsi" w:hAnsiTheme="majorHAnsi" w:cs="Calibri"/>
          <w:b/>
          <w:i/>
        </w:rPr>
        <w:br/>
      </w:r>
    </w:p>
    <w:p w14:paraId="2D827136" w14:textId="165E5609" w:rsidR="000A764C" w:rsidRPr="00A40878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Italic"/>
          <w:i/>
          <w:iCs/>
          <w:color w:val="000000"/>
        </w:rPr>
      </w:pPr>
    </w:p>
    <w:p w14:paraId="14C4A91B" w14:textId="77777777" w:rsidR="0076662B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3. Cena díla je nicméně dle smlouvy sjednána nikoliv v hodinové sazbě, nýbrž jako cena paušální</w:t>
      </w:r>
      <w:r w:rsidR="00A40878">
        <w:rPr>
          <w:rFonts w:asciiTheme="majorHAnsi" w:hAnsiTheme="majorHAnsi" w:cs="Calibri"/>
          <w:color w:val="000000"/>
        </w:rPr>
        <w:t xml:space="preserve"> za </w:t>
      </w:r>
      <w:r w:rsidRPr="000A764C">
        <w:rPr>
          <w:rFonts w:asciiTheme="majorHAnsi" w:hAnsiTheme="majorHAnsi" w:cs="Calibri"/>
          <w:color w:val="000000"/>
        </w:rPr>
        <w:t>celé dílo (dle předpokladu rozsahu). Tato paušální cena však m</w:t>
      </w:r>
      <w:r w:rsidR="00A40878">
        <w:rPr>
          <w:rFonts w:asciiTheme="majorHAnsi" w:hAnsiTheme="majorHAnsi" w:cs="Calibri"/>
          <w:color w:val="000000"/>
        </w:rPr>
        <w:t xml:space="preserve">á být sjednána pouze na základě </w:t>
      </w:r>
      <w:r w:rsidRPr="000A764C">
        <w:rPr>
          <w:rFonts w:asciiTheme="majorHAnsi" w:hAnsiTheme="majorHAnsi" w:cs="Calibri"/>
          <w:color w:val="000000"/>
        </w:rPr>
        <w:t>předpokladu Zadavatele o rozsahu plnění (968 hodin), který ne</w:t>
      </w:r>
      <w:r w:rsidR="00A40878">
        <w:rPr>
          <w:rFonts w:asciiTheme="majorHAnsi" w:hAnsiTheme="majorHAnsi" w:cs="Calibri"/>
          <w:color w:val="000000"/>
        </w:rPr>
        <w:t xml:space="preserve">musí odpovídat realitě. Smlouva </w:t>
      </w:r>
      <w:r w:rsidRPr="000A764C">
        <w:rPr>
          <w:rFonts w:asciiTheme="majorHAnsi" w:hAnsiTheme="majorHAnsi" w:cs="Calibri"/>
          <w:color w:val="000000"/>
        </w:rPr>
        <w:t>však neobsahuje jediný mechanismus, který by „pevně“ sjednanou ce</w:t>
      </w:r>
      <w:r w:rsidR="00A40878">
        <w:rPr>
          <w:rFonts w:asciiTheme="majorHAnsi" w:hAnsiTheme="majorHAnsi" w:cs="Calibri"/>
          <w:color w:val="000000"/>
        </w:rPr>
        <w:t xml:space="preserve">nu modifikoval v závislosti </w:t>
      </w:r>
      <w:r w:rsidRPr="000A764C">
        <w:rPr>
          <w:rFonts w:asciiTheme="majorHAnsi" w:hAnsiTheme="majorHAnsi" w:cs="Calibri"/>
          <w:color w:val="000000"/>
        </w:rPr>
        <w:t>na faktickém rozsahu posk</w:t>
      </w:r>
      <w:r w:rsidR="00A40878">
        <w:rPr>
          <w:rFonts w:asciiTheme="majorHAnsi" w:hAnsiTheme="majorHAnsi" w:cs="Calibri"/>
          <w:color w:val="000000"/>
        </w:rPr>
        <w:t xml:space="preserve">ytnutých služeb (např. klasické </w:t>
      </w:r>
      <w:r w:rsidRPr="000A764C">
        <w:rPr>
          <w:rFonts w:asciiTheme="majorHAnsi" w:hAnsiTheme="majorHAnsi" w:cs="Calibri"/>
          <w:color w:val="000000"/>
        </w:rPr>
        <w:t xml:space="preserve">vícepráce či </w:t>
      </w:r>
      <w:proofErr w:type="spellStart"/>
      <w:r w:rsidRPr="000A764C">
        <w:rPr>
          <w:rFonts w:asciiTheme="majorHAnsi" w:hAnsiTheme="majorHAnsi" w:cs="Calibri"/>
          <w:color w:val="000000"/>
        </w:rPr>
        <w:t>méněpráce</w:t>
      </w:r>
      <w:proofErr w:type="spellEnd"/>
      <w:r w:rsidRPr="000A764C">
        <w:rPr>
          <w:rFonts w:asciiTheme="majorHAnsi" w:hAnsiTheme="majorHAnsi" w:cs="Calibri"/>
          <w:color w:val="000000"/>
        </w:rPr>
        <w:t xml:space="preserve"> oproti předpokladu) a reálně tedy hrozí, že by Dodavatel mohl za celo</w:t>
      </w:r>
      <w:r w:rsidR="00A40878">
        <w:rPr>
          <w:rFonts w:asciiTheme="majorHAnsi" w:hAnsiTheme="majorHAnsi" w:cs="Calibri"/>
          <w:color w:val="000000"/>
        </w:rPr>
        <w:t xml:space="preserve">u dobu plnění účtovat maximálně </w:t>
      </w:r>
      <w:r w:rsidRPr="000A764C">
        <w:rPr>
          <w:rFonts w:asciiTheme="majorHAnsi" w:hAnsiTheme="majorHAnsi" w:cs="Calibri"/>
          <w:color w:val="000000"/>
        </w:rPr>
        <w:t>tuto cenu, přestože by skutečný rozsah poskytnutých služeb přesahoval předpoklad 968 hodin.</w:t>
      </w:r>
    </w:p>
    <w:p w14:paraId="03BD3BD9" w14:textId="77777777" w:rsidR="0076662B" w:rsidRDefault="0076662B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24E74F90" w14:textId="74B15503" w:rsidR="00582CAA" w:rsidRPr="00FB7F73" w:rsidRDefault="00582CAA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FB7F73">
        <w:rPr>
          <w:rFonts w:asciiTheme="majorHAnsi" w:hAnsiTheme="majorHAnsi" w:cs="Calibri"/>
          <w:b/>
          <w:i/>
        </w:rPr>
        <w:t>Odpověď:</w:t>
      </w:r>
    </w:p>
    <w:p w14:paraId="1240347F" w14:textId="38EE3155" w:rsidR="0076662B" w:rsidRPr="00FB7F73" w:rsidRDefault="0076662B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FB7F73">
        <w:rPr>
          <w:rFonts w:asciiTheme="majorHAnsi" w:hAnsiTheme="majorHAnsi" w:cs="Calibri"/>
          <w:b/>
          <w:i/>
        </w:rPr>
        <w:t xml:space="preserve">Čl. 3.3 Smlouvy o dílo na poskytování služeb, která je součástí zadávací dokumentace, obsahuje celkovou Cenu Díla za výkon občasného odborného </w:t>
      </w:r>
      <w:r w:rsidRPr="00FB7F73">
        <w:rPr>
          <w:rFonts w:asciiTheme="majorHAnsi" w:hAnsiTheme="majorHAnsi" w:cs="Calibri"/>
          <w:b/>
          <w:i/>
        </w:rPr>
        <w:lastRenderedPageBreak/>
        <w:t xml:space="preserve">geotechnického dozoru bez DPH. Tato celková cena Díla je stanovena v souladu s Přílohou č. 4 Smlouvy – rozpis Ceny Díla a Předpokládaný rozsah prací jako součin počtu jednotek a jednotkové ceny, přičemž jednotkou je zadavatelem určena hodina. </w:t>
      </w:r>
    </w:p>
    <w:p w14:paraId="003DE762" w14:textId="7A795053" w:rsidR="000A764C" w:rsidRPr="00FB7F73" w:rsidRDefault="0076662B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FB7F73">
        <w:rPr>
          <w:rFonts w:asciiTheme="majorHAnsi" w:hAnsiTheme="majorHAnsi" w:cs="Calibri"/>
          <w:b/>
          <w:i/>
        </w:rPr>
        <w:t xml:space="preserve">Takto stanovená Cena Díla je v souladu s čl. 9.2 Obchodních podmínek SSV OP SSV/03/21 ze dne </w:t>
      </w:r>
      <w:proofErr w:type="gramStart"/>
      <w:r w:rsidRPr="00FB7F73">
        <w:rPr>
          <w:rFonts w:asciiTheme="majorHAnsi" w:hAnsiTheme="majorHAnsi" w:cs="Calibri"/>
          <w:b/>
          <w:i/>
        </w:rPr>
        <w:t>10.3.2021</w:t>
      </w:r>
      <w:proofErr w:type="gramEnd"/>
      <w:r w:rsidRPr="00FB7F73">
        <w:rPr>
          <w:rFonts w:asciiTheme="majorHAnsi" w:hAnsiTheme="majorHAnsi" w:cs="Calibri"/>
          <w:b/>
          <w:i/>
        </w:rPr>
        <w:t>, které jsou součástí zadávací dokumentace, cena konečná a nepřekročitelná, přičemž je současně stanoveno, že ke změně Ceny Díla může dojít mimo jiné i na základě písemné dohody stran v souladu se zákonem č. 134/2016 Sb., o zadávání veřejných zakázek. Možnost změny díla a s tím případně související změny ceny díla</w:t>
      </w:r>
      <w:r w:rsidR="00046555" w:rsidRPr="00FB7F73">
        <w:rPr>
          <w:rFonts w:asciiTheme="majorHAnsi" w:hAnsiTheme="majorHAnsi" w:cs="Calibri"/>
          <w:b/>
          <w:i/>
        </w:rPr>
        <w:t xml:space="preserve"> </w:t>
      </w:r>
      <w:r w:rsidRPr="00FB7F73">
        <w:rPr>
          <w:rFonts w:asciiTheme="majorHAnsi" w:hAnsiTheme="majorHAnsi" w:cs="Calibri"/>
          <w:b/>
          <w:i/>
        </w:rPr>
        <w:t xml:space="preserve">je následně upravena v čl. 14 Obchodních podmínek SSV OP SSV/03/21 ze dne </w:t>
      </w:r>
      <w:proofErr w:type="gramStart"/>
      <w:r w:rsidRPr="00FB7F73">
        <w:rPr>
          <w:rFonts w:asciiTheme="majorHAnsi" w:hAnsiTheme="majorHAnsi" w:cs="Calibri"/>
          <w:b/>
          <w:i/>
        </w:rPr>
        <w:t>10.3.2021</w:t>
      </w:r>
      <w:proofErr w:type="gramEnd"/>
      <w:r w:rsidRPr="00FB7F73">
        <w:rPr>
          <w:rFonts w:asciiTheme="majorHAnsi" w:hAnsiTheme="majorHAnsi" w:cs="Calibri"/>
          <w:b/>
          <w:i/>
        </w:rPr>
        <w:t>. Uvedený čl. 14 jasně stanovuje postupy v případě změn ceny díla na základě požadavku objednatele či zhotovitele.</w:t>
      </w:r>
      <w:r w:rsidR="00A40878" w:rsidRPr="00FB7F73">
        <w:rPr>
          <w:rFonts w:asciiTheme="majorHAnsi" w:hAnsiTheme="majorHAnsi" w:cs="Calibri"/>
          <w:b/>
          <w:i/>
        </w:rPr>
        <w:br/>
      </w:r>
    </w:p>
    <w:p w14:paraId="61E24802" w14:textId="3581708C" w:rsid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  <w:r w:rsidRPr="000A764C">
        <w:rPr>
          <w:rFonts w:asciiTheme="majorHAnsi" w:hAnsiTheme="majorHAnsi" w:cs="Calibri"/>
          <w:color w:val="000000"/>
        </w:rPr>
        <w:t>4. Dodavatel se domnívá, že Zadavatel zamýšlel, aby platby za poskytování služeb geotechnického dozoru byly transparentně účtovány v hodinové sazbě dle skute</w:t>
      </w:r>
      <w:r w:rsidR="00A40878">
        <w:rPr>
          <w:rFonts w:asciiTheme="majorHAnsi" w:hAnsiTheme="majorHAnsi" w:cs="Calibri"/>
          <w:color w:val="000000"/>
        </w:rPr>
        <w:t xml:space="preserve">čné rozsahu poskytnutých služeb </w:t>
      </w:r>
      <w:r w:rsidRPr="000A764C">
        <w:rPr>
          <w:rFonts w:asciiTheme="majorHAnsi" w:hAnsiTheme="majorHAnsi" w:cs="Calibri"/>
          <w:color w:val="000000"/>
        </w:rPr>
        <w:t>(hodin) a na základě měsíčního výkazu (s tím, že celkový skutečný</w:t>
      </w:r>
      <w:r w:rsidR="00A40878">
        <w:rPr>
          <w:rFonts w:asciiTheme="majorHAnsi" w:hAnsiTheme="majorHAnsi" w:cs="Calibri"/>
          <w:color w:val="000000"/>
        </w:rPr>
        <w:t xml:space="preserve"> rozsah poskytování služeb může </w:t>
      </w:r>
      <w:r w:rsidRPr="000A764C">
        <w:rPr>
          <w:rFonts w:asciiTheme="majorHAnsi" w:hAnsiTheme="majorHAnsi" w:cs="Calibri"/>
          <w:color w:val="000000"/>
        </w:rPr>
        <w:t>bez dalšího v konečném důsledku přesáhnout stanovený předpo</w:t>
      </w:r>
      <w:r w:rsidR="00A40878">
        <w:rPr>
          <w:rFonts w:asciiTheme="majorHAnsi" w:hAnsiTheme="majorHAnsi" w:cs="Calibri"/>
          <w:color w:val="000000"/>
        </w:rPr>
        <w:t xml:space="preserve">klad 968 hodin – rozhodující je </w:t>
      </w:r>
      <w:r w:rsidRPr="000A764C">
        <w:rPr>
          <w:rFonts w:asciiTheme="majorHAnsi" w:hAnsiTheme="majorHAnsi" w:cs="Calibri"/>
          <w:color w:val="000000"/>
        </w:rPr>
        <w:t>fakticita plnění).</w:t>
      </w:r>
    </w:p>
    <w:p w14:paraId="41C768D3" w14:textId="1616F6AB" w:rsidR="0076662B" w:rsidRDefault="0076662B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color w:val="000000"/>
        </w:rPr>
      </w:pPr>
    </w:p>
    <w:p w14:paraId="5B12D90A" w14:textId="04AF30AC" w:rsidR="00FB7F73" w:rsidRPr="00FB7F73" w:rsidRDefault="00FB7F73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FB7F73">
        <w:rPr>
          <w:rFonts w:asciiTheme="majorHAnsi" w:hAnsiTheme="majorHAnsi" w:cs="Calibri"/>
          <w:b/>
          <w:i/>
        </w:rPr>
        <w:t>Odpověď:</w:t>
      </w:r>
    </w:p>
    <w:p w14:paraId="5CD2522F" w14:textId="71FEE7E3" w:rsidR="0076662B" w:rsidRPr="00FB7F73" w:rsidRDefault="0076662B" w:rsidP="0076662B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  <w:b/>
          <w:i/>
        </w:rPr>
      </w:pPr>
      <w:r w:rsidRPr="00FB7F73">
        <w:rPr>
          <w:rFonts w:asciiTheme="majorHAnsi" w:hAnsiTheme="majorHAnsi" w:cs="Calibri"/>
          <w:b/>
          <w:i/>
        </w:rPr>
        <w:t>Dodavatel se správně domnívá, že budou poskytnuté služby transparentně účtovány v hodinové sazbě podle skutečného rozsahu na základě měsíčního výkazu, nicméně pokud by měl rozsah služeb přesáhnout stanovený předpoklad, bude nutno postupovat podle článku 14. obchodních podmínek a příslušných ustanovení ZZVZ.</w:t>
      </w:r>
    </w:p>
    <w:p w14:paraId="0A01B8A5" w14:textId="77777777" w:rsidR="0076662B" w:rsidRPr="004B47B1" w:rsidRDefault="0076662B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"/>
        </w:rPr>
      </w:pPr>
    </w:p>
    <w:p w14:paraId="04CD2BD3" w14:textId="77777777" w:rsidR="000A764C" w:rsidRPr="000A764C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>Dodavatel tedy Zadavatele žádá o potvrzení/vysvětlení výše uvedených</w:t>
      </w:r>
    </w:p>
    <w:p w14:paraId="4E16E8BC" w14:textId="77777777" w:rsidR="000A764C" w:rsidRPr="00A40878" w:rsidRDefault="000A764C" w:rsidP="000722C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Calibri,Bold"/>
          <w:b/>
          <w:bCs/>
          <w:color w:val="000000"/>
        </w:rPr>
      </w:pPr>
      <w:r w:rsidRPr="000A764C">
        <w:rPr>
          <w:rFonts w:asciiTheme="majorHAnsi" w:hAnsiTheme="majorHAnsi" w:cs="Calibri,Bold"/>
          <w:b/>
          <w:bCs/>
          <w:color w:val="000000"/>
        </w:rPr>
        <w:t>skutečností a následně o případnou (technickou) úpravu sml</w:t>
      </w:r>
      <w:r w:rsidR="00A40878">
        <w:rPr>
          <w:rFonts w:asciiTheme="majorHAnsi" w:hAnsiTheme="majorHAnsi" w:cs="Calibri,Bold"/>
          <w:b/>
          <w:bCs/>
          <w:color w:val="000000"/>
        </w:rPr>
        <w:t xml:space="preserve">ouvy na veřejnou zakázku, která </w:t>
      </w:r>
      <w:r w:rsidRPr="000A764C">
        <w:rPr>
          <w:rFonts w:asciiTheme="majorHAnsi" w:hAnsiTheme="majorHAnsi" w:cs="Calibri,Bold"/>
          <w:b/>
          <w:bCs/>
          <w:color w:val="000000"/>
        </w:rPr>
        <w:t>tomuto výchozímu předpokladu bude odpovídat</w:t>
      </w:r>
      <w:r w:rsidRPr="000A764C">
        <w:rPr>
          <w:rFonts w:asciiTheme="majorHAnsi" w:hAnsiTheme="majorHAnsi" w:cs="Calibri"/>
          <w:color w:val="000000"/>
        </w:rPr>
        <w:t>.</w:t>
      </w:r>
      <w:r w:rsidR="00A40878">
        <w:rPr>
          <w:rFonts w:asciiTheme="majorHAnsi" w:hAnsiTheme="majorHAnsi" w:cs="Calibri"/>
          <w:color w:val="000000"/>
        </w:rPr>
        <w:br/>
      </w:r>
    </w:p>
    <w:p w14:paraId="7A8DB55E" w14:textId="4D80723C" w:rsidR="008F1475" w:rsidRPr="00046555" w:rsidRDefault="008F1475" w:rsidP="008F1475">
      <w:pPr>
        <w:autoSpaceDE w:val="0"/>
        <w:autoSpaceDN w:val="0"/>
        <w:adjustRightInd w:val="0"/>
        <w:spacing w:after="0" w:line="240" w:lineRule="auto"/>
        <w:ind w:left="708"/>
        <w:rPr>
          <w:rFonts w:cs="Calibri,Bold"/>
          <w:b/>
          <w:bCs/>
        </w:rPr>
      </w:pPr>
    </w:p>
    <w:p w14:paraId="5A0E730F" w14:textId="77777777" w:rsidR="00E22248" w:rsidRDefault="00E22248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F9FF102" w14:textId="7EDE2B99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byly zadavatelem provedeny </w:t>
      </w:r>
      <w:r w:rsidR="00713441" w:rsidRPr="00713441">
        <w:rPr>
          <w:rFonts w:eastAsia="Times New Roman" w:cs="Times New Roman"/>
          <w:b/>
          <w:lang w:eastAsia="cs-CZ"/>
        </w:rPr>
        <w:t>vysvětlení/</w:t>
      </w:r>
      <w:r w:rsidRPr="004B47B1">
        <w:rPr>
          <w:rFonts w:eastAsia="Times New Roman" w:cs="Times New Roman"/>
          <w:b/>
          <w:lang w:eastAsia="cs-CZ"/>
        </w:rPr>
        <w:t xml:space="preserve">změny/doplnění </w:t>
      </w:r>
      <w:r w:rsidRPr="00CB7B5A">
        <w:rPr>
          <w:rFonts w:eastAsia="Times New Roman" w:cs="Times New Roman"/>
          <w:b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CB7B5A">
        <w:rPr>
          <w:rFonts w:eastAsia="Times New Roman" w:cs="Times New Roman"/>
          <w:lang w:eastAsia="cs-CZ"/>
        </w:rPr>
        <w:br/>
      </w:r>
      <w:r w:rsidR="00A40878">
        <w:rPr>
          <w:rFonts w:eastAsia="Times New Roman" w:cs="Times New Roman"/>
          <w:lang w:eastAsia="cs-CZ"/>
        </w:rPr>
        <w:t>4.</w:t>
      </w:r>
      <w:r w:rsidR="004B47B1">
        <w:rPr>
          <w:rFonts w:eastAsia="Times New Roman" w:cs="Times New Roman"/>
          <w:lang w:eastAsia="cs-CZ"/>
        </w:rPr>
        <w:t xml:space="preserve"> </w:t>
      </w:r>
      <w:r w:rsidR="00A40878">
        <w:rPr>
          <w:rFonts w:eastAsia="Times New Roman" w:cs="Times New Roman"/>
          <w:lang w:eastAsia="cs-CZ"/>
        </w:rPr>
        <w:t>11.</w:t>
      </w:r>
      <w:r w:rsidR="004B47B1">
        <w:rPr>
          <w:rFonts w:eastAsia="Times New Roman" w:cs="Times New Roman"/>
          <w:lang w:eastAsia="cs-CZ"/>
        </w:rPr>
        <w:t xml:space="preserve"> </w:t>
      </w:r>
      <w:r w:rsidR="00A40878">
        <w:rPr>
          <w:rFonts w:eastAsia="Times New Roman" w:cs="Times New Roman"/>
          <w:lang w:eastAsia="cs-CZ"/>
        </w:rPr>
        <w:t>2021</w:t>
      </w:r>
      <w:r w:rsidRPr="00CB7B5A">
        <w:rPr>
          <w:rFonts w:eastAsia="Times New Roman" w:cs="Times New Roman"/>
          <w:lang w:eastAsia="cs-CZ"/>
        </w:rPr>
        <w:t xml:space="preserve"> </w:t>
      </w:r>
      <w:r w:rsidR="004B47B1">
        <w:rPr>
          <w:rFonts w:eastAsia="Times New Roman" w:cs="Times New Roman"/>
          <w:lang w:eastAsia="cs-CZ"/>
        </w:rPr>
        <w:t xml:space="preserve">do 10:00 hod. </w:t>
      </w:r>
      <w:r w:rsidRPr="00CB7B5A">
        <w:rPr>
          <w:rFonts w:eastAsia="Times New Roman" w:cs="Times New Roman"/>
          <w:lang w:eastAsia="cs-CZ"/>
        </w:rPr>
        <w:t xml:space="preserve">na den </w:t>
      </w:r>
      <w:r w:rsidR="004B47B1">
        <w:rPr>
          <w:rFonts w:eastAsia="Times New Roman" w:cs="Times New Roman"/>
          <w:lang w:eastAsia="cs-CZ"/>
        </w:rPr>
        <w:t>16. 11. 2021 do 10:00 hod</w:t>
      </w:r>
      <w:r w:rsidRPr="00CB7B5A">
        <w:rPr>
          <w:rFonts w:eastAsia="Times New Roman" w:cs="Times New Roman"/>
          <w:lang w:eastAsia="cs-CZ"/>
        </w:rPr>
        <w:t xml:space="preserve">. </w:t>
      </w:r>
    </w:p>
    <w:p w14:paraId="55ED8BDA" w14:textId="77777777"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374E8F8B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BE5A621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40878">
        <w:rPr>
          <w:rFonts w:eastAsia="Calibri" w:cs="Times New Roman"/>
          <w:lang w:eastAsia="cs-CZ"/>
        </w:rPr>
        <w:t>Vysvětlení/ změnu/ doplnění zadávací dokumentace</w:t>
      </w:r>
      <w:r w:rsidRPr="00A40878">
        <w:rPr>
          <w:rFonts w:eastAsia="Times New Roman" w:cs="Times New Roman"/>
          <w:lang w:eastAsia="cs-CZ"/>
        </w:rPr>
        <w:t xml:space="preserve">, včetně příloh, zadavatel uveřejní stejným způsobem, jakým uveřejnil výzvu </w:t>
      </w:r>
      <w:r w:rsidRPr="00CB7B5A">
        <w:rPr>
          <w:rFonts w:eastAsia="Times New Roman" w:cs="Times New Roman"/>
          <w:lang w:eastAsia="cs-CZ"/>
        </w:rPr>
        <w:t xml:space="preserve">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D6C4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142329A4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19A2939" w14:textId="77777777" w:rsidR="0085203B" w:rsidRPr="00CB7B5A" w:rsidRDefault="0085203B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8AC778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7233A3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5733B38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57B2E89" w14:textId="77777777"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1B53E93" w14:textId="77777777" w:rsidR="00A40878" w:rsidRDefault="00A4087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712E4A2B" w14:textId="77777777" w:rsidR="00A40878" w:rsidRDefault="00A4087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7E03960" w14:textId="77777777" w:rsidR="00A40878" w:rsidRPr="00CB7B5A" w:rsidRDefault="00A40878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1005E521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D33E0E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5A46F2E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6EE24A1B" w14:textId="77777777" w:rsidR="00CB7B5A" w:rsidRPr="00CB7B5A" w:rsidRDefault="00CB7B5A" w:rsidP="00130434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130434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130434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7A41F01B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18134" w14:textId="77777777" w:rsidR="00D91D61" w:rsidRDefault="00D91D61" w:rsidP="00962258">
      <w:pPr>
        <w:spacing w:after="0" w:line="240" w:lineRule="auto"/>
      </w:pPr>
      <w:r>
        <w:separator/>
      </w:r>
    </w:p>
  </w:endnote>
  <w:endnote w:type="continuationSeparator" w:id="0">
    <w:p w14:paraId="4D28AF60" w14:textId="77777777" w:rsidR="00D91D61" w:rsidRDefault="00D91D6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C58D28" w14:textId="77777777" w:rsidR="00E61F76" w:rsidRDefault="00E61F76">
    <w:pPr>
      <w:pStyle w:val="Zpat"/>
    </w:pPr>
  </w:p>
  <w:p w14:paraId="31C50023" w14:textId="77777777" w:rsidR="004E655F" w:rsidRDefault="004E65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31973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00309D" w14:textId="23A132F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34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34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55BBE6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16174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9871B5C" w14:textId="77777777" w:rsidR="00F1715C" w:rsidRDefault="00F1715C" w:rsidP="00D831A3">
          <w:pPr>
            <w:pStyle w:val="Zpat"/>
          </w:pPr>
        </w:p>
      </w:tc>
    </w:tr>
  </w:tbl>
  <w:p w14:paraId="3C82664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BA498EC" wp14:editId="148B43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0E0D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B6E789" wp14:editId="2CDD53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6C9A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199A693" w14:textId="77777777" w:rsidR="004E655F" w:rsidRDefault="004E655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E61F76" w14:paraId="7C07B3A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CEB2FD" w14:textId="1F557280" w:rsidR="00E61F76" w:rsidRPr="00B8518B" w:rsidRDefault="00E61F76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34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34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B55D30" w14:textId="77777777" w:rsidR="00E61F76" w:rsidRDefault="00E61F76">
          <w:pPr>
            <w:pStyle w:val="Zpat"/>
          </w:pPr>
          <w:r>
            <w:t>Správa železnic, státní organizace</w:t>
          </w:r>
        </w:p>
        <w:p w14:paraId="60C4ED00" w14:textId="77777777" w:rsidR="00E61F76" w:rsidRDefault="00E61F76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C50EDC" w14:textId="77777777" w:rsidR="00E61F76" w:rsidRDefault="00E61F76">
          <w:pPr>
            <w:pStyle w:val="Zpat"/>
          </w:pPr>
          <w:r>
            <w:t>Sídlo: Dlážděná 1003/7, 110 00</w:t>
          </w:r>
          <w:r>
            <w:t> </w:t>
          </w:r>
          <w:r>
            <w:t>Praha 1</w:t>
          </w:r>
        </w:p>
        <w:p w14:paraId="0BD8036A" w14:textId="77777777" w:rsidR="00E61F76" w:rsidRDefault="00E61F76">
          <w:pPr>
            <w:pStyle w:val="Zpat"/>
          </w:pPr>
          <w:r>
            <w:t>IČO: 709 94 234 DIČ: CZ 709 94 234</w:t>
          </w:r>
        </w:p>
        <w:p w14:paraId="7907A5CA" w14:textId="77777777" w:rsidR="00E61F76" w:rsidRDefault="00E61F76">
          <w:pPr>
            <w:pStyle w:val="Zpat"/>
          </w:pPr>
          <w:r>
            <w:t>www.</w:t>
          </w:r>
          <w:r w:rsidR="003D6C47">
            <w:t>spravazeleznic</w:t>
          </w:r>
          <w:r>
            <w:t>.cz</w:t>
          </w:r>
        </w:p>
      </w:tc>
      <w:tc>
        <w:tcPr>
          <w:tcW w:w="2921" w:type="dxa"/>
        </w:tcPr>
        <w:p w14:paraId="35701DA3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92DB562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599428CC" w14:textId="77777777" w:rsidR="00E61F76" w:rsidRDefault="00E61F76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3EDFCCB" w14:textId="77777777" w:rsidR="00E61F76" w:rsidRDefault="00E61F76">
          <w:pPr>
            <w:pStyle w:val="Zpat"/>
          </w:pPr>
        </w:p>
      </w:tc>
    </w:tr>
  </w:tbl>
  <w:p w14:paraId="4E854CC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BFD27F8" wp14:editId="39F3619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15056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8F38125" wp14:editId="40AE57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07DAB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DECF58" w14:textId="77777777" w:rsidR="00F1715C" w:rsidRPr="00460660" w:rsidRDefault="00F1715C">
    <w:pPr>
      <w:pStyle w:val="Zpat"/>
      <w:rPr>
        <w:sz w:val="2"/>
        <w:szCs w:val="2"/>
      </w:rPr>
    </w:pPr>
  </w:p>
  <w:p w14:paraId="00C56280" w14:textId="77777777" w:rsidR="004E655F" w:rsidRDefault="004E655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95734" w14:textId="77777777" w:rsidR="00D91D61" w:rsidRDefault="00D91D61" w:rsidP="00962258">
      <w:pPr>
        <w:spacing w:after="0" w:line="240" w:lineRule="auto"/>
      </w:pPr>
      <w:r>
        <w:separator/>
      </w:r>
    </w:p>
  </w:footnote>
  <w:footnote w:type="continuationSeparator" w:id="0">
    <w:p w14:paraId="3CDC2FB0" w14:textId="77777777" w:rsidR="00D91D61" w:rsidRDefault="00D91D6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ECB48" w14:textId="77777777" w:rsidR="00E61F76" w:rsidRDefault="00E61F76">
    <w:pPr>
      <w:pStyle w:val="Zhlav"/>
    </w:pPr>
  </w:p>
  <w:p w14:paraId="78C97486" w14:textId="77777777" w:rsidR="004E655F" w:rsidRDefault="004E655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382EC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DAA347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5AAFBC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8A5053" w14:textId="77777777" w:rsidR="00F1715C" w:rsidRPr="00D6163D" w:rsidRDefault="00F1715C" w:rsidP="00D6163D">
          <w:pPr>
            <w:pStyle w:val="Druhdokumentu"/>
          </w:pPr>
        </w:p>
      </w:tc>
    </w:tr>
  </w:tbl>
  <w:p w14:paraId="0A66A192" w14:textId="77777777" w:rsidR="00F1715C" w:rsidRPr="00D6163D" w:rsidRDefault="00F1715C">
    <w:pPr>
      <w:pStyle w:val="Zhlav"/>
      <w:rPr>
        <w:sz w:val="8"/>
        <w:szCs w:val="8"/>
      </w:rPr>
    </w:pPr>
  </w:p>
  <w:p w14:paraId="1E511065" w14:textId="77777777" w:rsidR="004E655F" w:rsidRDefault="004E655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83D8D3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4A4D64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1C9731F" wp14:editId="685236F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D73BA3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  <w:r w:rsidR="00130434">
            <w:rPr>
              <w:rStyle w:val="slostrnky"/>
            </w:rPr>
            <w:t>v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87A9C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A8916D4" w14:textId="77777777" w:rsidR="00F1715C" w:rsidRPr="00D6163D" w:rsidRDefault="00F1715C" w:rsidP="00FC6389">
          <w:pPr>
            <w:pStyle w:val="Druhdokumentu"/>
          </w:pPr>
        </w:p>
      </w:tc>
    </w:tr>
    <w:tr w:rsidR="00F64786" w14:paraId="4C4DA6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C5E8A43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1EAF0A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D1FE97F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9F46074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5137F3E" wp14:editId="48053B6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985A05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130434" w:rsidRPr="00AE589A">
      <w:rPr>
        <w:noProof/>
        <w:lang w:eastAsia="cs-CZ"/>
      </w:rPr>
      <w:drawing>
        <wp:anchor distT="0" distB="0" distL="114300" distR="114300" simplePos="0" relativeHeight="251683840" behindDoc="0" locked="1" layoutInCell="1" allowOverlap="1" wp14:anchorId="0BC3A127" wp14:editId="6B0A0F63">
          <wp:simplePos x="0" y="0"/>
          <wp:positionH relativeFrom="page">
            <wp:posOffset>431800</wp:posOffset>
          </wp:positionH>
          <wp:positionV relativeFrom="page">
            <wp:posOffset>386715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252918" w14:textId="77777777" w:rsidR="00F1715C" w:rsidRPr="00460660" w:rsidRDefault="00F1715C">
    <w:pPr>
      <w:pStyle w:val="Zhlav"/>
      <w:rPr>
        <w:sz w:val="2"/>
        <w:szCs w:val="2"/>
      </w:rPr>
    </w:pPr>
  </w:p>
  <w:p w14:paraId="1FA6473A" w14:textId="77777777" w:rsidR="004E655F" w:rsidRDefault="004E655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FC22A2"/>
    <w:multiLevelType w:val="hybridMultilevel"/>
    <w:tmpl w:val="EF947F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B75A6"/>
    <w:multiLevelType w:val="hybridMultilevel"/>
    <w:tmpl w:val="07BAB5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4373E"/>
    <w:multiLevelType w:val="hybridMultilevel"/>
    <w:tmpl w:val="3DE615F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88731B"/>
    <w:multiLevelType w:val="hybridMultilevel"/>
    <w:tmpl w:val="17FA2B88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07F0A30"/>
    <w:multiLevelType w:val="hybridMultilevel"/>
    <w:tmpl w:val="00BC99AE"/>
    <w:lvl w:ilvl="0" w:tplc="5AF6E35C">
      <w:start w:val="1"/>
      <w:numFmt w:val="lowerLetter"/>
      <w:lvlText w:val="%1)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7"/>
  </w:num>
  <w:num w:numId="10">
    <w:abstractNumId w:val="5"/>
  </w:num>
  <w:num w:numId="11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3576"/>
    <w:rsid w:val="00033432"/>
    <w:rsid w:val="000335CC"/>
    <w:rsid w:val="00046555"/>
    <w:rsid w:val="000722C9"/>
    <w:rsid w:val="00072C1E"/>
    <w:rsid w:val="000A764C"/>
    <w:rsid w:val="000B6C7E"/>
    <w:rsid w:val="000B7907"/>
    <w:rsid w:val="000C0429"/>
    <w:rsid w:val="000C45E8"/>
    <w:rsid w:val="00114472"/>
    <w:rsid w:val="00130434"/>
    <w:rsid w:val="001308F2"/>
    <w:rsid w:val="00170EC5"/>
    <w:rsid w:val="001747C1"/>
    <w:rsid w:val="00183F83"/>
    <w:rsid w:val="0018596A"/>
    <w:rsid w:val="001B69C2"/>
    <w:rsid w:val="001C4DA0"/>
    <w:rsid w:val="00207DF5"/>
    <w:rsid w:val="00267369"/>
    <w:rsid w:val="0026785D"/>
    <w:rsid w:val="002A4103"/>
    <w:rsid w:val="002B790C"/>
    <w:rsid w:val="002C31BF"/>
    <w:rsid w:val="002E0CD7"/>
    <w:rsid w:val="002F026B"/>
    <w:rsid w:val="00357BC6"/>
    <w:rsid w:val="0037111D"/>
    <w:rsid w:val="003712FC"/>
    <w:rsid w:val="003956C6"/>
    <w:rsid w:val="003D6C4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B3F48"/>
    <w:rsid w:val="004B47B1"/>
    <w:rsid w:val="004C4399"/>
    <w:rsid w:val="004C69ED"/>
    <w:rsid w:val="004C787C"/>
    <w:rsid w:val="004E655F"/>
    <w:rsid w:val="004F4B9B"/>
    <w:rsid w:val="00501654"/>
    <w:rsid w:val="00501F62"/>
    <w:rsid w:val="00511AB9"/>
    <w:rsid w:val="00516E9F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2CAA"/>
    <w:rsid w:val="00584E2A"/>
    <w:rsid w:val="00596C7E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3441"/>
    <w:rsid w:val="00723ED1"/>
    <w:rsid w:val="00735ED4"/>
    <w:rsid w:val="00743525"/>
    <w:rsid w:val="007531A0"/>
    <w:rsid w:val="0076286B"/>
    <w:rsid w:val="00764595"/>
    <w:rsid w:val="0076662B"/>
    <w:rsid w:val="00766846"/>
    <w:rsid w:val="0077673A"/>
    <w:rsid w:val="007846E1"/>
    <w:rsid w:val="007B570C"/>
    <w:rsid w:val="007D3F49"/>
    <w:rsid w:val="007E4A6E"/>
    <w:rsid w:val="007F56A7"/>
    <w:rsid w:val="00806EAA"/>
    <w:rsid w:val="00807DD0"/>
    <w:rsid w:val="00813F11"/>
    <w:rsid w:val="0085203B"/>
    <w:rsid w:val="00891334"/>
    <w:rsid w:val="008A3568"/>
    <w:rsid w:val="008D03B9"/>
    <w:rsid w:val="008F1475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E64F5"/>
    <w:rsid w:val="009F392E"/>
    <w:rsid w:val="00A0371C"/>
    <w:rsid w:val="00A30CC7"/>
    <w:rsid w:val="00A40878"/>
    <w:rsid w:val="00A44328"/>
    <w:rsid w:val="00A6177B"/>
    <w:rsid w:val="00A66136"/>
    <w:rsid w:val="00A92A1A"/>
    <w:rsid w:val="00AA4CBB"/>
    <w:rsid w:val="00AA65FA"/>
    <w:rsid w:val="00AA7351"/>
    <w:rsid w:val="00AD056F"/>
    <w:rsid w:val="00AD2773"/>
    <w:rsid w:val="00AD37C1"/>
    <w:rsid w:val="00AD6731"/>
    <w:rsid w:val="00AE1DDE"/>
    <w:rsid w:val="00B15B5E"/>
    <w:rsid w:val="00B15D0D"/>
    <w:rsid w:val="00B23CA3"/>
    <w:rsid w:val="00B3491A"/>
    <w:rsid w:val="00B43DB4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C80"/>
    <w:rsid w:val="00CC1E2B"/>
    <w:rsid w:val="00CD1FC4"/>
    <w:rsid w:val="00CD56DF"/>
    <w:rsid w:val="00CE371D"/>
    <w:rsid w:val="00CE5FA9"/>
    <w:rsid w:val="00CF55BC"/>
    <w:rsid w:val="00D02A4D"/>
    <w:rsid w:val="00D21061"/>
    <w:rsid w:val="00D316A7"/>
    <w:rsid w:val="00D406A7"/>
    <w:rsid w:val="00D4108E"/>
    <w:rsid w:val="00D6163D"/>
    <w:rsid w:val="00D63009"/>
    <w:rsid w:val="00D757D0"/>
    <w:rsid w:val="00D831A3"/>
    <w:rsid w:val="00D902AD"/>
    <w:rsid w:val="00D91D61"/>
    <w:rsid w:val="00DA6FFE"/>
    <w:rsid w:val="00DC3110"/>
    <w:rsid w:val="00DD46F3"/>
    <w:rsid w:val="00DD58A6"/>
    <w:rsid w:val="00DE56F2"/>
    <w:rsid w:val="00DF116D"/>
    <w:rsid w:val="00E22248"/>
    <w:rsid w:val="00E262F2"/>
    <w:rsid w:val="00E61F76"/>
    <w:rsid w:val="00E824F1"/>
    <w:rsid w:val="00E92785"/>
    <w:rsid w:val="00EA3B56"/>
    <w:rsid w:val="00EB104F"/>
    <w:rsid w:val="00ED14BD"/>
    <w:rsid w:val="00EE000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B7F73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5582830"/>
  <w14:defaultImageDpi w14:val="32767"/>
  <w15:docId w15:val="{90FBB1ED-920C-40F9-929D-7EFE7D2A2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35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35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5CBA6C-205D-4FCB-9AE4-4BF2D955F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60</TotalTime>
  <Pages>5</Pages>
  <Words>2428</Words>
  <Characters>14329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Souček Jaromír, Ing.</cp:lastModifiedBy>
  <cp:revision>8</cp:revision>
  <cp:lastPrinted>2021-11-02T09:11:00Z</cp:lastPrinted>
  <dcterms:created xsi:type="dcterms:W3CDTF">2021-11-01T16:06:00Z</dcterms:created>
  <dcterms:modified xsi:type="dcterms:W3CDTF">2021-11-02T09:11:00Z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