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C54082">
            <w:pPr>
              <w:spacing w:before="0" w:after="0"/>
              <w:ind w:left="0"/>
              <w:rPr>
                <w:rFonts w:eastAsia="Verdana" w:cs="Times New Roman"/>
                <w:sz w:val="14"/>
              </w:rPr>
            </w:pPr>
          </w:p>
        </w:tc>
        <w:tc>
          <w:tcPr>
            <w:tcW w:w="2552" w:type="dxa"/>
          </w:tcPr>
          <w:p w14:paraId="6773A5BB" w14:textId="77777777" w:rsidR="00334C8D" w:rsidRPr="00334C8D"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334C8D">
            <w:pPr>
              <w:spacing w:before="0" w:after="0"/>
              <w:rPr>
                <w:rFonts w:eastAsia="Verdana" w:cs="Times New Roman"/>
                <w:sz w:val="14"/>
              </w:rPr>
            </w:pPr>
            <w:r w:rsidRPr="00334C8D">
              <w:rPr>
                <w:rFonts w:eastAsia="Verdana" w:cs="Times New Roman"/>
                <w:sz w:val="14"/>
              </w:rPr>
              <w:t>Naše zn.</w:t>
            </w:r>
          </w:p>
        </w:tc>
        <w:tc>
          <w:tcPr>
            <w:tcW w:w="2552" w:type="dxa"/>
          </w:tcPr>
          <w:p w14:paraId="04990127" w14:textId="4FB7EB0A" w:rsidR="00334C8D" w:rsidRPr="000E1C8D" w:rsidRDefault="000E1C8D" w:rsidP="000E1C8D">
            <w:pPr>
              <w:spacing w:before="0" w:after="0"/>
              <w:rPr>
                <w:rFonts w:eastAsia="Verdana" w:cs="Times New Roman"/>
                <w:sz w:val="14"/>
              </w:rPr>
            </w:pPr>
            <w:r w:rsidRPr="000E1C8D">
              <w:rPr>
                <w:rFonts w:eastAsia="Verdana" w:cs="Times New Roman"/>
                <w:sz w:val="14"/>
              </w:rPr>
              <w:t>151654</w:t>
            </w:r>
            <w:r w:rsidR="00E663CF" w:rsidRPr="000E1C8D">
              <w:rPr>
                <w:rFonts w:eastAsia="Verdana" w:cs="Times New Roman"/>
                <w:sz w:val="14"/>
              </w:rPr>
              <w:t>/202</w:t>
            </w:r>
            <w:r w:rsidR="00502830" w:rsidRPr="000E1C8D">
              <w:rPr>
                <w:rFonts w:eastAsia="Verdana" w:cs="Times New Roman"/>
                <w:sz w:val="14"/>
              </w:rPr>
              <w:t>1</w:t>
            </w:r>
            <w:r w:rsidR="006E6A12" w:rsidRPr="000E1C8D">
              <w:rPr>
                <w:rFonts w:eastAsia="Verdana" w:cs="Times New Roman"/>
                <w:sz w:val="14"/>
              </w:rPr>
              <w:t>-SŽ-GŘ-O8</w:t>
            </w:r>
          </w:p>
        </w:tc>
        <w:tc>
          <w:tcPr>
            <w:tcW w:w="823" w:type="dxa"/>
          </w:tcPr>
          <w:p w14:paraId="7CCDF574" w14:textId="77EA0C06" w:rsidR="00334C8D" w:rsidRPr="00334C8D" w:rsidRDefault="00BA5659" w:rsidP="003D3C74">
            <w:pPr>
              <w:spacing w:before="0" w:after="0"/>
              <w:rPr>
                <w:rFonts w:eastAsia="Verdana" w:cs="Times New Roman"/>
                <w:sz w:val="14"/>
              </w:rPr>
            </w:pPr>
            <w:r>
              <w:rPr>
                <w:rFonts w:eastAsia="Verdana" w:cs="Times New Roman"/>
                <w:sz w:val="14"/>
              </w:rPr>
              <w:t xml:space="preserve">  </w:t>
            </w: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334C8D">
            <w:pPr>
              <w:spacing w:before="0" w:after="0"/>
              <w:rPr>
                <w:rFonts w:eastAsia="Verdana" w:cs="Times New Roman"/>
                <w:sz w:val="14"/>
              </w:rPr>
            </w:pPr>
            <w:r w:rsidRPr="00334C8D">
              <w:rPr>
                <w:rFonts w:eastAsia="Verdana" w:cs="Times New Roman"/>
                <w:sz w:val="14"/>
              </w:rPr>
              <w:t>Listů/příloh</w:t>
            </w:r>
          </w:p>
        </w:tc>
        <w:tc>
          <w:tcPr>
            <w:tcW w:w="2552" w:type="dxa"/>
          </w:tcPr>
          <w:p w14:paraId="53EF215E" w14:textId="33CDCF9D" w:rsidR="00334C8D" w:rsidRPr="000E1C8D" w:rsidRDefault="00BA5659" w:rsidP="00AE329D">
            <w:pPr>
              <w:spacing w:before="0" w:after="0"/>
              <w:rPr>
                <w:rFonts w:eastAsia="Verdana" w:cs="Times New Roman"/>
                <w:sz w:val="14"/>
              </w:rPr>
            </w:pPr>
            <w:r w:rsidRPr="000E1C8D">
              <w:rPr>
                <w:rFonts w:eastAsia="Verdana" w:cs="Times New Roman"/>
                <w:sz w:val="14"/>
              </w:rPr>
              <w:t>2</w:t>
            </w:r>
            <w:r w:rsidR="00AE329D" w:rsidRPr="000E1C8D">
              <w:rPr>
                <w:rFonts w:eastAsia="Verdana" w:cs="Times New Roman"/>
                <w:sz w:val="14"/>
              </w:rPr>
              <w:t>2</w:t>
            </w:r>
            <w:r w:rsidR="00F54716" w:rsidRPr="000E1C8D">
              <w:rPr>
                <w:rFonts w:eastAsia="Verdana" w:cs="Times New Roman"/>
                <w:sz w:val="14"/>
              </w:rPr>
              <w:t>/</w:t>
            </w:r>
            <w:r w:rsidR="0051719B" w:rsidRPr="000E1C8D">
              <w:rPr>
                <w:rFonts w:eastAsia="Verdana" w:cs="Times New Roman"/>
                <w:sz w:val="14"/>
              </w:rPr>
              <w:t>7</w:t>
            </w: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0E1C8D"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334C8D">
            <w:pPr>
              <w:spacing w:before="0" w:after="0"/>
              <w:rPr>
                <w:rFonts w:eastAsia="Verdana" w:cs="Times New Roman"/>
                <w:sz w:val="14"/>
              </w:rPr>
            </w:pPr>
            <w:r w:rsidRPr="00334C8D">
              <w:rPr>
                <w:rFonts w:eastAsia="Verdana" w:cs="Times New Roman"/>
                <w:sz w:val="14"/>
              </w:rPr>
              <w:t>Vyřizuje</w:t>
            </w:r>
          </w:p>
        </w:tc>
        <w:tc>
          <w:tcPr>
            <w:tcW w:w="2552" w:type="dxa"/>
          </w:tcPr>
          <w:p w14:paraId="1F8D3FEE" w14:textId="0E5E95E6" w:rsidR="00334C8D" w:rsidRPr="000E1C8D" w:rsidRDefault="00502830" w:rsidP="00502830">
            <w:pPr>
              <w:spacing w:before="0" w:after="0"/>
              <w:rPr>
                <w:rFonts w:eastAsia="Verdana" w:cs="Times New Roman"/>
                <w:sz w:val="14"/>
              </w:rPr>
            </w:pPr>
            <w:r w:rsidRPr="000E1C8D">
              <w:rPr>
                <w:rFonts w:eastAsia="Verdana" w:cs="Times New Roman"/>
                <w:sz w:val="14"/>
              </w:rPr>
              <w:t>Bc. Ladislav Škába</w:t>
            </w:r>
            <w:r w:rsidR="00560879" w:rsidRPr="000E1C8D">
              <w:rPr>
                <w:rFonts w:eastAsia="Verdana" w:cs="Times New Roman"/>
                <w:sz w:val="14"/>
              </w:rPr>
              <w:t>, DiS</w:t>
            </w: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334C8D">
            <w:pPr>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0E1C8D" w:rsidRDefault="00F23D8E" w:rsidP="00334C8D">
            <w:pPr>
              <w:spacing w:before="0" w:after="0"/>
              <w:rPr>
                <w:rFonts w:eastAsia="Verdana" w:cs="Times New Roman"/>
                <w:sz w:val="14"/>
              </w:rPr>
            </w:pPr>
            <w:r w:rsidRPr="000E1C8D">
              <w:rPr>
                <w:rFonts w:eastAsia="Verdana" w:cs="Times New Roman"/>
                <w:sz w:val="14"/>
              </w:rPr>
              <w:t>X</w:t>
            </w: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334C8D">
            <w:pPr>
              <w:spacing w:before="0" w:after="0"/>
              <w:rPr>
                <w:rFonts w:eastAsia="Verdana" w:cs="Times New Roman"/>
                <w:sz w:val="14"/>
              </w:rPr>
            </w:pPr>
            <w:r w:rsidRPr="00334C8D">
              <w:rPr>
                <w:rFonts w:eastAsia="Verdana" w:cs="Times New Roman"/>
                <w:sz w:val="14"/>
              </w:rPr>
              <w:t>Mobil</w:t>
            </w:r>
          </w:p>
        </w:tc>
        <w:tc>
          <w:tcPr>
            <w:tcW w:w="2552" w:type="dxa"/>
          </w:tcPr>
          <w:p w14:paraId="2CBD387B" w14:textId="3E5E8E3A" w:rsidR="00334C8D" w:rsidRPr="000E1C8D" w:rsidRDefault="00F23D8E" w:rsidP="00334C8D">
            <w:pPr>
              <w:spacing w:before="0" w:after="0"/>
              <w:rPr>
                <w:rFonts w:eastAsia="Verdana" w:cs="Times New Roman"/>
                <w:sz w:val="14"/>
              </w:rPr>
            </w:pPr>
            <w:r w:rsidRPr="000E1C8D">
              <w:rPr>
                <w:rFonts w:eastAsia="Verdana" w:cs="Times New Roman"/>
                <w:sz w:val="14"/>
              </w:rPr>
              <w:t>X</w:t>
            </w:r>
          </w:p>
        </w:tc>
        <w:tc>
          <w:tcPr>
            <w:tcW w:w="823" w:type="dxa"/>
          </w:tcPr>
          <w:p w14:paraId="722CA4B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334C8D">
            <w:pPr>
              <w:spacing w:before="0" w:after="0"/>
              <w:rPr>
                <w:rFonts w:eastAsia="Verdana" w:cs="Times New Roman"/>
                <w:sz w:val="14"/>
              </w:rPr>
            </w:pPr>
            <w:r w:rsidRPr="00334C8D">
              <w:rPr>
                <w:rFonts w:eastAsia="Verdana" w:cs="Times New Roman"/>
                <w:sz w:val="14"/>
              </w:rPr>
              <w:t>E-mail</w:t>
            </w:r>
          </w:p>
        </w:tc>
        <w:tc>
          <w:tcPr>
            <w:tcW w:w="2552" w:type="dxa"/>
          </w:tcPr>
          <w:p w14:paraId="3D9E5950" w14:textId="1C01967F" w:rsidR="00334C8D" w:rsidRPr="000E1C8D" w:rsidRDefault="00F23D8E" w:rsidP="00334C8D">
            <w:pPr>
              <w:spacing w:before="0" w:after="0"/>
              <w:rPr>
                <w:rFonts w:eastAsia="Verdana" w:cs="Times New Roman"/>
                <w:sz w:val="14"/>
              </w:rPr>
            </w:pPr>
            <w:r w:rsidRPr="000E1C8D">
              <w:rPr>
                <w:rFonts w:eastAsia="Verdana" w:cs="Times New Roman"/>
                <w:sz w:val="14"/>
              </w:rPr>
              <w:t>X</w:t>
            </w:r>
          </w:p>
        </w:tc>
        <w:tc>
          <w:tcPr>
            <w:tcW w:w="823" w:type="dxa"/>
          </w:tcPr>
          <w:p w14:paraId="7ED536B0" w14:textId="77777777" w:rsidR="00334C8D" w:rsidRPr="00334C8D" w:rsidRDefault="00334C8D" w:rsidP="00334C8D">
            <w:pPr>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334C8D">
            <w:pPr>
              <w:spacing w:before="0" w:after="0"/>
              <w:rPr>
                <w:rFonts w:eastAsia="Verdana" w:cs="Times New Roman"/>
                <w:sz w:val="14"/>
              </w:rPr>
            </w:pPr>
          </w:p>
        </w:tc>
        <w:tc>
          <w:tcPr>
            <w:tcW w:w="2552" w:type="dxa"/>
          </w:tcPr>
          <w:p w14:paraId="38FB6C0D" w14:textId="77777777" w:rsidR="00334C8D" w:rsidRPr="000E1C8D" w:rsidRDefault="00334C8D" w:rsidP="00334C8D">
            <w:pPr>
              <w:spacing w:before="0" w:after="0"/>
              <w:rPr>
                <w:rFonts w:eastAsia="Verdana" w:cs="Times New Roman"/>
                <w:sz w:val="14"/>
              </w:rPr>
            </w:pPr>
          </w:p>
        </w:tc>
        <w:tc>
          <w:tcPr>
            <w:tcW w:w="823" w:type="dxa"/>
          </w:tcPr>
          <w:p w14:paraId="206D1035" w14:textId="77777777" w:rsidR="00334C8D" w:rsidRPr="00334C8D" w:rsidRDefault="00334C8D" w:rsidP="00334C8D">
            <w:pPr>
              <w:spacing w:before="0" w:after="0"/>
              <w:rPr>
                <w:rFonts w:eastAsia="Verdana" w:cs="Times New Roman"/>
                <w:sz w:val="14"/>
              </w:rPr>
            </w:pPr>
          </w:p>
        </w:tc>
        <w:tc>
          <w:tcPr>
            <w:tcW w:w="3685" w:type="dxa"/>
          </w:tcPr>
          <w:p w14:paraId="131380CC" w14:textId="77777777" w:rsidR="00334C8D" w:rsidRPr="00334C8D" w:rsidRDefault="00334C8D" w:rsidP="00334C8D">
            <w:pPr>
              <w:spacing w:before="0" w:after="0"/>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334C8D">
            <w:pPr>
              <w:spacing w:before="0" w:after="0"/>
              <w:rPr>
                <w:rFonts w:eastAsia="Verdana" w:cs="Times New Roman"/>
                <w:sz w:val="14"/>
              </w:rPr>
            </w:pPr>
            <w:r w:rsidRPr="00334C8D">
              <w:rPr>
                <w:rFonts w:eastAsia="Verdana" w:cs="Times New Roman"/>
                <w:sz w:val="14"/>
              </w:rPr>
              <w:t>Datum</w:t>
            </w:r>
          </w:p>
        </w:tc>
        <w:tc>
          <w:tcPr>
            <w:tcW w:w="2552" w:type="dxa"/>
          </w:tcPr>
          <w:p w14:paraId="75E00C0B" w14:textId="4E6B936B" w:rsidR="00334C8D" w:rsidRPr="000E1C8D" w:rsidRDefault="00F54716" w:rsidP="00C11988">
            <w:pPr>
              <w:spacing w:before="0" w:after="0"/>
              <w:rPr>
                <w:rFonts w:eastAsia="Verdana" w:cs="Times New Roman"/>
                <w:sz w:val="14"/>
              </w:rPr>
            </w:pPr>
            <w:r w:rsidRPr="000E1C8D">
              <w:rPr>
                <w:rFonts w:eastAsia="Verdana" w:cs="Times New Roman"/>
                <w:sz w:val="14"/>
              </w:rPr>
              <w:t>2</w:t>
            </w:r>
            <w:r w:rsidR="00C11988" w:rsidRPr="000E1C8D">
              <w:rPr>
                <w:rFonts w:eastAsia="Verdana" w:cs="Times New Roman"/>
                <w:sz w:val="14"/>
              </w:rPr>
              <w:t>3</w:t>
            </w:r>
            <w:r w:rsidRPr="000E1C8D">
              <w:rPr>
                <w:rFonts w:eastAsia="Verdana" w:cs="Times New Roman"/>
                <w:sz w:val="14"/>
              </w:rPr>
              <w:t xml:space="preserve">. </w:t>
            </w:r>
            <w:r w:rsidR="00C11988" w:rsidRPr="000E1C8D">
              <w:rPr>
                <w:rFonts w:eastAsia="Verdana" w:cs="Times New Roman"/>
                <w:sz w:val="14"/>
              </w:rPr>
              <w:t>9</w:t>
            </w:r>
            <w:r w:rsidRPr="000E1C8D">
              <w:rPr>
                <w:rFonts w:eastAsia="Verdana" w:cs="Times New Roman"/>
                <w:sz w:val="14"/>
              </w:rPr>
              <w:t>. 202</w:t>
            </w:r>
            <w:r w:rsidR="00502830" w:rsidRPr="000E1C8D">
              <w:rPr>
                <w:rFonts w:eastAsia="Verdana" w:cs="Times New Roman"/>
                <w:sz w:val="14"/>
              </w:rPr>
              <w:t>1</w:t>
            </w:r>
          </w:p>
        </w:tc>
        <w:tc>
          <w:tcPr>
            <w:tcW w:w="823" w:type="dxa"/>
          </w:tcPr>
          <w:p w14:paraId="2F3B0A84" w14:textId="77777777" w:rsidR="00334C8D" w:rsidRPr="00334C8D" w:rsidRDefault="00334C8D" w:rsidP="00334C8D">
            <w:pPr>
              <w:spacing w:before="0" w:after="0"/>
              <w:rPr>
                <w:rFonts w:eastAsia="Verdana" w:cs="Times New Roman"/>
                <w:sz w:val="14"/>
              </w:rPr>
            </w:pPr>
          </w:p>
        </w:tc>
        <w:tc>
          <w:tcPr>
            <w:tcW w:w="3685" w:type="dxa"/>
          </w:tcPr>
          <w:p w14:paraId="070F41FF" w14:textId="77777777" w:rsidR="00334C8D" w:rsidRPr="00334C8D" w:rsidRDefault="00334C8D" w:rsidP="00334C8D">
            <w:pPr>
              <w:spacing w:before="0" w:after="0"/>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334C8D">
            <w:pPr>
              <w:spacing w:before="0" w:after="0"/>
              <w:rPr>
                <w:rFonts w:eastAsia="Verdana" w:cs="Times New Roman"/>
                <w:sz w:val="14"/>
              </w:rPr>
            </w:pPr>
          </w:p>
          <w:p w14:paraId="7B99A1C5" w14:textId="77777777" w:rsidR="00334C8D" w:rsidRPr="00334C8D" w:rsidRDefault="00334C8D" w:rsidP="00334C8D">
            <w:pPr>
              <w:spacing w:before="0" w:after="0"/>
              <w:rPr>
                <w:rFonts w:eastAsia="Verdana" w:cs="Times New Roman"/>
                <w:sz w:val="14"/>
              </w:rPr>
            </w:pPr>
          </w:p>
          <w:p w14:paraId="4FE00371" w14:textId="77777777" w:rsidR="00334C8D" w:rsidRPr="00334C8D" w:rsidRDefault="00334C8D" w:rsidP="00334C8D">
            <w:pPr>
              <w:spacing w:before="0" w:after="0"/>
              <w:rPr>
                <w:rFonts w:eastAsia="Verdana" w:cs="Times New Roman"/>
                <w:sz w:val="14"/>
              </w:rPr>
            </w:pPr>
          </w:p>
        </w:tc>
        <w:tc>
          <w:tcPr>
            <w:tcW w:w="2552" w:type="dxa"/>
          </w:tcPr>
          <w:p w14:paraId="5FF0F013" w14:textId="77777777" w:rsidR="00334C8D" w:rsidRPr="00334C8D" w:rsidRDefault="00334C8D" w:rsidP="00334C8D">
            <w:pPr>
              <w:spacing w:before="0" w:after="0"/>
              <w:rPr>
                <w:rFonts w:eastAsia="Verdana" w:cs="Times New Roman"/>
                <w:sz w:val="14"/>
              </w:rPr>
            </w:pPr>
          </w:p>
        </w:tc>
        <w:tc>
          <w:tcPr>
            <w:tcW w:w="823" w:type="dxa"/>
          </w:tcPr>
          <w:p w14:paraId="3936E391" w14:textId="77777777" w:rsidR="00334C8D" w:rsidRPr="00334C8D" w:rsidRDefault="00334C8D" w:rsidP="00334C8D">
            <w:pPr>
              <w:spacing w:before="0" w:after="0"/>
              <w:rPr>
                <w:rFonts w:eastAsia="Verdana" w:cs="Times New Roman"/>
                <w:sz w:val="14"/>
              </w:rPr>
            </w:pPr>
          </w:p>
        </w:tc>
        <w:tc>
          <w:tcPr>
            <w:tcW w:w="3685" w:type="dxa"/>
          </w:tcPr>
          <w:p w14:paraId="09C50347"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5D636E">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4F9CFE23" w:rsidR="005D636E" w:rsidRPr="005D636E" w:rsidRDefault="005D636E" w:rsidP="005D636E">
      <w:pPr>
        <w:spacing w:after="0" w:line="264" w:lineRule="auto"/>
        <w:rPr>
          <w:rFonts w:eastAsia="Verdana" w:cs="Times New Roman"/>
          <w:noProof/>
          <w:szCs w:val="18"/>
        </w:rPr>
      </w:pPr>
      <w:r w:rsidRPr="005D636E">
        <w:rPr>
          <w:rFonts w:eastAsia="Verdana" w:cs="Times New Roman"/>
          <w:noProof/>
          <w:szCs w:val="18"/>
        </w:rPr>
        <w:t xml:space="preserve">k </w:t>
      </w:r>
      <w:r w:rsidRPr="00E663CF">
        <w:rPr>
          <w:rFonts w:eastAsia="Verdana" w:cs="Times New Roman"/>
          <w:noProof/>
          <w:szCs w:val="18"/>
        </w:rPr>
        <w:t xml:space="preserve">nadlimitní sektorové veřejné zakázce 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Content>
          <w:r w:rsidR="00E663CF" w:rsidRPr="00E663CF">
            <w:rPr>
              <w:rFonts w:eastAsia="Verdana" w:cs="Times New Roman"/>
              <w:noProof/>
              <w:szCs w:val="18"/>
            </w:rPr>
            <w:t>služby</w:t>
          </w:r>
        </w:sdtContent>
      </w:sdt>
      <w:r w:rsidRPr="00E663CF">
        <w:rPr>
          <w:rFonts w:eastAsia="Verdana" w:cs="Times New Roman"/>
          <w:noProof/>
          <w:szCs w:val="18"/>
        </w:rPr>
        <w:t xml:space="preserve"> zadávané v</w:t>
      </w:r>
      <w:r w:rsidRPr="005D636E">
        <w:rPr>
          <w:rFonts w:eastAsia="Verdana" w:cs="Times New Roman"/>
          <w:noProof/>
          <w:szCs w:val="18"/>
        </w:rPr>
        <w:t> otevřeném řízení podle § 56 zákona č. 134/2016 Sb., o zadávání veřejných zakázek, ve znění pozdějších předpisů (dále jen „ZZVZ“), s názvem</w:t>
      </w:r>
    </w:p>
    <w:p w14:paraId="1B3846E0" w14:textId="2AA651D2" w:rsidR="005D636E" w:rsidRPr="005D636E" w:rsidRDefault="005D636E" w:rsidP="005D636E">
      <w:pPr>
        <w:keepNext/>
        <w:keepLines/>
        <w:spacing w:after="240" w:line="264" w:lineRule="auto"/>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CA0FE1">
        <w:rPr>
          <w:rFonts w:eastAsia="Times New Roman" w:cs="Times New Roman"/>
          <w:b/>
          <w:noProof/>
          <w:color w:val="00A1E0"/>
          <w:sz w:val="24"/>
          <w:szCs w:val="24"/>
        </w:rPr>
        <w:t>Pojištění odpovědnosti za</w:t>
      </w:r>
      <w:r w:rsidR="00A60FCD">
        <w:rPr>
          <w:rFonts w:eastAsia="Times New Roman" w:cs="Times New Roman"/>
          <w:b/>
          <w:noProof/>
          <w:color w:val="00A1E0"/>
          <w:sz w:val="24"/>
          <w:szCs w:val="24"/>
        </w:rPr>
        <w:t xml:space="preserve"> </w:t>
      </w:r>
      <w:r w:rsidR="00CA0FE1">
        <w:rPr>
          <w:rFonts w:eastAsia="Times New Roman" w:cs="Times New Roman"/>
          <w:b/>
          <w:noProof/>
          <w:color w:val="00A1E0"/>
          <w:sz w:val="24"/>
          <w:szCs w:val="24"/>
        </w:rPr>
        <w:t>újmu vzniklou jinému v souvislosti se zajištěním provozování železniční dopravní cesty a její provozuschopnosti, zajišťování údržby, opravy, rozvoje, modernizace železniční dopravní cesty, prováděním staveb</w:t>
      </w:r>
      <w:r w:rsidR="001F7BE8">
        <w:rPr>
          <w:rFonts w:eastAsia="Times New Roman" w:cs="Times New Roman"/>
          <w:b/>
          <w:noProof/>
          <w:color w:val="00A1E0"/>
          <w:sz w:val="24"/>
          <w:szCs w:val="24"/>
        </w:rPr>
        <w:t>, provozováním drah v souvislosti s činnostmi zadavatele vyplývajícími z obchodního rejstříku</w:t>
      </w:r>
      <w:r w:rsidR="00CA0FE1">
        <w:rPr>
          <w:rFonts w:eastAsia="Times New Roman" w:cs="Times New Roman"/>
          <w:b/>
          <w:noProof/>
          <w:color w:val="00A1E0"/>
          <w:sz w:val="24"/>
          <w:szCs w:val="24"/>
        </w:rPr>
        <w:t xml:space="preserve"> na období roku 202</w:t>
      </w:r>
      <w:r w:rsidR="00502830">
        <w:rPr>
          <w:rFonts w:eastAsia="Times New Roman" w:cs="Times New Roman"/>
          <w:b/>
          <w:noProof/>
          <w:color w:val="00A1E0"/>
          <w:sz w:val="24"/>
          <w:szCs w:val="24"/>
        </w:rPr>
        <w:t>2</w:t>
      </w:r>
      <w:r w:rsidRPr="005D636E">
        <w:rPr>
          <w:rFonts w:eastAsia="Times New Roman" w:cs="Times New Roman"/>
          <w:b/>
          <w:noProof/>
          <w:color w:val="00A1E0"/>
          <w:sz w:val="24"/>
          <w:szCs w:val="24"/>
        </w:rPr>
        <w:t>“</w:t>
      </w:r>
    </w:p>
    <w:p w14:paraId="5903CE80" w14:textId="77777777" w:rsidR="005D636E" w:rsidRPr="005D636E" w:rsidRDefault="005D636E" w:rsidP="005D636E">
      <w:pPr>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5D636E">
      <w:pPr>
        <w:spacing w:after="240" w:line="264" w:lineRule="auto"/>
        <w:rPr>
          <w:rFonts w:eastAsia="Verdana" w:cs="Times New Roman"/>
          <w:szCs w:val="18"/>
        </w:rPr>
      </w:pPr>
    </w:p>
    <w:p w14:paraId="1AEB8DB2" w14:textId="77777777" w:rsidR="005D636E" w:rsidRPr="005D636E" w:rsidRDefault="005D636E" w:rsidP="005D636E">
      <w:pPr>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2D7BD8FB"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E663CF" w:rsidRPr="00E663CF">
        <w:rPr>
          <w:rFonts w:eastAsia="Verdana" w:cs="Times New Roman"/>
          <w:b/>
          <w:noProof/>
          <w:szCs w:val="18"/>
        </w:rPr>
        <w:t>Bc. Jiřím Svobodou, MBA</w:t>
      </w:r>
      <w:r w:rsidR="00E663CF">
        <w:rPr>
          <w:rFonts w:eastAsia="Verdana" w:cs="Times New Roman"/>
          <w:noProof/>
          <w:szCs w:val="18"/>
        </w:rPr>
        <w:t>, generálním ředitelem</w:t>
      </w:r>
    </w:p>
    <w:p w14:paraId="367010D3" w14:textId="5E3865BC" w:rsidR="00334C8D"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Profil Zadavatele: </w:t>
      </w:r>
      <w:r w:rsidRPr="005D636E">
        <w:rPr>
          <w:rFonts w:eastAsia="Verdana" w:cs="Times New Roman"/>
          <w:noProof/>
          <w:szCs w:val="18"/>
        </w:rPr>
        <w:tab/>
      </w:r>
      <w:hyperlink r:id="rId12"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4424EF0" w14:textId="77777777" w:rsidR="005D636E" w:rsidRPr="005D636E" w:rsidRDefault="005D636E" w:rsidP="00494D00">
      <w:pPr>
        <w:pStyle w:val="Normlnlnek"/>
      </w:pPr>
      <w:bookmarkStart w:id="0" w:name="_Toc523304445"/>
      <w:bookmarkStart w:id="1" w:name="_Toc6474818"/>
      <w:bookmarkStart w:id="2" w:name="_Toc523304909"/>
      <w:r w:rsidRPr="005D636E">
        <w:lastRenderedPageBreak/>
        <w:t>Druh veřejné zakázky</w:t>
      </w:r>
      <w:bookmarkEnd w:id="0"/>
      <w:bookmarkEnd w:id="1"/>
      <w:bookmarkEnd w:id="2"/>
      <w:r w:rsidRPr="005D636E">
        <w:t xml:space="preserve"> a zadávacího řízení:</w:t>
      </w:r>
    </w:p>
    <w:p w14:paraId="7EDB1052" w14:textId="0C89D9B3" w:rsidR="005D636E" w:rsidRPr="005D636E" w:rsidRDefault="005D636E" w:rsidP="009808BE">
      <w:pPr>
        <w:pStyle w:val="Normlnodstavec"/>
      </w:pPr>
      <w:r w:rsidRPr="005D636E">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Content>
          <w:r w:rsidR="00E663CF">
            <w:t>služby</w:t>
          </w:r>
        </w:sdtContent>
      </w:sdt>
      <w:r w:rsidRPr="005D636E">
        <w:t>.</w:t>
      </w:r>
    </w:p>
    <w:p w14:paraId="350E1067" w14:textId="77777777" w:rsidR="005D636E" w:rsidRPr="009808BE" w:rsidRDefault="005D636E" w:rsidP="009808BE">
      <w:pPr>
        <w:pStyle w:val="Normlnodstavec"/>
      </w:pPr>
      <w:r w:rsidRPr="005D636E">
        <w:t xml:space="preserve">Zadavatel zadává veřejnou zakázku v souvislosti s výkonem své relevantní </w:t>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w:instrText>
      </w:r>
      <w:r w:rsidR="009808BE">
        <w:instrText xml:space="preserve"> \* MERGEFORMAT </w:instrText>
      </w:r>
      <w:r w:rsidR="00106DBF">
        <w:fldChar w:fldCharType="end"/>
      </w:r>
      <w:r w:rsidRPr="005D636E">
        <w:t>činnosti ve smyslu § 153 odst. 1. písm. f) ZZVZ. Jedná se proto o</w:t>
      </w:r>
      <w:bookmarkStart w:id="3" w:name="dodávky"/>
      <w:bookmarkEnd w:id="3"/>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\h </w:instrText>
      </w:r>
      <w:r w:rsidR="009808BE">
        <w:instrText xml:space="preserve"> \* MERGEFORMAT </w:instrText>
      </w:r>
      <w:r w:rsidR="00106DBF">
        <w:fldChar w:fldCharType="end"/>
      </w:r>
      <w:r w:rsidRPr="005D636E">
        <w:t xml:space="preserve"> </w:t>
      </w:r>
      <w:r w:rsidRPr="009808BE">
        <w:t xml:space="preserve">sektorovou veřejnou zakázku. </w:t>
      </w:r>
    </w:p>
    <w:p w14:paraId="77980792" w14:textId="77777777" w:rsidR="005D636E" w:rsidRPr="005D636E" w:rsidRDefault="005D636E" w:rsidP="00494D00">
      <w:pPr>
        <w:pStyle w:val="Normlnodstavec"/>
      </w:pPr>
      <w:r w:rsidRPr="005D636E">
        <w:t xml:space="preserve">Veřejná zakázka je v souladu s § 56 a násl. ZZVZ zadávána jako </w:t>
      </w:r>
      <w:r w:rsidRPr="00CA0FE1">
        <w:t>nadlimitní sektorová veřejná zakázka na</w:t>
      </w:r>
      <w:r w:rsidR="00BF35C5" w:rsidRPr="00CA0FE1">
        <w:t xml:space="preserve"> </w:t>
      </w:r>
      <w:sdt>
        <w:sdtPr>
          <w:alias w:val="Klíčová slova"/>
          <w:tag w:val=""/>
          <w:id w:val="1710990039"/>
          <w:placeholder>
            <w:docPart w:val="1F4E547E8C934A9281BD6BAA8D64E737"/>
          </w:placeholder>
          <w:dataBinding w:prefixMappings="xmlns:ns0='http://purl.org/dc/elements/1.1/' xmlns:ns1='http://schemas.openxmlformats.org/package/2006/metadata/core-properties' " w:xpath="/ns1:coreProperties[1]/ns1:keywords[1]" w:storeItemID="{6C3C8BC8-F283-45AE-878A-BAB7291924A1}"/>
          <w:text/>
        </w:sdtPr>
        <w:sdtContent>
          <w:r w:rsidR="00E663CF" w:rsidRPr="00CA0FE1">
            <w:t>služby</w:t>
          </w:r>
        </w:sdtContent>
      </w:sdt>
      <w:r w:rsidR="00C75D1D" w:rsidRPr="00CA0FE1">
        <w:t xml:space="preserve"> </w:t>
      </w:r>
      <w:r w:rsidRPr="00BE041C">
        <w:t>v </w:t>
      </w:r>
      <w:r w:rsidRPr="00BE041C">
        <w:rPr>
          <w:b/>
        </w:rPr>
        <w:t xml:space="preserve">otevřeném řízení </w:t>
      </w:r>
      <w:r w:rsidRPr="00BE041C">
        <w:t>ve</w:t>
      </w:r>
      <w:r w:rsidRPr="00CA0FE1">
        <w:t xml:space="preserve"> smyslu § 3 písm. b) ZZVZ.</w:t>
      </w:r>
      <w:r w:rsidRPr="005D636E">
        <w:t xml:space="preserve">  </w:t>
      </w:r>
    </w:p>
    <w:p w14:paraId="1E67692C" w14:textId="52F251AB" w:rsidR="005D636E" w:rsidRDefault="00CA0FE1" w:rsidP="00494D00">
      <w:pPr>
        <w:pStyle w:val="Normlnlnek"/>
      </w:pPr>
      <w:r>
        <w:t>Účel veřejné zakázky</w:t>
      </w:r>
    </w:p>
    <w:p w14:paraId="003A7DA7" w14:textId="05615524" w:rsidR="001874F6" w:rsidRPr="001874F6" w:rsidRDefault="00CA0FE1" w:rsidP="00CA0FE1">
      <w:pPr>
        <w:pStyle w:val="Normlnodstavec"/>
        <w:numPr>
          <w:ilvl w:val="0"/>
          <w:numId w:val="0"/>
        </w:numPr>
      </w:pPr>
      <w:r>
        <w:t>Účelem veřejné zakázky je splnění povinností daných zákonem č. 266/1994 Sb., o dr</w:t>
      </w:r>
      <w:r w:rsidR="00A60FCD">
        <w:t>á</w:t>
      </w:r>
      <w:r>
        <w:t>hách, ve znění pozdějších předpisů, a celkové snížení provozních nákladů zadavatele v případě náhrady újmy vzniklé třetím osobám.</w:t>
      </w:r>
    </w:p>
    <w:p w14:paraId="237C4FA7" w14:textId="26AE7FAE" w:rsidR="00E016CE" w:rsidRPr="00C11988" w:rsidRDefault="005D636E">
      <w:pPr>
        <w:pStyle w:val="Normlnlnek"/>
      </w:pPr>
      <w:r w:rsidRPr="00C11988">
        <w:t>Předpokládaná hodnota</w:t>
      </w:r>
    </w:p>
    <w:p w14:paraId="5F5E24DC" w14:textId="35712879" w:rsidR="004D222F" w:rsidRPr="00C11988" w:rsidRDefault="004D222F" w:rsidP="00494D00">
      <w:pPr>
        <w:pStyle w:val="Normlnodstavec"/>
      </w:pPr>
      <w:r w:rsidRPr="00C11988">
        <w:t xml:space="preserve">Předpokládaná </w:t>
      </w:r>
      <w:r w:rsidR="00822BCA" w:rsidRPr="00C11988">
        <w:t>hodnota veřejné zakázky</w:t>
      </w:r>
      <w:r w:rsidR="00C14192" w:rsidRPr="00C11988">
        <w:t>, zahrnující veškeré náklady spojené s plněním předmětu Veřejné zakázky,</w:t>
      </w:r>
      <w:r w:rsidR="00822BCA" w:rsidRPr="00C11988">
        <w:t xml:space="preserve"> činí </w:t>
      </w:r>
      <w:r w:rsidR="00560879" w:rsidRPr="00C11988">
        <w:t>3</w:t>
      </w:r>
      <w:r w:rsidR="00822BCA" w:rsidRPr="00C11988">
        <w:t>9.000.000,-</w:t>
      </w:r>
      <w:r w:rsidRPr="00C11988">
        <w:t xml:space="preserve"> Kč bez DPH</w:t>
      </w:r>
      <w:r w:rsidR="00C14192" w:rsidRPr="00C11988">
        <w:t xml:space="preserve"> za celou dobu plnění předmětu Veřejné zakázky, tj. pojistné období 12 kalendářních měsíců</w:t>
      </w:r>
      <w:r w:rsidRPr="00C11988">
        <w:t>.</w:t>
      </w:r>
    </w:p>
    <w:p w14:paraId="53C12C85" w14:textId="1A1618EA" w:rsidR="009B77AC" w:rsidRPr="00C11988" w:rsidRDefault="009B77AC" w:rsidP="00494D00">
      <w:pPr>
        <w:pStyle w:val="Normlnodstavec"/>
      </w:pPr>
      <w:r w:rsidRPr="00C11988">
        <w:t xml:space="preserve">Předpokládaná hodnota veřejné zakázky byla stanovena na základě předběžné tržní konzultace specifikované v čl. </w:t>
      </w:r>
      <w:r w:rsidRPr="00C11988">
        <w:fldChar w:fldCharType="begin"/>
      </w:r>
      <w:r w:rsidRPr="00C11988">
        <w:instrText xml:space="preserve"> REF _Ref51242376 \r \h </w:instrText>
      </w:r>
      <w:r w:rsidR="00C11988">
        <w:instrText xml:space="preserve"> \* MERGEFORMAT </w:instrText>
      </w:r>
      <w:r w:rsidRPr="00C11988">
        <w:fldChar w:fldCharType="separate"/>
      </w:r>
      <w:r w:rsidR="00BE6226" w:rsidRPr="00C11988">
        <w:t>24</w:t>
      </w:r>
      <w:r w:rsidRPr="00C11988">
        <w:fldChar w:fldCharType="end"/>
      </w:r>
      <w:r w:rsidRPr="00C11988">
        <w:t xml:space="preserve"> této Zadávací dokumentace.</w:t>
      </w:r>
    </w:p>
    <w:p w14:paraId="39B905C2" w14:textId="77777777" w:rsidR="005D636E" w:rsidRPr="00C11988" w:rsidRDefault="005D636E" w:rsidP="00494D00">
      <w:pPr>
        <w:pStyle w:val="Normlnlnek"/>
      </w:pPr>
      <w:r w:rsidRPr="00C11988">
        <w:t>Předmět plnění veřejné zakázky a další informace:</w:t>
      </w:r>
    </w:p>
    <w:p w14:paraId="0A1EA44B" w14:textId="70DE94C4" w:rsidR="005D636E" w:rsidRPr="00BE041C" w:rsidRDefault="005D636E" w:rsidP="00494D00">
      <w:pPr>
        <w:pStyle w:val="Normlnodstavec"/>
      </w:pPr>
      <w:r w:rsidRPr="005D636E">
        <w:t>Předmět plnění veřejné zakázky</w:t>
      </w:r>
      <w:r w:rsidR="00CA0FE1">
        <w:t xml:space="preserve"> je uzavření pojistné smlouvy pro případ právním předpisem stanovené odpovědnosti za újmu vzniklou jinému v souvislosti se zajištěním provozování železniční dopravní cesty a její provozuschopnosti, se zajištováním údržby, opravy, rozvoje a modernizace železniční dopravní cesty, prováděním staveb, provozováním celostátní dráhy a regionálních drah, v souvislosti s činnostmi vyplývajícími z předmětu podnikání a předmětu činnosti, uvedenými ve výpisu z </w:t>
      </w:r>
      <w:r w:rsidR="00CA0FE1" w:rsidRPr="00BE041C">
        <w:t>obchodního rejstříku a v souvislosti s provozem neveřejné drážní dopravy podle zákona č. 266/1994 Sb., o dr</w:t>
      </w:r>
      <w:r w:rsidR="00A60FCD" w:rsidRPr="00BE041C">
        <w:t>á</w:t>
      </w:r>
      <w:r w:rsidR="006E54B9" w:rsidRPr="00BE041C">
        <w:t>h</w:t>
      </w:r>
      <w:r w:rsidR="00CA0FE1" w:rsidRPr="00BE041C">
        <w:t>ách, ve znění pozdějších předpisů (dále jen „zákon o dr</w:t>
      </w:r>
      <w:r w:rsidR="00A60FCD" w:rsidRPr="00BE041C">
        <w:t>á</w:t>
      </w:r>
      <w:r w:rsidR="006E54B9" w:rsidRPr="00BE041C">
        <w:t>h</w:t>
      </w:r>
      <w:r w:rsidR="00CA0FE1" w:rsidRPr="00BE041C">
        <w:t>ách“)</w:t>
      </w:r>
    </w:p>
    <w:p w14:paraId="1FDC93C1" w14:textId="77777777" w:rsidR="00A4797C"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Předmět plnění veřejné zakázky zahrnuje (rozsah pojistného plnění požadovaného zadavatelem):</w:t>
      </w:r>
    </w:p>
    <w:tbl>
      <w:tblPr>
        <w:tblW w:w="8220" w:type="dxa"/>
        <w:jc w:val="center"/>
        <w:tblCellMar>
          <w:left w:w="70" w:type="dxa"/>
          <w:right w:w="70" w:type="dxa"/>
        </w:tblCellMar>
        <w:tblLook w:val="0000" w:firstRow="0" w:lastRow="0" w:firstColumn="0" w:lastColumn="0" w:noHBand="0" w:noVBand="0"/>
      </w:tblPr>
      <w:tblGrid>
        <w:gridCol w:w="3540"/>
        <w:gridCol w:w="2260"/>
        <w:gridCol w:w="2420"/>
      </w:tblGrid>
      <w:tr w:rsidR="00A4797C" w:rsidRPr="005A6032" w14:paraId="14D1A26A" w14:textId="77777777" w:rsidTr="00A4797C">
        <w:trPr>
          <w:trHeight w:val="409"/>
          <w:jc w:val="center"/>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tcPr>
          <w:p w14:paraId="6C1D235C" w14:textId="77777777" w:rsidR="00A4797C" w:rsidRPr="005A6032" w:rsidRDefault="00A4797C" w:rsidP="00A4797C">
            <w:pPr>
              <w:jc w:val="center"/>
              <w:rPr>
                <w:rFonts w:cs="Arial"/>
                <w:i/>
                <w:iCs/>
              </w:rPr>
            </w:pPr>
            <w:bookmarkStart w:id="4" w:name="OLE_LINK2"/>
            <w:r w:rsidRPr="005A6032">
              <w:rPr>
                <w:rFonts w:cs="Arial"/>
                <w:i/>
                <w:iCs/>
              </w:rPr>
              <w:t>Rozsah pojištění</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4E26EDE" w14:textId="77777777" w:rsidR="00A4797C" w:rsidRPr="005A6032" w:rsidRDefault="00A4797C" w:rsidP="00A4797C">
            <w:pPr>
              <w:jc w:val="center"/>
              <w:rPr>
                <w:rFonts w:cs="Arial"/>
                <w:i/>
                <w:iCs/>
              </w:rPr>
            </w:pPr>
            <w:r w:rsidRPr="005A6032">
              <w:rPr>
                <w:rFonts w:cs="Arial"/>
                <w:i/>
                <w:iCs/>
              </w:rPr>
              <w:t>Limit plnění pro 1 a v souhrnu všechny škody za rok</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14:paraId="6DC40A72" w14:textId="77777777" w:rsidR="00A4797C" w:rsidRPr="005A6032" w:rsidRDefault="00A4797C" w:rsidP="00A4797C">
            <w:pPr>
              <w:jc w:val="center"/>
              <w:rPr>
                <w:rFonts w:cs="Arial"/>
                <w:i/>
                <w:iCs/>
              </w:rPr>
            </w:pPr>
            <w:r w:rsidRPr="005A6032">
              <w:rPr>
                <w:rFonts w:cs="Arial"/>
                <w:i/>
                <w:iCs/>
              </w:rPr>
              <w:t>Spoluúčast</w:t>
            </w:r>
          </w:p>
        </w:tc>
      </w:tr>
      <w:tr w:rsidR="00A4797C" w:rsidRPr="005A6032" w14:paraId="30184EDF" w14:textId="77777777" w:rsidTr="00A4797C">
        <w:trPr>
          <w:trHeight w:hRule="exact" w:val="567"/>
          <w:jc w:val="center"/>
        </w:trPr>
        <w:tc>
          <w:tcPr>
            <w:tcW w:w="8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07EAB" w14:textId="77777777" w:rsidR="00A4797C" w:rsidRPr="005A6032" w:rsidRDefault="00A4797C" w:rsidP="00A4797C">
            <w:pPr>
              <w:rPr>
                <w:rFonts w:cs="Arial"/>
              </w:rPr>
            </w:pPr>
            <w:r w:rsidRPr="005A6032">
              <w:rPr>
                <w:rFonts w:cs="Arial"/>
                <w:b/>
                <w:bCs/>
              </w:rPr>
              <w:t>Pojištění odpovědnosti za újmu nebo škodu (újmu na jmění):</w:t>
            </w:r>
          </w:p>
        </w:tc>
      </w:tr>
      <w:tr w:rsidR="00A4797C" w:rsidRPr="005A6032" w14:paraId="6DDDA965" w14:textId="77777777" w:rsidTr="00A4797C">
        <w:trPr>
          <w:trHeight w:hRule="exact" w:val="1701"/>
          <w:jc w:val="center"/>
        </w:trPr>
        <w:tc>
          <w:tcPr>
            <w:tcW w:w="3540" w:type="dxa"/>
            <w:tcBorders>
              <w:top w:val="single" w:sz="4" w:space="0" w:color="auto"/>
              <w:left w:val="single" w:sz="8" w:space="0" w:color="auto"/>
              <w:bottom w:val="nil"/>
              <w:right w:val="nil"/>
            </w:tcBorders>
            <w:shd w:val="clear" w:color="auto" w:fill="auto"/>
          </w:tcPr>
          <w:p w14:paraId="2F96984E" w14:textId="77777777" w:rsidR="00A4797C" w:rsidRPr="005A6032" w:rsidRDefault="00A4797C" w:rsidP="00A4797C">
            <w:pPr>
              <w:rPr>
                <w:rFonts w:cs="Arial"/>
                <w:b/>
                <w:bCs/>
              </w:rPr>
            </w:pPr>
            <w:r w:rsidRPr="005A6032">
              <w:rPr>
                <w:rFonts w:cs="Arial"/>
                <w:b/>
                <w:bCs/>
              </w:rPr>
              <w:t>ze zajištění provozování železniční dopravní cesty a její provozuschopnosti, ze zajištění údržby, opravy, rozvoje, modernizace železniční dopravní cesty</w:t>
            </w:r>
          </w:p>
          <w:p w14:paraId="3F5DB344" w14:textId="77777777" w:rsidR="00A4797C" w:rsidRPr="005A6032" w:rsidRDefault="00A4797C" w:rsidP="00A4797C">
            <w:pPr>
              <w:rPr>
                <w:rFonts w:cs="Arial"/>
                <w:b/>
                <w:bCs/>
              </w:rPr>
            </w:pPr>
          </w:p>
          <w:p w14:paraId="08B303C2" w14:textId="77777777" w:rsidR="00A4797C" w:rsidRPr="005A6032" w:rsidRDefault="00A4797C" w:rsidP="00A4797C">
            <w:pPr>
              <w:rPr>
                <w:rFonts w:cs="Arial"/>
                <w:b/>
                <w:bCs/>
              </w:rPr>
            </w:pPr>
          </w:p>
          <w:p w14:paraId="56A3EAF6" w14:textId="77777777" w:rsidR="00A4797C" w:rsidRPr="005A6032" w:rsidRDefault="00A4797C" w:rsidP="00A4797C">
            <w:pPr>
              <w:rPr>
                <w:rFonts w:cs="Arial"/>
                <w:b/>
                <w:bCs/>
              </w:rPr>
            </w:pPr>
          </w:p>
          <w:p w14:paraId="6979D620" w14:textId="77777777" w:rsidR="00A4797C" w:rsidRPr="005A6032" w:rsidRDefault="00A4797C" w:rsidP="00A4797C">
            <w:pPr>
              <w:rPr>
                <w:rFonts w:cs="Arial"/>
                <w:b/>
                <w:bCs/>
              </w:rPr>
            </w:pPr>
          </w:p>
          <w:p w14:paraId="02188603" w14:textId="77777777" w:rsidR="00A4797C" w:rsidRPr="005A6032" w:rsidRDefault="00A4797C" w:rsidP="00A4797C">
            <w:pPr>
              <w:rPr>
                <w:rFonts w:cs="Arial"/>
                <w:b/>
                <w:bCs/>
              </w:rPr>
            </w:pPr>
          </w:p>
        </w:tc>
        <w:tc>
          <w:tcPr>
            <w:tcW w:w="2260" w:type="dxa"/>
            <w:vMerge w:val="restart"/>
            <w:tcBorders>
              <w:top w:val="single" w:sz="4" w:space="0" w:color="auto"/>
              <w:left w:val="single" w:sz="8" w:space="0" w:color="auto"/>
              <w:bottom w:val="nil"/>
              <w:right w:val="single" w:sz="4" w:space="0" w:color="auto"/>
            </w:tcBorders>
            <w:shd w:val="clear" w:color="auto" w:fill="auto"/>
            <w:noWrap/>
            <w:vAlign w:val="center"/>
          </w:tcPr>
          <w:p w14:paraId="01D9C24A" w14:textId="77777777" w:rsidR="00A4797C" w:rsidRPr="005A6032" w:rsidRDefault="00A4797C" w:rsidP="00A4797C">
            <w:pPr>
              <w:jc w:val="center"/>
              <w:rPr>
                <w:rFonts w:cs="Arial"/>
              </w:rPr>
            </w:pPr>
          </w:p>
        </w:tc>
        <w:tc>
          <w:tcPr>
            <w:tcW w:w="2420" w:type="dxa"/>
            <w:vMerge w:val="restart"/>
            <w:tcBorders>
              <w:top w:val="single" w:sz="4" w:space="0" w:color="auto"/>
              <w:left w:val="single" w:sz="4" w:space="0" w:color="auto"/>
              <w:bottom w:val="nil"/>
              <w:right w:val="single" w:sz="8" w:space="0" w:color="auto"/>
            </w:tcBorders>
            <w:shd w:val="clear" w:color="auto" w:fill="auto"/>
            <w:noWrap/>
            <w:vAlign w:val="center"/>
          </w:tcPr>
          <w:p w14:paraId="19FF2FE8" w14:textId="77777777" w:rsidR="00A4797C" w:rsidRPr="005A6032" w:rsidRDefault="00A4797C" w:rsidP="00A4797C">
            <w:pPr>
              <w:jc w:val="center"/>
              <w:rPr>
                <w:rFonts w:cs="Arial"/>
              </w:rPr>
            </w:pPr>
          </w:p>
        </w:tc>
      </w:tr>
      <w:tr w:rsidR="00A4797C" w:rsidRPr="005A6032" w14:paraId="117AB7F4" w14:textId="77777777" w:rsidTr="00A4797C">
        <w:trPr>
          <w:trHeight w:hRule="exact" w:val="567"/>
          <w:jc w:val="center"/>
        </w:trPr>
        <w:tc>
          <w:tcPr>
            <w:tcW w:w="3540" w:type="dxa"/>
            <w:tcBorders>
              <w:top w:val="nil"/>
              <w:left w:val="single" w:sz="8" w:space="0" w:color="auto"/>
              <w:bottom w:val="nil"/>
              <w:right w:val="nil"/>
            </w:tcBorders>
            <w:shd w:val="clear" w:color="auto" w:fill="auto"/>
          </w:tcPr>
          <w:p w14:paraId="6BB88344" w14:textId="01BDA9DA" w:rsidR="00A4797C" w:rsidRPr="005A6032" w:rsidRDefault="00A4797C" w:rsidP="00A4797C">
            <w:pPr>
              <w:rPr>
                <w:rFonts w:cs="Arial"/>
                <w:b/>
                <w:bCs/>
              </w:rPr>
            </w:pPr>
            <w:r w:rsidRPr="005A6032">
              <w:rPr>
                <w:rFonts w:cs="Arial"/>
                <w:b/>
                <w:bCs/>
              </w:rPr>
              <w:lastRenderedPageBreak/>
              <w:t xml:space="preserve">&amp; provozování celostátní dráhy </w:t>
            </w:r>
            <w:r w:rsidR="001F7BE8">
              <w:rPr>
                <w:rFonts w:cs="Arial"/>
                <w:b/>
                <w:bCs/>
              </w:rPr>
              <w:t>a regionálních drah</w:t>
            </w:r>
            <w:r w:rsidRPr="005A6032">
              <w:rPr>
                <w:rFonts w:cs="Arial"/>
                <w:b/>
                <w:bCs/>
              </w:rPr>
              <w:br/>
              <w:t>a regionálních drah</w:t>
            </w:r>
          </w:p>
        </w:tc>
        <w:tc>
          <w:tcPr>
            <w:tcW w:w="2260" w:type="dxa"/>
            <w:vMerge/>
            <w:tcBorders>
              <w:top w:val="nil"/>
              <w:left w:val="single" w:sz="8" w:space="0" w:color="auto"/>
              <w:bottom w:val="nil"/>
              <w:right w:val="single" w:sz="4" w:space="0" w:color="auto"/>
            </w:tcBorders>
            <w:vAlign w:val="center"/>
          </w:tcPr>
          <w:p w14:paraId="2090ADD5" w14:textId="77777777" w:rsidR="00A4797C" w:rsidRPr="005A6032" w:rsidRDefault="00A4797C" w:rsidP="00A4797C">
            <w:pPr>
              <w:jc w:val="center"/>
              <w:rPr>
                <w:rFonts w:cs="Arial"/>
              </w:rPr>
            </w:pPr>
          </w:p>
        </w:tc>
        <w:tc>
          <w:tcPr>
            <w:tcW w:w="2420" w:type="dxa"/>
            <w:vMerge/>
            <w:tcBorders>
              <w:top w:val="nil"/>
              <w:left w:val="single" w:sz="4" w:space="0" w:color="auto"/>
              <w:bottom w:val="nil"/>
              <w:right w:val="single" w:sz="8" w:space="0" w:color="auto"/>
            </w:tcBorders>
            <w:vAlign w:val="center"/>
          </w:tcPr>
          <w:p w14:paraId="69698E08" w14:textId="77777777" w:rsidR="00A4797C" w:rsidRPr="005A6032" w:rsidRDefault="00A4797C" w:rsidP="00A4797C">
            <w:pPr>
              <w:jc w:val="center"/>
              <w:rPr>
                <w:rFonts w:cs="Arial"/>
              </w:rPr>
            </w:pPr>
          </w:p>
        </w:tc>
      </w:tr>
      <w:tr w:rsidR="00A4797C" w:rsidRPr="005A6032" w14:paraId="301C1B0F" w14:textId="77777777" w:rsidTr="00A4797C">
        <w:trPr>
          <w:trHeight w:hRule="exact" w:val="492"/>
          <w:jc w:val="center"/>
        </w:trPr>
        <w:tc>
          <w:tcPr>
            <w:tcW w:w="3540" w:type="dxa"/>
            <w:tcBorders>
              <w:top w:val="nil"/>
              <w:left w:val="single" w:sz="8" w:space="0" w:color="auto"/>
              <w:bottom w:val="single" w:sz="8" w:space="0" w:color="auto"/>
              <w:right w:val="nil"/>
            </w:tcBorders>
            <w:shd w:val="clear" w:color="auto" w:fill="auto"/>
          </w:tcPr>
          <w:p w14:paraId="2BEFC676" w14:textId="77777777" w:rsidR="00A4797C" w:rsidRPr="005A6032" w:rsidRDefault="00A4797C" w:rsidP="00A4797C">
            <w:pPr>
              <w:rPr>
                <w:rFonts w:cs="Arial"/>
                <w:b/>
                <w:bCs/>
              </w:rPr>
            </w:pPr>
            <w:r w:rsidRPr="005A6032">
              <w:rPr>
                <w:rFonts w:cs="Arial"/>
                <w:b/>
                <w:bCs/>
              </w:rPr>
              <w:t>&amp; provádění staveb</w:t>
            </w:r>
          </w:p>
        </w:tc>
        <w:tc>
          <w:tcPr>
            <w:tcW w:w="2260" w:type="dxa"/>
            <w:tcBorders>
              <w:top w:val="nil"/>
              <w:left w:val="single" w:sz="8" w:space="0" w:color="auto"/>
              <w:bottom w:val="single" w:sz="8" w:space="0" w:color="auto"/>
              <w:right w:val="single" w:sz="4" w:space="0" w:color="auto"/>
            </w:tcBorders>
            <w:shd w:val="clear" w:color="auto" w:fill="auto"/>
            <w:vAlign w:val="center"/>
          </w:tcPr>
          <w:p w14:paraId="289D66E6" w14:textId="77777777" w:rsidR="00A4797C" w:rsidRPr="005A6032" w:rsidRDefault="00A4797C" w:rsidP="00F17F40">
            <w:pPr>
              <w:ind w:left="0"/>
              <w:jc w:val="right"/>
              <w:rPr>
                <w:rFonts w:cs="Arial"/>
              </w:rPr>
            </w:pPr>
            <w:r w:rsidRPr="005A6032">
              <w:rPr>
                <w:rFonts w:cs="Arial"/>
              </w:rPr>
              <w:t>100.000.000,- Kč</w:t>
            </w:r>
          </w:p>
        </w:tc>
        <w:tc>
          <w:tcPr>
            <w:tcW w:w="2420" w:type="dxa"/>
            <w:tcBorders>
              <w:top w:val="nil"/>
              <w:left w:val="nil"/>
              <w:bottom w:val="single" w:sz="8" w:space="0" w:color="auto"/>
              <w:right w:val="single" w:sz="8" w:space="0" w:color="auto"/>
            </w:tcBorders>
            <w:shd w:val="clear" w:color="auto" w:fill="auto"/>
            <w:vAlign w:val="center"/>
          </w:tcPr>
          <w:p w14:paraId="39814AB7" w14:textId="77777777" w:rsidR="00A4797C" w:rsidRPr="005A6032" w:rsidRDefault="00A4797C" w:rsidP="00A4797C">
            <w:pPr>
              <w:jc w:val="center"/>
              <w:rPr>
                <w:rFonts w:cs="Arial"/>
              </w:rPr>
            </w:pPr>
            <w:r w:rsidRPr="005A6032">
              <w:rPr>
                <w:rFonts w:cs="Arial"/>
              </w:rPr>
              <w:t>1.000.000,- Kč</w:t>
            </w:r>
          </w:p>
        </w:tc>
      </w:tr>
      <w:tr w:rsidR="00A4797C" w:rsidRPr="005A6032" w14:paraId="09954F56" w14:textId="77777777" w:rsidTr="00A4797C">
        <w:trPr>
          <w:trHeight w:val="255"/>
          <w:jc w:val="center"/>
        </w:trPr>
        <w:tc>
          <w:tcPr>
            <w:tcW w:w="3540" w:type="dxa"/>
            <w:tcBorders>
              <w:top w:val="nil"/>
              <w:left w:val="single" w:sz="8" w:space="0" w:color="auto"/>
              <w:bottom w:val="nil"/>
              <w:right w:val="nil"/>
            </w:tcBorders>
            <w:shd w:val="clear" w:color="auto" w:fill="auto"/>
          </w:tcPr>
          <w:p w14:paraId="4146DA5A" w14:textId="77777777" w:rsidR="00A4797C" w:rsidRPr="005A6032" w:rsidRDefault="00A4797C" w:rsidP="00A4797C">
            <w:pPr>
              <w:rPr>
                <w:rFonts w:cs="Arial"/>
                <w:b/>
                <w:bCs/>
              </w:rPr>
            </w:pPr>
            <w:r w:rsidRPr="005A6032">
              <w:rPr>
                <w:rFonts w:cs="Arial"/>
                <w:b/>
                <w:bCs/>
              </w:rPr>
              <w:t>z provozování neveřejné drážní dopravy podle zák. č. 266/1994 Sb., o dr</w:t>
            </w:r>
            <w:r>
              <w:rPr>
                <w:rFonts w:cs="Arial"/>
                <w:b/>
                <w:bCs/>
              </w:rPr>
              <w:t>á</w:t>
            </w:r>
            <w:r w:rsidRPr="005A6032">
              <w:rPr>
                <w:rFonts w:cs="Arial"/>
                <w:b/>
                <w:bCs/>
              </w:rPr>
              <w:t>hách</w:t>
            </w:r>
          </w:p>
        </w:tc>
        <w:tc>
          <w:tcPr>
            <w:tcW w:w="2260" w:type="dxa"/>
            <w:tcBorders>
              <w:top w:val="single" w:sz="8" w:space="0" w:color="auto"/>
              <w:left w:val="single" w:sz="8" w:space="0" w:color="auto"/>
              <w:bottom w:val="nil"/>
              <w:right w:val="single" w:sz="4" w:space="0" w:color="auto"/>
            </w:tcBorders>
            <w:shd w:val="clear" w:color="auto" w:fill="auto"/>
            <w:noWrap/>
            <w:vAlign w:val="center"/>
          </w:tcPr>
          <w:p w14:paraId="5633889C" w14:textId="77777777" w:rsidR="00A4797C" w:rsidRPr="005A6032" w:rsidRDefault="00A4797C" w:rsidP="00A4797C">
            <w:pPr>
              <w:jc w:val="center"/>
              <w:rPr>
                <w:rFonts w:cs="Arial"/>
              </w:rPr>
            </w:pPr>
          </w:p>
        </w:tc>
        <w:tc>
          <w:tcPr>
            <w:tcW w:w="2420" w:type="dxa"/>
            <w:tcBorders>
              <w:top w:val="single" w:sz="8" w:space="0" w:color="auto"/>
              <w:left w:val="nil"/>
              <w:bottom w:val="nil"/>
              <w:right w:val="single" w:sz="8" w:space="0" w:color="auto"/>
            </w:tcBorders>
            <w:shd w:val="clear" w:color="auto" w:fill="auto"/>
            <w:noWrap/>
            <w:vAlign w:val="center"/>
          </w:tcPr>
          <w:p w14:paraId="120CA151" w14:textId="77777777" w:rsidR="00A4797C" w:rsidRPr="005A6032" w:rsidRDefault="00A4797C" w:rsidP="00A4797C">
            <w:pPr>
              <w:jc w:val="center"/>
              <w:rPr>
                <w:rFonts w:cs="Arial"/>
              </w:rPr>
            </w:pPr>
          </w:p>
        </w:tc>
      </w:tr>
      <w:tr w:rsidR="00A4797C" w:rsidRPr="005A6032" w14:paraId="0C0C6DDB" w14:textId="77777777" w:rsidTr="00A4797C">
        <w:trPr>
          <w:trHeight w:val="270"/>
          <w:jc w:val="center"/>
        </w:trPr>
        <w:tc>
          <w:tcPr>
            <w:tcW w:w="3540" w:type="dxa"/>
            <w:tcBorders>
              <w:top w:val="nil"/>
              <w:left w:val="single" w:sz="8" w:space="0" w:color="auto"/>
              <w:bottom w:val="single" w:sz="4" w:space="0" w:color="auto"/>
              <w:right w:val="nil"/>
            </w:tcBorders>
            <w:shd w:val="clear" w:color="auto" w:fill="auto"/>
          </w:tcPr>
          <w:p w14:paraId="40113E7B" w14:textId="77777777" w:rsidR="00A4797C" w:rsidRPr="005A6032" w:rsidRDefault="00A4797C" w:rsidP="00A4797C">
            <w:pPr>
              <w:rPr>
                <w:rFonts w:cs="Arial"/>
                <w:i/>
                <w:iCs/>
              </w:rPr>
            </w:pPr>
            <w:proofErr w:type="spellStart"/>
            <w:r w:rsidRPr="005A6032">
              <w:rPr>
                <w:rFonts w:cs="Arial"/>
                <w:i/>
                <w:iCs/>
              </w:rPr>
              <w:t>sublimit</w:t>
            </w:r>
            <w:proofErr w:type="spellEnd"/>
            <w:r w:rsidRPr="005A6032">
              <w:rPr>
                <w:rFonts w:cs="Arial"/>
                <w:i/>
                <w:iCs/>
              </w:rPr>
              <w:t xml:space="preserve"> plnění</w:t>
            </w:r>
          </w:p>
        </w:tc>
        <w:tc>
          <w:tcPr>
            <w:tcW w:w="2260" w:type="dxa"/>
            <w:tcBorders>
              <w:top w:val="nil"/>
              <w:left w:val="single" w:sz="8" w:space="0" w:color="auto"/>
              <w:bottom w:val="single" w:sz="4" w:space="0" w:color="auto"/>
              <w:right w:val="single" w:sz="4" w:space="0" w:color="auto"/>
            </w:tcBorders>
            <w:shd w:val="clear" w:color="auto" w:fill="auto"/>
            <w:vAlign w:val="center"/>
          </w:tcPr>
          <w:p w14:paraId="7096BCE9" w14:textId="77777777" w:rsidR="00A4797C" w:rsidRPr="005A6032" w:rsidRDefault="00A4797C" w:rsidP="00F17F40">
            <w:pPr>
              <w:ind w:left="0"/>
              <w:jc w:val="right"/>
              <w:rPr>
                <w:rFonts w:cs="Arial"/>
              </w:rPr>
            </w:pPr>
            <w:r w:rsidRPr="005A6032">
              <w:rPr>
                <w:rFonts w:cs="Arial"/>
              </w:rPr>
              <w:t>100.000.000,- Kč</w:t>
            </w:r>
          </w:p>
        </w:tc>
        <w:tc>
          <w:tcPr>
            <w:tcW w:w="2420" w:type="dxa"/>
            <w:tcBorders>
              <w:top w:val="nil"/>
              <w:left w:val="nil"/>
              <w:bottom w:val="single" w:sz="4" w:space="0" w:color="auto"/>
              <w:right w:val="single" w:sz="8" w:space="0" w:color="auto"/>
            </w:tcBorders>
            <w:shd w:val="clear" w:color="auto" w:fill="auto"/>
            <w:vAlign w:val="center"/>
          </w:tcPr>
          <w:p w14:paraId="61DA3ABE" w14:textId="77777777" w:rsidR="00A4797C" w:rsidRPr="005A6032" w:rsidRDefault="00A4797C" w:rsidP="00A4797C">
            <w:pPr>
              <w:jc w:val="center"/>
              <w:rPr>
                <w:rFonts w:cs="Arial"/>
              </w:rPr>
            </w:pPr>
            <w:r w:rsidRPr="005A6032">
              <w:rPr>
                <w:rFonts w:cs="Arial"/>
              </w:rPr>
              <w:t>1.000.000,- Kč</w:t>
            </w:r>
          </w:p>
        </w:tc>
      </w:tr>
      <w:tr w:rsidR="00A4797C" w:rsidRPr="005A6032" w14:paraId="508C8667" w14:textId="77777777" w:rsidTr="00A4797C">
        <w:trPr>
          <w:trHeight w:val="1080"/>
          <w:jc w:val="center"/>
        </w:trPr>
        <w:tc>
          <w:tcPr>
            <w:tcW w:w="3540" w:type="dxa"/>
            <w:tcBorders>
              <w:top w:val="single" w:sz="4" w:space="0" w:color="auto"/>
              <w:left w:val="single" w:sz="4" w:space="0" w:color="auto"/>
              <w:bottom w:val="nil"/>
              <w:right w:val="nil"/>
            </w:tcBorders>
            <w:shd w:val="clear" w:color="auto" w:fill="auto"/>
          </w:tcPr>
          <w:p w14:paraId="53DF3470" w14:textId="77777777" w:rsidR="00A4797C" w:rsidRPr="005A6032" w:rsidRDefault="00A4797C" w:rsidP="00A4797C">
            <w:pPr>
              <w:rPr>
                <w:rFonts w:cs="Arial"/>
                <w:b/>
                <w:bCs/>
              </w:rPr>
            </w:pPr>
            <w:r w:rsidRPr="005A6032">
              <w:rPr>
                <w:rFonts w:cs="Arial"/>
                <w:b/>
                <w:bCs/>
              </w:rPr>
              <w:t>z ostatních činností vyplývajících z předmětu podnikání a předmětu činnosti, uvedených ve výpisu z obchodního rejstříku zadavatele</w:t>
            </w:r>
            <w:r w:rsidRPr="005A6032">
              <w:rPr>
                <w:rFonts w:cs="Arial"/>
              </w:rPr>
              <w:t xml:space="preserve"> včetně odpovědnosti za škodu na vnesených nebo odložených věcech</w:t>
            </w:r>
          </w:p>
        </w:tc>
        <w:tc>
          <w:tcPr>
            <w:tcW w:w="2260" w:type="dxa"/>
            <w:tcBorders>
              <w:top w:val="single" w:sz="4" w:space="0" w:color="auto"/>
              <w:left w:val="single" w:sz="8" w:space="0" w:color="auto"/>
              <w:bottom w:val="nil"/>
              <w:right w:val="single" w:sz="4" w:space="0" w:color="auto"/>
            </w:tcBorders>
            <w:shd w:val="clear" w:color="auto" w:fill="auto"/>
            <w:noWrap/>
            <w:vAlign w:val="center"/>
          </w:tcPr>
          <w:p w14:paraId="34EB8A46" w14:textId="77777777" w:rsidR="00A4797C" w:rsidRPr="005A6032" w:rsidRDefault="00A4797C" w:rsidP="00A4797C">
            <w:pPr>
              <w:jc w:val="center"/>
              <w:rPr>
                <w:rFonts w:cs="Arial"/>
              </w:rPr>
            </w:pPr>
          </w:p>
        </w:tc>
        <w:tc>
          <w:tcPr>
            <w:tcW w:w="2420" w:type="dxa"/>
            <w:tcBorders>
              <w:top w:val="single" w:sz="4" w:space="0" w:color="auto"/>
              <w:left w:val="nil"/>
              <w:bottom w:val="nil"/>
              <w:right w:val="single" w:sz="4" w:space="0" w:color="auto"/>
            </w:tcBorders>
            <w:shd w:val="clear" w:color="auto" w:fill="auto"/>
            <w:noWrap/>
            <w:vAlign w:val="center"/>
          </w:tcPr>
          <w:p w14:paraId="4B247440" w14:textId="77777777" w:rsidR="00A4797C" w:rsidRPr="005A6032" w:rsidRDefault="00A4797C" w:rsidP="00A4797C">
            <w:pPr>
              <w:jc w:val="center"/>
              <w:rPr>
                <w:rFonts w:cs="Arial"/>
              </w:rPr>
            </w:pPr>
          </w:p>
        </w:tc>
      </w:tr>
      <w:tr w:rsidR="00A4797C" w:rsidRPr="005A6032" w14:paraId="36516327" w14:textId="77777777" w:rsidTr="00A4797C">
        <w:trPr>
          <w:trHeight w:val="285"/>
          <w:jc w:val="center"/>
        </w:trPr>
        <w:tc>
          <w:tcPr>
            <w:tcW w:w="3540" w:type="dxa"/>
            <w:tcBorders>
              <w:top w:val="nil"/>
              <w:left w:val="single" w:sz="4" w:space="0" w:color="auto"/>
              <w:bottom w:val="single" w:sz="4" w:space="0" w:color="auto"/>
              <w:right w:val="nil"/>
            </w:tcBorders>
            <w:shd w:val="clear" w:color="auto" w:fill="auto"/>
          </w:tcPr>
          <w:p w14:paraId="3A0CFE60" w14:textId="77777777" w:rsidR="00A4797C" w:rsidRPr="005A6032" w:rsidRDefault="00A4797C" w:rsidP="00A4797C">
            <w:pPr>
              <w:rPr>
                <w:rFonts w:cs="Arial"/>
                <w:i/>
                <w:iCs/>
              </w:rPr>
            </w:pPr>
            <w:proofErr w:type="spellStart"/>
            <w:r w:rsidRPr="005A6032">
              <w:rPr>
                <w:rFonts w:cs="Arial"/>
                <w:i/>
                <w:iCs/>
              </w:rPr>
              <w:t>sublimit</w:t>
            </w:r>
            <w:proofErr w:type="spellEnd"/>
            <w:r w:rsidRPr="005A6032">
              <w:rPr>
                <w:rFonts w:cs="Arial"/>
                <w:i/>
                <w:iCs/>
              </w:rPr>
              <w:t xml:space="preserve"> plnění</w:t>
            </w:r>
          </w:p>
        </w:tc>
        <w:tc>
          <w:tcPr>
            <w:tcW w:w="2260" w:type="dxa"/>
            <w:tcBorders>
              <w:top w:val="nil"/>
              <w:left w:val="single" w:sz="8" w:space="0" w:color="auto"/>
              <w:bottom w:val="single" w:sz="4" w:space="0" w:color="auto"/>
              <w:right w:val="single" w:sz="4" w:space="0" w:color="auto"/>
            </w:tcBorders>
            <w:shd w:val="clear" w:color="auto" w:fill="auto"/>
            <w:vAlign w:val="center"/>
          </w:tcPr>
          <w:p w14:paraId="1F87845D" w14:textId="77777777" w:rsidR="00A4797C" w:rsidRPr="005A6032" w:rsidRDefault="00A4797C" w:rsidP="00A4797C">
            <w:pPr>
              <w:jc w:val="center"/>
              <w:rPr>
                <w:rFonts w:cs="Arial"/>
              </w:rPr>
            </w:pPr>
            <w:r w:rsidRPr="005A6032">
              <w:rPr>
                <w:rFonts w:cs="Arial"/>
              </w:rPr>
              <w:t>50.000.000,- Kč</w:t>
            </w:r>
          </w:p>
        </w:tc>
        <w:tc>
          <w:tcPr>
            <w:tcW w:w="2420" w:type="dxa"/>
            <w:tcBorders>
              <w:top w:val="nil"/>
              <w:left w:val="nil"/>
              <w:bottom w:val="single" w:sz="4" w:space="0" w:color="auto"/>
              <w:right w:val="single" w:sz="4" w:space="0" w:color="auto"/>
            </w:tcBorders>
            <w:shd w:val="clear" w:color="auto" w:fill="auto"/>
            <w:vAlign w:val="center"/>
          </w:tcPr>
          <w:p w14:paraId="2CEDB54F" w14:textId="77777777" w:rsidR="00A4797C" w:rsidRPr="005A6032" w:rsidRDefault="00A4797C" w:rsidP="00A4797C">
            <w:pPr>
              <w:jc w:val="center"/>
              <w:rPr>
                <w:rFonts w:cs="Arial"/>
              </w:rPr>
            </w:pPr>
            <w:r w:rsidRPr="005A6032">
              <w:rPr>
                <w:rFonts w:cs="Arial"/>
              </w:rPr>
              <w:t>10.000,- Kč</w:t>
            </w:r>
          </w:p>
        </w:tc>
      </w:tr>
      <w:tr w:rsidR="00A4797C" w:rsidRPr="005A6032" w14:paraId="2B21DF63" w14:textId="77777777" w:rsidTr="00A4797C">
        <w:trPr>
          <w:trHeight w:val="550"/>
          <w:jc w:val="center"/>
        </w:trPr>
        <w:tc>
          <w:tcPr>
            <w:tcW w:w="3540" w:type="dxa"/>
            <w:tcBorders>
              <w:top w:val="single" w:sz="4" w:space="0" w:color="auto"/>
              <w:left w:val="single" w:sz="8" w:space="0" w:color="auto"/>
              <w:bottom w:val="nil"/>
              <w:right w:val="single" w:sz="8" w:space="0" w:color="auto"/>
            </w:tcBorders>
            <w:shd w:val="clear" w:color="auto" w:fill="auto"/>
          </w:tcPr>
          <w:p w14:paraId="6B55A5A2" w14:textId="77777777" w:rsidR="00A4797C" w:rsidRPr="005A6032" w:rsidRDefault="00A4797C" w:rsidP="00A4797C">
            <w:pPr>
              <w:rPr>
                <w:rFonts w:cs="Arial"/>
                <w:b/>
                <w:bCs/>
              </w:rPr>
            </w:pPr>
            <w:r w:rsidRPr="005A6032">
              <w:rPr>
                <w:rFonts w:cs="Arial"/>
                <w:b/>
                <w:bCs/>
              </w:rPr>
              <w:t>na cizí věci užívané + převzaté*</w:t>
            </w:r>
            <w:r w:rsidRPr="005A6032">
              <w:rPr>
                <w:rFonts w:cs="Arial"/>
                <w:b/>
                <w:bCs/>
                <w:vertAlign w:val="superscript"/>
              </w:rPr>
              <w:t>)</w:t>
            </w:r>
          </w:p>
        </w:tc>
        <w:tc>
          <w:tcPr>
            <w:tcW w:w="2260" w:type="dxa"/>
            <w:vMerge w:val="restart"/>
            <w:tcBorders>
              <w:top w:val="single" w:sz="4" w:space="0" w:color="auto"/>
              <w:left w:val="single" w:sz="8" w:space="0" w:color="auto"/>
              <w:bottom w:val="nil"/>
              <w:right w:val="single" w:sz="4" w:space="0" w:color="auto"/>
            </w:tcBorders>
            <w:shd w:val="clear" w:color="auto" w:fill="auto"/>
            <w:vAlign w:val="center"/>
          </w:tcPr>
          <w:p w14:paraId="4FC02938" w14:textId="77777777" w:rsidR="00A4797C" w:rsidRPr="005A6032" w:rsidRDefault="00A4797C" w:rsidP="00A4797C">
            <w:pPr>
              <w:jc w:val="center"/>
              <w:rPr>
                <w:rFonts w:cs="Arial"/>
              </w:rPr>
            </w:pPr>
            <w:r w:rsidRPr="005A6032">
              <w:rPr>
                <w:rFonts w:cs="Arial"/>
              </w:rPr>
              <w:t>5.000.000,- Kč</w:t>
            </w:r>
          </w:p>
        </w:tc>
        <w:tc>
          <w:tcPr>
            <w:tcW w:w="2420" w:type="dxa"/>
            <w:vMerge w:val="restart"/>
            <w:tcBorders>
              <w:top w:val="single" w:sz="4" w:space="0" w:color="auto"/>
              <w:left w:val="single" w:sz="4" w:space="0" w:color="auto"/>
              <w:bottom w:val="nil"/>
              <w:right w:val="single" w:sz="8" w:space="0" w:color="auto"/>
            </w:tcBorders>
            <w:shd w:val="clear" w:color="auto" w:fill="auto"/>
            <w:vAlign w:val="center"/>
          </w:tcPr>
          <w:p w14:paraId="19FA1C71" w14:textId="77777777" w:rsidR="00A4797C" w:rsidRPr="005A6032" w:rsidRDefault="00A4797C" w:rsidP="00F17F40">
            <w:pPr>
              <w:ind w:left="0"/>
              <w:jc w:val="right"/>
              <w:rPr>
                <w:rFonts w:cs="Arial"/>
              </w:rPr>
            </w:pPr>
            <w:r w:rsidRPr="005A6032">
              <w:rPr>
                <w:rFonts w:cs="Arial"/>
              </w:rPr>
              <w:t>10 %, min. 50.000,- Kč</w:t>
            </w:r>
          </w:p>
        </w:tc>
      </w:tr>
      <w:tr w:rsidR="00A4797C" w:rsidRPr="005A6032" w14:paraId="00C385F1" w14:textId="77777777" w:rsidTr="00A4797C">
        <w:trPr>
          <w:trHeight w:val="396"/>
          <w:jc w:val="center"/>
        </w:trPr>
        <w:tc>
          <w:tcPr>
            <w:tcW w:w="3540" w:type="dxa"/>
            <w:tcBorders>
              <w:top w:val="nil"/>
              <w:left w:val="single" w:sz="8" w:space="0" w:color="auto"/>
              <w:bottom w:val="single" w:sz="8" w:space="0" w:color="auto"/>
              <w:right w:val="single" w:sz="8" w:space="0" w:color="auto"/>
            </w:tcBorders>
            <w:shd w:val="clear" w:color="auto" w:fill="auto"/>
          </w:tcPr>
          <w:p w14:paraId="4D83A59E" w14:textId="77777777" w:rsidR="00A4797C" w:rsidRPr="005A6032" w:rsidRDefault="00A4797C" w:rsidP="00A4797C">
            <w:pPr>
              <w:rPr>
                <w:rFonts w:cs="Arial"/>
                <w:i/>
                <w:i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vMerge/>
            <w:tcBorders>
              <w:top w:val="nil"/>
              <w:left w:val="single" w:sz="8" w:space="0" w:color="auto"/>
              <w:bottom w:val="single" w:sz="4" w:space="0" w:color="auto"/>
              <w:right w:val="single" w:sz="4" w:space="0" w:color="auto"/>
            </w:tcBorders>
            <w:vAlign w:val="center"/>
          </w:tcPr>
          <w:p w14:paraId="4E757145" w14:textId="77777777" w:rsidR="00A4797C" w:rsidRPr="005A6032" w:rsidRDefault="00A4797C" w:rsidP="00A4797C">
            <w:pPr>
              <w:jc w:val="center"/>
              <w:rPr>
                <w:rFonts w:cs="Arial"/>
              </w:rPr>
            </w:pPr>
          </w:p>
        </w:tc>
        <w:tc>
          <w:tcPr>
            <w:tcW w:w="2420" w:type="dxa"/>
            <w:vMerge/>
            <w:tcBorders>
              <w:top w:val="nil"/>
              <w:left w:val="single" w:sz="4" w:space="0" w:color="auto"/>
              <w:bottom w:val="single" w:sz="4" w:space="0" w:color="auto"/>
              <w:right w:val="single" w:sz="8" w:space="0" w:color="auto"/>
            </w:tcBorders>
            <w:vAlign w:val="center"/>
          </w:tcPr>
          <w:p w14:paraId="0A8739DD" w14:textId="77777777" w:rsidR="00A4797C" w:rsidRPr="005A6032" w:rsidRDefault="00A4797C" w:rsidP="00A4797C">
            <w:pPr>
              <w:jc w:val="center"/>
              <w:rPr>
                <w:rFonts w:cs="Arial"/>
              </w:rPr>
            </w:pPr>
          </w:p>
        </w:tc>
      </w:tr>
      <w:tr w:rsidR="00A4797C" w:rsidRPr="005A6032" w14:paraId="25DC540E" w14:textId="77777777" w:rsidTr="00A4797C">
        <w:trPr>
          <w:trHeight w:hRule="exact" w:val="2084"/>
          <w:jc w:val="center"/>
        </w:trPr>
        <w:tc>
          <w:tcPr>
            <w:tcW w:w="3540" w:type="dxa"/>
            <w:tcBorders>
              <w:top w:val="nil"/>
              <w:left w:val="single" w:sz="8" w:space="0" w:color="auto"/>
              <w:bottom w:val="single" w:sz="8" w:space="0" w:color="auto"/>
              <w:right w:val="single" w:sz="8" w:space="0" w:color="auto"/>
            </w:tcBorders>
            <w:shd w:val="clear" w:color="auto" w:fill="auto"/>
          </w:tcPr>
          <w:p w14:paraId="67F619EF" w14:textId="77777777" w:rsidR="00A4797C" w:rsidRPr="005A6032" w:rsidRDefault="00A4797C" w:rsidP="00A4797C">
            <w:pPr>
              <w:rPr>
                <w:rFonts w:cs="Arial"/>
                <w:i/>
                <w:iCs/>
              </w:rPr>
            </w:pPr>
            <w:r w:rsidRPr="005A6032">
              <w:rPr>
                <w:rFonts w:cs="Arial"/>
                <w:b/>
                <w:bCs/>
              </w:rPr>
              <w:t>na náhradu nákladů vynaložených zdravotní pojišťovnou a regresní náhradu orgánu nemocenského pojištění za dávku nemocenského pojištění (zaměstnanci pojištěného)</w:t>
            </w:r>
          </w:p>
        </w:tc>
        <w:tc>
          <w:tcPr>
            <w:tcW w:w="2260" w:type="dxa"/>
            <w:tcBorders>
              <w:top w:val="single" w:sz="4" w:space="0" w:color="auto"/>
              <w:left w:val="single" w:sz="8" w:space="0" w:color="auto"/>
              <w:right w:val="single" w:sz="4" w:space="0" w:color="auto"/>
            </w:tcBorders>
            <w:vAlign w:val="center"/>
          </w:tcPr>
          <w:p w14:paraId="674DC62E" w14:textId="77777777" w:rsidR="00A4797C" w:rsidRPr="005A6032" w:rsidRDefault="00A4797C" w:rsidP="00A4797C">
            <w:pPr>
              <w:jc w:val="center"/>
              <w:rPr>
                <w:rFonts w:cs="Arial"/>
              </w:rPr>
            </w:pPr>
            <w:r w:rsidRPr="005A6032">
              <w:rPr>
                <w:rFonts w:cs="Arial"/>
              </w:rPr>
              <w:br/>
              <w:t>5.000.000,- Kč</w:t>
            </w:r>
          </w:p>
        </w:tc>
        <w:tc>
          <w:tcPr>
            <w:tcW w:w="2420" w:type="dxa"/>
            <w:tcBorders>
              <w:top w:val="single" w:sz="4" w:space="0" w:color="auto"/>
              <w:left w:val="single" w:sz="4" w:space="0" w:color="auto"/>
              <w:bottom w:val="nil"/>
              <w:right w:val="single" w:sz="8" w:space="0" w:color="auto"/>
            </w:tcBorders>
            <w:vAlign w:val="center"/>
          </w:tcPr>
          <w:p w14:paraId="2DB8CEA5" w14:textId="77777777" w:rsidR="00A4797C" w:rsidRPr="005A6032" w:rsidRDefault="00A4797C" w:rsidP="00A4797C">
            <w:pPr>
              <w:jc w:val="center"/>
              <w:rPr>
                <w:rFonts w:cs="Arial"/>
              </w:rPr>
            </w:pPr>
            <w:r w:rsidRPr="005A6032">
              <w:rPr>
                <w:rFonts w:cs="Arial"/>
              </w:rPr>
              <w:br/>
            </w:r>
            <w:r w:rsidRPr="001D7718">
              <w:rPr>
                <w:rFonts w:cs="Arial"/>
              </w:rPr>
              <w:t>5.000,- Kč</w:t>
            </w:r>
          </w:p>
        </w:tc>
      </w:tr>
      <w:tr w:rsidR="00A4797C" w:rsidRPr="005A6032" w14:paraId="12A229F9" w14:textId="77777777" w:rsidTr="00A4797C">
        <w:trPr>
          <w:trHeight w:val="1320"/>
          <w:jc w:val="center"/>
        </w:trPr>
        <w:tc>
          <w:tcPr>
            <w:tcW w:w="3540" w:type="dxa"/>
            <w:tcBorders>
              <w:top w:val="single" w:sz="8" w:space="0" w:color="auto"/>
              <w:left w:val="single" w:sz="8" w:space="0" w:color="auto"/>
              <w:bottom w:val="nil"/>
              <w:right w:val="nil"/>
            </w:tcBorders>
            <w:shd w:val="clear" w:color="auto" w:fill="auto"/>
          </w:tcPr>
          <w:p w14:paraId="109154D6" w14:textId="77777777" w:rsidR="00A4797C" w:rsidRPr="005A6032" w:rsidRDefault="00A4797C" w:rsidP="00A4797C">
            <w:pPr>
              <w:rPr>
                <w:rFonts w:cs="Arial"/>
                <w:b/>
                <w:bCs/>
              </w:rPr>
            </w:pPr>
            <w:r w:rsidRPr="005A6032">
              <w:rPr>
                <w:rFonts w:cs="Arial"/>
                <w:b/>
                <w:bCs/>
              </w:rPr>
              <w:t>na železniční infrastruktuře</w:t>
            </w:r>
            <w:r w:rsidRPr="005A6032">
              <w:rPr>
                <w:rFonts w:cs="Arial"/>
              </w:rPr>
              <w:t xml:space="preserve">, </w:t>
            </w:r>
            <w:r w:rsidRPr="005A6032">
              <w:rPr>
                <w:rFonts w:cs="Arial"/>
              </w:rPr>
              <w:br/>
              <w:t>tj. železničních dr</w:t>
            </w:r>
            <w:r>
              <w:rPr>
                <w:rFonts w:cs="Arial"/>
              </w:rPr>
              <w:t>á</w:t>
            </w:r>
            <w:r w:rsidRPr="005A6032">
              <w:rPr>
                <w:rFonts w:cs="Arial"/>
              </w:rPr>
              <w:t xml:space="preserve">hách, signalizačních systémech, závorách </w:t>
            </w:r>
            <w:r w:rsidRPr="005A6032">
              <w:rPr>
                <w:rFonts w:cs="Arial"/>
              </w:rPr>
              <w:br/>
              <w:t>a železničních vozidlech (lokomotivách, železničních vozech, speciálních drážních vozidlech)*</w:t>
            </w:r>
            <w:r w:rsidRPr="005A6032">
              <w:rPr>
                <w:rFonts w:cs="Arial"/>
                <w:vertAlign w:val="superscript"/>
              </w:rPr>
              <w:t>)</w:t>
            </w:r>
          </w:p>
        </w:tc>
        <w:tc>
          <w:tcPr>
            <w:tcW w:w="2260" w:type="dxa"/>
            <w:tcBorders>
              <w:top w:val="single" w:sz="8" w:space="0" w:color="auto"/>
              <w:left w:val="single" w:sz="8" w:space="0" w:color="auto"/>
              <w:bottom w:val="nil"/>
              <w:right w:val="single" w:sz="4" w:space="0" w:color="auto"/>
            </w:tcBorders>
            <w:shd w:val="clear" w:color="auto" w:fill="auto"/>
            <w:vAlign w:val="center"/>
          </w:tcPr>
          <w:p w14:paraId="32704E9D" w14:textId="77777777" w:rsidR="00A4797C" w:rsidRPr="005A6032" w:rsidRDefault="00A4797C" w:rsidP="00A4797C">
            <w:pPr>
              <w:jc w:val="center"/>
              <w:rPr>
                <w:rFonts w:cs="Arial"/>
              </w:rPr>
            </w:pPr>
            <w:r w:rsidRPr="005A6032">
              <w:rPr>
                <w:rFonts w:cs="Arial"/>
              </w:rPr>
              <w:t>50.000.000,- Kč</w:t>
            </w:r>
          </w:p>
        </w:tc>
        <w:tc>
          <w:tcPr>
            <w:tcW w:w="2420" w:type="dxa"/>
            <w:tcBorders>
              <w:top w:val="single" w:sz="8" w:space="0" w:color="auto"/>
              <w:left w:val="nil"/>
              <w:bottom w:val="nil"/>
              <w:right w:val="single" w:sz="8" w:space="0" w:color="auto"/>
            </w:tcBorders>
            <w:shd w:val="clear" w:color="auto" w:fill="auto"/>
            <w:vAlign w:val="center"/>
          </w:tcPr>
          <w:p w14:paraId="1984B1B5" w14:textId="77777777" w:rsidR="00A4797C" w:rsidRPr="005A6032" w:rsidRDefault="00A4797C" w:rsidP="00A4797C">
            <w:pPr>
              <w:jc w:val="center"/>
              <w:rPr>
                <w:rFonts w:cs="Arial"/>
              </w:rPr>
            </w:pPr>
            <w:r w:rsidRPr="005A6032">
              <w:rPr>
                <w:rFonts w:cs="Arial"/>
              </w:rPr>
              <w:t>1.000.000,- Kč</w:t>
            </w:r>
          </w:p>
        </w:tc>
      </w:tr>
      <w:tr w:rsidR="00A4797C" w:rsidRPr="005A6032" w14:paraId="1C3899B5" w14:textId="77777777" w:rsidTr="00A4797C">
        <w:trPr>
          <w:trHeight w:val="844"/>
          <w:jc w:val="center"/>
        </w:trPr>
        <w:tc>
          <w:tcPr>
            <w:tcW w:w="3540" w:type="dxa"/>
            <w:tcBorders>
              <w:top w:val="nil"/>
              <w:left w:val="single" w:sz="8" w:space="0" w:color="auto"/>
              <w:bottom w:val="single" w:sz="4" w:space="0" w:color="auto"/>
              <w:right w:val="nil"/>
            </w:tcBorders>
            <w:shd w:val="clear" w:color="auto" w:fill="auto"/>
          </w:tcPr>
          <w:p w14:paraId="7230F84A" w14:textId="77777777" w:rsidR="00A4797C" w:rsidRPr="005A6032" w:rsidRDefault="00A4797C" w:rsidP="00A4797C">
            <w:pPr>
              <w:rPr>
                <w:rFonts w:cs="Arial"/>
                <w:i/>
                <w:i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 – maximálně však ve výši </w:t>
            </w:r>
            <w:proofErr w:type="spellStart"/>
            <w:r w:rsidRPr="005A6032">
              <w:rPr>
                <w:rFonts w:cs="Arial"/>
                <w:i/>
                <w:iCs/>
              </w:rPr>
              <w:t>sublimitu</w:t>
            </w:r>
            <w:proofErr w:type="spellEnd"/>
            <w:r w:rsidRPr="005A6032">
              <w:rPr>
                <w:rFonts w:cs="Arial"/>
                <w:i/>
                <w:iCs/>
              </w:rPr>
              <w:t xml:space="preserve"> z tabulky výše pro příslušný rozsah pojištění</w:t>
            </w:r>
            <w:r w:rsidRPr="005A6032">
              <w:rPr>
                <w:rFonts w:cs="Arial"/>
                <w:i/>
                <w:iCs/>
                <w:vertAlign w:val="superscript"/>
              </w:rPr>
              <w:t>**)</w:t>
            </w:r>
          </w:p>
        </w:tc>
        <w:tc>
          <w:tcPr>
            <w:tcW w:w="2260" w:type="dxa"/>
            <w:tcBorders>
              <w:top w:val="nil"/>
              <w:left w:val="single" w:sz="8" w:space="0" w:color="auto"/>
              <w:bottom w:val="single" w:sz="4" w:space="0" w:color="auto"/>
              <w:right w:val="single" w:sz="4" w:space="0" w:color="auto"/>
            </w:tcBorders>
            <w:shd w:val="clear" w:color="auto" w:fill="auto"/>
            <w:vAlign w:val="center"/>
          </w:tcPr>
          <w:p w14:paraId="5BB22FFC" w14:textId="77777777" w:rsidR="00A4797C" w:rsidRPr="005A6032" w:rsidRDefault="00A4797C" w:rsidP="00A4797C">
            <w:pPr>
              <w:jc w:val="center"/>
              <w:rPr>
                <w:rFonts w:cs="Arial"/>
              </w:rPr>
            </w:pPr>
          </w:p>
        </w:tc>
        <w:tc>
          <w:tcPr>
            <w:tcW w:w="2420" w:type="dxa"/>
            <w:tcBorders>
              <w:top w:val="nil"/>
              <w:left w:val="nil"/>
              <w:bottom w:val="single" w:sz="4" w:space="0" w:color="auto"/>
              <w:right w:val="single" w:sz="8" w:space="0" w:color="auto"/>
            </w:tcBorders>
            <w:shd w:val="clear" w:color="auto" w:fill="auto"/>
            <w:vAlign w:val="center"/>
          </w:tcPr>
          <w:p w14:paraId="5DE7AF2F" w14:textId="77777777" w:rsidR="00A4797C" w:rsidRPr="005A6032" w:rsidRDefault="00A4797C" w:rsidP="00A4797C">
            <w:pPr>
              <w:jc w:val="center"/>
              <w:rPr>
                <w:rFonts w:cs="Arial"/>
              </w:rPr>
            </w:pPr>
          </w:p>
        </w:tc>
      </w:tr>
      <w:tr w:rsidR="00A4797C" w:rsidRPr="005A6032" w14:paraId="572BCDA6" w14:textId="77777777" w:rsidTr="00A4797C">
        <w:trPr>
          <w:trHeight w:hRule="exact" w:val="3493"/>
          <w:jc w:val="center"/>
        </w:trPr>
        <w:tc>
          <w:tcPr>
            <w:tcW w:w="3540" w:type="dxa"/>
            <w:tcBorders>
              <w:top w:val="single" w:sz="4" w:space="0" w:color="auto"/>
              <w:left w:val="single" w:sz="8" w:space="0" w:color="auto"/>
              <w:bottom w:val="single" w:sz="8" w:space="0" w:color="auto"/>
              <w:right w:val="nil"/>
            </w:tcBorders>
            <w:shd w:val="clear" w:color="auto" w:fill="auto"/>
          </w:tcPr>
          <w:p w14:paraId="426D835B" w14:textId="77777777" w:rsidR="00A4797C" w:rsidRPr="005A6032" w:rsidRDefault="00A4797C" w:rsidP="00A4797C">
            <w:pPr>
              <w:rPr>
                <w:rFonts w:cs="Arial"/>
                <w:b/>
                <w:bCs/>
              </w:rPr>
            </w:pPr>
            <w:r w:rsidRPr="005A6032">
              <w:rPr>
                <w:rFonts w:cs="Arial"/>
                <w:b/>
                <w:bCs/>
              </w:rPr>
              <w:lastRenderedPageBreak/>
              <w:t>způsobenou Českým dr</w:t>
            </w:r>
            <w:r>
              <w:rPr>
                <w:rFonts w:cs="Arial"/>
                <w:b/>
                <w:bCs/>
              </w:rPr>
              <w:t>á</w:t>
            </w:r>
            <w:r w:rsidRPr="005A6032">
              <w:rPr>
                <w:rFonts w:cs="Arial"/>
                <w:b/>
                <w:bCs/>
              </w:rPr>
              <w:t xml:space="preserve">hám, a.s. </w:t>
            </w:r>
            <w:r w:rsidRPr="005A6032">
              <w:rPr>
                <w:rFonts w:cs="Arial"/>
                <w:b/>
                <w:bCs/>
              </w:rPr>
              <w:br/>
              <w:t>a /nebo jejich dceřiným společnostem a/nebo jiným dopravcům na železnici</w:t>
            </w:r>
          </w:p>
          <w:p w14:paraId="7E550249" w14:textId="77777777" w:rsidR="00A4797C" w:rsidRPr="005A6032" w:rsidRDefault="00A4797C" w:rsidP="00A4797C">
            <w:pPr>
              <w:rPr>
                <w:rFonts w:cs="Arial"/>
              </w:rPr>
            </w:pPr>
            <w:r w:rsidRPr="005A6032">
              <w:rPr>
                <w:rFonts w:cs="Arial"/>
              </w:rPr>
              <w:t xml:space="preserve"> (včetně škody na železniční infrastruktuře)*</w:t>
            </w:r>
            <w:r w:rsidRPr="005A6032">
              <w:rPr>
                <w:rFonts w:cs="Arial"/>
                <w:vertAlign w:val="superscript"/>
              </w:rPr>
              <w:t>)</w:t>
            </w:r>
            <w:r w:rsidRPr="005A6032">
              <w:rPr>
                <w:rFonts w:cs="Arial"/>
              </w:rPr>
              <w:t xml:space="preserve"> </w:t>
            </w:r>
          </w:p>
          <w:p w14:paraId="1E45AE9F" w14:textId="77777777" w:rsidR="00A4797C" w:rsidRPr="005A6032" w:rsidRDefault="00A4797C" w:rsidP="00A4797C">
            <w:pPr>
              <w:rPr>
                <w:rFonts w:cs="Arial"/>
                <w:b/>
                <w:b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 – maximálně však ve výši </w:t>
            </w:r>
            <w:proofErr w:type="spellStart"/>
            <w:r w:rsidRPr="005A6032">
              <w:rPr>
                <w:rFonts w:cs="Arial"/>
                <w:i/>
                <w:iCs/>
              </w:rPr>
              <w:t>sublimitu</w:t>
            </w:r>
            <w:proofErr w:type="spellEnd"/>
            <w:r w:rsidRPr="005A6032">
              <w:rPr>
                <w:rFonts w:cs="Arial"/>
                <w:i/>
                <w:iCs/>
              </w:rPr>
              <w:t xml:space="preserve"> z tabulky výše pro příslušný rozsah pojištění</w:t>
            </w:r>
            <w:r w:rsidRPr="005A6032">
              <w:rPr>
                <w:rFonts w:cs="Arial"/>
                <w:i/>
                <w:iCs/>
                <w:vertAlign w:val="superscript"/>
              </w:rPr>
              <w:t>**)</w:t>
            </w:r>
          </w:p>
        </w:tc>
        <w:tc>
          <w:tcPr>
            <w:tcW w:w="2260" w:type="dxa"/>
            <w:tcBorders>
              <w:top w:val="single" w:sz="4" w:space="0" w:color="auto"/>
              <w:left w:val="single" w:sz="8" w:space="0" w:color="auto"/>
              <w:bottom w:val="single" w:sz="8" w:space="0" w:color="auto"/>
              <w:right w:val="single" w:sz="4" w:space="0" w:color="auto"/>
            </w:tcBorders>
            <w:shd w:val="clear" w:color="auto" w:fill="auto"/>
            <w:vAlign w:val="center"/>
          </w:tcPr>
          <w:p w14:paraId="7248C63A" w14:textId="77777777" w:rsidR="00A4797C" w:rsidRPr="005A6032" w:rsidRDefault="00A4797C" w:rsidP="00A4797C">
            <w:pPr>
              <w:jc w:val="center"/>
              <w:rPr>
                <w:rFonts w:cs="Arial"/>
              </w:rPr>
            </w:pPr>
            <w:r w:rsidRPr="005A6032">
              <w:rPr>
                <w:rFonts w:cs="Arial"/>
              </w:rPr>
              <w:t>50.000.000,- Kč</w:t>
            </w:r>
          </w:p>
        </w:tc>
        <w:tc>
          <w:tcPr>
            <w:tcW w:w="2420" w:type="dxa"/>
            <w:tcBorders>
              <w:top w:val="single" w:sz="4" w:space="0" w:color="auto"/>
              <w:left w:val="nil"/>
              <w:bottom w:val="single" w:sz="8" w:space="0" w:color="auto"/>
              <w:right w:val="single" w:sz="8" w:space="0" w:color="auto"/>
            </w:tcBorders>
            <w:shd w:val="clear" w:color="auto" w:fill="auto"/>
            <w:vAlign w:val="center"/>
          </w:tcPr>
          <w:p w14:paraId="6CE98F4F" w14:textId="77777777" w:rsidR="00A4797C" w:rsidRPr="005A6032" w:rsidRDefault="00A4797C" w:rsidP="00A4797C">
            <w:pPr>
              <w:jc w:val="center"/>
              <w:rPr>
                <w:rFonts w:cs="Arial"/>
              </w:rPr>
            </w:pPr>
            <w:r w:rsidRPr="005A6032">
              <w:rPr>
                <w:rFonts w:cs="Arial"/>
              </w:rPr>
              <w:t>1.000.000,- Kč</w:t>
            </w:r>
          </w:p>
        </w:tc>
      </w:tr>
      <w:tr w:rsidR="00A4797C" w:rsidRPr="005A6032" w14:paraId="45C76C8D" w14:textId="77777777" w:rsidTr="00A4797C">
        <w:trPr>
          <w:trHeight w:hRule="exact" w:val="1361"/>
          <w:jc w:val="center"/>
        </w:trPr>
        <w:tc>
          <w:tcPr>
            <w:tcW w:w="3540" w:type="dxa"/>
            <w:tcBorders>
              <w:top w:val="single" w:sz="4" w:space="0" w:color="auto"/>
              <w:left w:val="single" w:sz="8" w:space="0" w:color="auto"/>
              <w:bottom w:val="single" w:sz="8" w:space="0" w:color="auto"/>
              <w:right w:val="nil"/>
            </w:tcBorders>
            <w:shd w:val="clear" w:color="auto" w:fill="auto"/>
          </w:tcPr>
          <w:p w14:paraId="467D2E33" w14:textId="77777777" w:rsidR="00A4797C" w:rsidRPr="005A6032" w:rsidRDefault="00A4797C" w:rsidP="00A4797C">
            <w:pPr>
              <w:rPr>
                <w:rFonts w:cs="Arial"/>
              </w:rPr>
            </w:pPr>
            <w:r w:rsidRPr="005A6032">
              <w:rPr>
                <w:rFonts w:cs="Arial"/>
                <w:b/>
                <w:bCs/>
              </w:rPr>
              <w:t xml:space="preserve">způsobenou v souvislosti </w:t>
            </w:r>
            <w:r w:rsidRPr="005A6032">
              <w:rPr>
                <w:rFonts w:cs="Arial"/>
                <w:b/>
                <w:bCs/>
              </w:rPr>
              <w:br/>
              <w:t>s nakládáním se stlačenými nebo zkapalněnými plyny</w:t>
            </w:r>
            <w:r w:rsidRPr="005A6032">
              <w:rPr>
                <w:rFonts w:cs="Arial"/>
                <w:b/>
              </w:rPr>
              <w:t>*</w:t>
            </w:r>
            <w:r w:rsidRPr="005A6032">
              <w:rPr>
                <w:rFonts w:cs="Arial"/>
                <w:vertAlign w:val="superscript"/>
              </w:rPr>
              <w:t>)</w:t>
            </w:r>
            <w:r w:rsidRPr="005A6032">
              <w:rPr>
                <w:rFonts w:cs="Arial"/>
              </w:rPr>
              <w:t xml:space="preserve"> </w:t>
            </w:r>
          </w:p>
          <w:p w14:paraId="4B622CA6" w14:textId="77777777" w:rsidR="00A4797C" w:rsidRPr="005A6032" w:rsidRDefault="00A4797C" w:rsidP="00A4797C">
            <w:pPr>
              <w:rPr>
                <w:rFonts w:cs="Arial"/>
                <w:b/>
                <w:b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tcBorders>
              <w:top w:val="single" w:sz="4" w:space="0" w:color="auto"/>
              <w:left w:val="single" w:sz="8" w:space="0" w:color="auto"/>
              <w:bottom w:val="single" w:sz="8" w:space="0" w:color="auto"/>
              <w:right w:val="single" w:sz="4" w:space="0" w:color="auto"/>
            </w:tcBorders>
            <w:shd w:val="clear" w:color="auto" w:fill="auto"/>
            <w:vAlign w:val="center"/>
          </w:tcPr>
          <w:p w14:paraId="1057B925" w14:textId="77777777" w:rsidR="00A4797C" w:rsidRPr="005A6032" w:rsidRDefault="00A4797C" w:rsidP="00A4797C">
            <w:pPr>
              <w:jc w:val="center"/>
              <w:rPr>
                <w:rFonts w:cs="Arial"/>
              </w:rPr>
            </w:pPr>
            <w:r w:rsidRPr="005A6032">
              <w:rPr>
                <w:rFonts w:cs="Arial"/>
              </w:rPr>
              <w:t>30.000.000,- Kč</w:t>
            </w:r>
          </w:p>
        </w:tc>
        <w:tc>
          <w:tcPr>
            <w:tcW w:w="2420" w:type="dxa"/>
            <w:tcBorders>
              <w:top w:val="single" w:sz="4" w:space="0" w:color="auto"/>
              <w:left w:val="nil"/>
              <w:bottom w:val="single" w:sz="8" w:space="0" w:color="auto"/>
              <w:right w:val="single" w:sz="8" w:space="0" w:color="auto"/>
            </w:tcBorders>
            <w:shd w:val="clear" w:color="auto" w:fill="auto"/>
            <w:vAlign w:val="center"/>
          </w:tcPr>
          <w:p w14:paraId="106675F2" w14:textId="77777777" w:rsidR="00A4797C" w:rsidRPr="005A6032" w:rsidRDefault="00A4797C" w:rsidP="00A4797C">
            <w:pPr>
              <w:jc w:val="center"/>
              <w:rPr>
                <w:rFonts w:cs="Arial"/>
                <w:i/>
                <w:iCs/>
              </w:rPr>
            </w:pPr>
            <w:r w:rsidRPr="005A6032">
              <w:rPr>
                <w:rFonts w:cs="Arial"/>
                <w:i/>
                <w:iCs/>
              </w:rPr>
              <w:t>dle příslušného rozsahu pojištění***</w:t>
            </w:r>
            <w:r w:rsidRPr="005A6032">
              <w:rPr>
                <w:rFonts w:cs="Arial"/>
                <w:i/>
                <w:iCs/>
                <w:vertAlign w:val="superscript"/>
              </w:rPr>
              <w:t>)</w:t>
            </w:r>
          </w:p>
        </w:tc>
      </w:tr>
      <w:tr w:rsidR="00A4797C" w:rsidRPr="005A6032" w14:paraId="60D8E809" w14:textId="77777777" w:rsidTr="00A4797C">
        <w:trPr>
          <w:trHeight w:val="840"/>
          <w:jc w:val="center"/>
        </w:trPr>
        <w:tc>
          <w:tcPr>
            <w:tcW w:w="3540" w:type="dxa"/>
            <w:tcBorders>
              <w:top w:val="nil"/>
              <w:left w:val="single" w:sz="8" w:space="0" w:color="auto"/>
              <w:bottom w:val="single" w:sz="8" w:space="0" w:color="auto"/>
              <w:right w:val="nil"/>
            </w:tcBorders>
            <w:shd w:val="clear" w:color="auto" w:fill="auto"/>
          </w:tcPr>
          <w:p w14:paraId="0E9C3A70" w14:textId="77777777" w:rsidR="00A4797C" w:rsidRPr="005A6032" w:rsidRDefault="00A4797C" w:rsidP="00A4797C">
            <w:pPr>
              <w:rPr>
                <w:rFonts w:cs="Arial"/>
                <w:b/>
                <w:bCs/>
              </w:rPr>
            </w:pPr>
            <w:r w:rsidRPr="005A6032">
              <w:rPr>
                <w:rFonts w:cs="Arial"/>
                <w:b/>
                <w:bCs/>
              </w:rPr>
              <w:t xml:space="preserve">způsobenou v souvislosti </w:t>
            </w:r>
            <w:r w:rsidRPr="005A6032">
              <w:rPr>
                <w:rFonts w:cs="Arial"/>
                <w:b/>
                <w:bCs/>
              </w:rPr>
              <w:br/>
              <w:t>s nakládáním s výbušninami</w:t>
            </w:r>
            <w:r w:rsidRPr="005A6032">
              <w:rPr>
                <w:rFonts w:cs="Arial"/>
                <w:b/>
              </w:rPr>
              <w:t>*</w:t>
            </w:r>
            <w:r w:rsidRPr="005A6032">
              <w:rPr>
                <w:rFonts w:cs="Arial"/>
                <w:vertAlign w:val="superscript"/>
              </w:rPr>
              <w:t>)</w:t>
            </w:r>
            <w:r w:rsidRPr="005A6032">
              <w:rPr>
                <w:rFonts w:cs="Arial"/>
              </w:rPr>
              <w:t xml:space="preserve"> </w:t>
            </w: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tcBorders>
              <w:top w:val="nil"/>
              <w:left w:val="single" w:sz="8" w:space="0" w:color="auto"/>
              <w:bottom w:val="single" w:sz="8" w:space="0" w:color="auto"/>
              <w:right w:val="single" w:sz="4" w:space="0" w:color="auto"/>
            </w:tcBorders>
            <w:shd w:val="clear" w:color="auto" w:fill="auto"/>
            <w:vAlign w:val="center"/>
          </w:tcPr>
          <w:p w14:paraId="1A7A8CAB" w14:textId="77777777" w:rsidR="00A4797C" w:rsidRPr="005A6032" w:rsidRDefault="00A4797C" w:rsidP="00A4797C">
            <w:pPr>
              <w:jc w:val="center"/>
              <w:rPr>
                <w:rFonts w:cs="Arial"/>
              </w:rPr>
            </w:pPr>
            <w:r w:rsidRPr="005A6032">
              <w:rPr>
                <w:rFonts w:cs="Arial"/>
              </w:rPr>
              <w:t>30.000.000,- Kč</w:t>
            </w:r>
          </w:p>
        </w:tc>
        <w:tc>
          <w:tcPr>
            <w:tcW w:w="2420" w:type="dxa"/>
            <w:tcBorders>
              <w:top w:val="nil"/>
              <w:left w:val="nil"/>
              <w:bottom w:val="single" w:sz="8" w:space="0" w:color="auto"/>
              <w:right w:val="single" w:sz="8" w:space="0" w:color="auto"/>
            </w:tcBorders>
            <w:shd w:val="clear" w:color="auto" w:fill="auto"/>
            <w:vAlign w:val="center"/>
          </w:tcPr>
          <w:p w14:paraId="6A733584" w14:textId="77777777" w:rsidR="00A4797C" w:rsidRPr="005A6032" w:rsidRDefault="00A4797C" w:rsidP="00A4797C">
            <w:pPr>
              <w:jc w:val="center"/>
              <w:rPr>
                <w:rFonts w:cs="Arial"/>
                <w:i/>
                <w:iCs/>
              </w:rPr>
            </w:pPr>
            <w:r w:rsidRPr="005A6032">
              <w:rPr>
                <w:rFonts w:cs="Arial"/>
                <w:i/>
                <w:iCs/>
              </w:rPr>
              <w:t>dle příslušného rozsahu pojištění***</w:t>
            </w:r>
            <w:r w:rsidRPr="005A6032">
              <w:rPr>
                <w:rFonts w:cs="Arial"/>
                <w:i/>
                <w:iCs/>
                <w:vertAlign w:val="superscript"/>
              </w:rPr>
              <w:t>)</w:t>
            </w:r>
          </w:p>
        </w:tc>
      </w:tr>
      <w:tr w:rsidR="00A4797C" w:rsidRPr="005A6032" w14:paraId="37E9B448" w14:textId="77777777" w:rsidTr="00A4797C">
        <w:trPr>
          <w:trHeight w:val="1095"/>
          <w:jc w:val="center"/>
        </w:trPr>
        <w:tc>
          <w:tcPr>
            <w:tcW w:w="3540" w:type="dxa"/>
            <w:tcBorders>
              <w:top w:val="nil"/>
              <w:left w:val="single" w:sz="8" w:space="0" w:color="auto"/>
              <w:bottom w:val="single" w:sz="8" w:space="0" w:color="auto"/>
              <w:right w:val="nil"/>
            </w:tcBorders>
            <w:shd w:val="clear" w:color="auto" w:fill="auto"/>
          </w:tcPr>
          <w:p w14:paraId="7C4A8E5D" w14:textId="77777777" w:rsidR="00A4797C" w:rsidRPr="005A6032" w:rsidRDefault="00A4797C" w:rsidP="00A4797C">
            <w:pPr>
              <w:rPr>
                <w:rFonts w:cs="Arial"/>
              </w:rPr>
            </w:pPr>
            <w:r w:rsidRPr="005A6032">
              <w:rPr>
                <w:rFonts w:cs="Arial"/>
                <w:b/>
                <w:bCs/>
              </w:rPr>
              <w:t>způsobenou v souvislosti s ražbou tunelů včetně s ní souvisejících výkopových prací</w:t>
            </w:r>
            <w:r w:rsidRPr="005A6032">
              <w:rPr>
                <w:rFonts w:cs="Arial"/>
                <w:b/>
              </w:rPr>
              <w:t>*</w:t>
            </w:r>
            <w:r w:rsidRPr="005A6032">
              <w:rPr>
                <w:rFonts w:cs="Arial"/>
                <w:vertAlign w:val="superscript"/>
              </w:rPr>
              <w:t>)</w:t>
            </w:r>
            <w:r w:rsidRPr="005A6032">
              <w:rPr>
                <w:rFonts w:cs="Arial"/>
              </w:rPr>
              <w:t xml:space="preserve"> </w:t>
            </w:r>
          </w:p>
          <w:p w14:paraId="5344719B" w14:textId="77777777" w:rsidR="00A4797C" w:rsidRPr="005A6032" w:rsidRDefault="00A4797C" w:rsidP="00A4797C">
            <w:pPr>
              <w:rPr>
                <w:rFonts w:cs="Arial"/>
                <w:b/>
                <w:b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tcBorders>
              <w:top w:val="nil"/>
              <w:left w:val="single" w:sz="8" w:space="0" w:color="auto"/>
              <w:bottom w:val="single" w:sz="8" w:space="0" w:color="auto"/>
              <w:right w:val="single" w:sz="4" w:space="0" w:color="auto"/>
            </w:tcBorders>
            <w:shd w:val="clear" w:color="auto" w:fill="auto"/>
            <w:vAlign w:val="center"/>
          </w:tcPr>
          <w:p w14:paraId="03C72FD6" w14:textId="77777777" w:rsidR="00A4797C" w:rsidRPr="005A6032" w:rsidRDefault="00A4797C" w:rsidP="00A4797C">
            <w:pPr>
              <w:jc w:val="center"/>
              <w:rPr>
                <w:rFonts w:cs="Arial"/>
              </w:rPr>
            </w:pPr>
            <w:r w:rsidRPr="005A6032">
              <w:rPr>
                <w:rFonts w:cs="Arial"/>
              </w:rPr>
              <w:t>30.000.000,- Kč</w:t>
            </w:r>
          </w:p>
        </w:tc>
        <w:tc>
          <w:tcPr>
            <w:tcW w:w="2420" w:type="dxa"/>
            <w:tcBorders>
              <w:top w:val="nil"/>
              <w:left w:val="nil"/>
              <w:bottom w:val="single" w:sz="8" w:space="0" w:color="auto"/>
              <w:right w:val="single" w:sz="8" w:space="0" w:color="auto"/>
            </w:tcBorders>
            <w:shd w:val="clear" w:color="auto" w:fill="auto"/>
            <w:vAlign w:val="center"/>
          </w:tcPr>
          <w:p w14:paraId="0B82E722" w14:textId="77777777" w:rsidR="00A4797C" w:rsidRPr="005A6032" w:rsidRDefault="00A4797C" w:rsidP="00A4797C">
            <w:pPr>
              <w:jc w:val="center"/>
              <w:rPr>
                <w:rFonts w:cs="Arial"/>
                <w:i/>
                <w:iCs/>
              </w:rPr>
            </w:pPr>
            <w:r w:rsidRPr="005A6032">
              <w:rPr>
                <w:rFonts w:cs="Arial"/>
                <w:i/>
                <w:iCs/>
              </w:rPr>
              <w:t>dle příslušného rozsahu pojištění***</w:t>
            </w:r>
            <w:r w:rsidRPr="005A6032">
              <w:rPr>
                <w:rFonts w:cs="Arial"/>
                <w:i/>
                <w:iCs/>
                <w:vertAlign w:val="superscript"/>
              </w:rPr>
              <w:t>)</w:t>
            </w:r>
          </w:p>
        </w:tc>
      </w:tr>
      <w:tr w:rsidR="00A4797C" w:rsidRPr="005A6032" w14:paraId="3D810474" w14:textId="77777777" w:rsidTr="00A4797C">
        <w:trPr>
          <w:trHeight w:val="1095"/>
          <w:jc w:val="center"/>
        </w:trPr>
        <w:tc>
          <w:tcPr>
            <w:tcW w:w="3540" w:type="dxa"/>
            <w:tcBorders>
              <w:top w:val="nil"/>
              <w:left w:val="single" w:sz="8" w:space="0" w:color="auto"/>
              <w:bottom w:val="single" w:sz="8" w:space="0" w:color="auto"/>
              <w:right w:val="nil"/>
            </w:tcBorders>
            <w:shd w:val="clear" w:color="auto" w:fill="auto"/>
          </w:tcPr>
          <w:p w14:paraId="1BB5F916" w14:textId="77777777" w:rsidR="00A4797C" w:rsidRPr="005A6032" w:rsidRDefault="00A4797C" w:rsidP="00A4797C">
            <w:pPr>
              <w:rPr>
                <w:rFonts w:cs="Arial"/>
                <w:b/>
                <w:bCs/>
              </w:rPr>
            </w:pPr>
            <w:r w:rsidRPr="005A6032">
              <w:rPr>
                <w:rFonts w:cs="Arial"/>
                <w:b/>
                <w:bCs/>
              </w:rPr>
              <w:t xml:space="preserve">způsobenou v souvislosti </w:t>
            </w:r>
            <w:r w:rsidRPr="005A6032">
              <w:rPr>
                <w:rFonts w:cs="Arial"/>
                <w:b/>
                <w:bCs/>
              </w:rPr>
              <w:br/>
              <w:t>s vlastnictvím/provozem motorových vozidel sloužících jako pracovní stroj</w:t>
            </w:r>
            <w:r w:rsidRPr="005A6032">
              <w:rPr>
                <w:rFonts w:cs="Arial"/>
                <w:b/>
              </w:rPr>
              <w:t>*</w:t>
            </w:r>
            <w:r w:rsidRPr="005A6032">
              <w:rPr>
                <w:rFonts w:cs="Arial"/>
                <w:vertAlign w:val="superscript"/>
              </w:rPr>
              <w:t>)</w:t>
            </w:r>
          </w:p>
          <w:p w14:paraId="2F218D0C" w14:textId="77777777" w:rsidR="00A4797C" w:rsidRPr="005A6032" w:rsidRDefault="00A4797C" w:rsidP="00A4797C">
            <w:pPr>
              <w:rPr>
                <w:rFonts w:cs="Arial"/>
                <w:bCs/>
                <w:i/>
              </w:rPr>
            </w:pPr>
            <w:r w:rsidRPr="005A6032">
              <w:rPr>
                <w:rFonts w:cs="Arial"/>
                <w:bCs/>
                <w:i/>
              </w:rPr>
              <w:t xml:space="preserve">společný </w:t>
            </w:r>
            <w:proofErr w:type="spellStart"/>
            <w:r w:rsidRPr="005A6032">
              <w:rPr>
                <w:rFonts w:cs="Arial"/>
                <w:bCs/>
                <w:i/>
              </w:rPr>
              <w:t>sublimit</w:t>
            </w:r>
            <w:proofErr w:type="spellEnd"/>
            <w:r w:rsidRPr="005A6032">
              <w:rPr>
                <w:rFonts w:cs="Arial"/>
                <w:bCs/>
                <w:i/>
              </w:rPr>
              <w:t xml:space="preserve"> plnění</w:t>
            </w:r>
            <w:r w:rsidRPr="005A6032">
              <w:rPr>
                <w:rFonts w:cs="Arial"/>
                <w:i/>
                <w:iCs/>
              </w:rPr>
              <w:t>*</w:t>
            </w:r>
            <w:r w:rsidRPr="005A6032">
              <w:rPr>
                <w:rFonts w:cs="Arial"/>
                <w:i/>
                <w:iCs/>
                <w:vertAlign w:val="superscript"/>
              </w:rPr>
              <w:t>)</w:t>
            </w:r>
          </w:p>
        </w:tc>
        <w:tc>
          <w:tcPr>
            <w:tcW w:w="2260" w:type="dxa"/>
            <w:tcBorders>
              <w:top w:val="nil"/>
              <w:left w:val="single" w:sz="8" w:space="0" w:color="auto"/>
              <w:bottom w:val="single" w:sz="8" w:space="0" w:color="auto"/>
              <w:right w:val="single" w:sz="4" w:space="0" w:color="auto"/>
            </w:tcBorders>
            <w:shd w:val="clear" w:color="auto" w:fill="auto"/>
            <w:vAlign w:val="center"/>
          </w:tcPr>
          <w:p w14:paraId="352CC6D9" w14:textId="77777777" w:rsidR="00A4797C" w:rsidRPr="005A6032" w:rsidRDefault="00A4797C" w:rsidP="00A4797C">
            <w:pPr>
              <w:jc w:val="center"/>
              <w:rPr>
                <w:rFonts w:cs="Arial"/>
              </w:rPr>
            </w:pPr>
            <w:r w:rsidRPr="005A6032">
              <w:rPr>
                <w:rFonts w:cs="Arial"/>
              </w:rPr>
              <w:t>30.000.000,- Kč</w:t>
            </w:r>
          </w:p>
        </w:tc>
        <w:tc>
          <w:tcPr>
            <w:tcW w:w="2420" w:type="dxa"/>
            <w:tcBorders>
              <w:top w:val="nil"/>
              <w:left w:val="nil"/>
              <w:bottom w:val="single" w:sz="8" w:space="0" w:color="auto"/>
              <w:right w:val="single" w:sz="8" w:space="0" w:color="auto"/>
            </w:tcBorders>
            <w:shd w:val="clear" w:color="auto" w:fill="auto"/>
            <w:vAlign w:val="center"/>
          </w:tcPr>
          <w:p w14:paraId="11D5433C" w14:textId="77777777" w:rsidR="00A4797C" w:rsidRPr="005A6032" w:rsidRDefault="00A4797C" w:rsidP="00A4797C">
            <w:pPr>
              <w:jc w:val="center"/>
              <w:rPr>
                <w:rFonts w:cs="Arial"/>
                <w:iCs/>
              </w:rPr>
            </w:pPr>
            <w:r w:rsidRPr="005A6032">
              <w:rPr>
                <w:rFonts w:cs="Arial"/>
                <w:iCs/>
              </w:rPr>
              <w:t>1.000.000,- Kč</w:t>
            </w:r>
          </w:p>
        </w:tc>
      </w:tr>
      <w:tr w:rsidR="00A4797C" w:rsidRPr="005A6032" w14:paraId="7572A168" w14:textId="77777777" w:rsidTr="00A4797C">
        <w:trPr>
          <w:trHeight w:val="1667"/>
          <w:jc w:val="center"/>
        </w:trPr>
        <w:tc>
          <w:tcPr>
            <w:tcW w:w="8220" w:type="dxa"/>
            <w:gridSpan w:val="3"/>
            <w:tcBorders>
              <w:top w:val="single" w:sz="8" w:space="0" w:color="auto"/>
              <w:left w:val="single" w:sz="8" w:space="0" w:color="auto"/>
              <w:bottom w:val="single" w:sz="8" w:space="0" w:color="auto"/>
              <w:right w:val="single" w:sz="8" w:space="0" w:color="000000"/>
            </w:tcBorders>
            <w:shd w:val="clear" w:color="auto" w:fill="auto"/>
          </w:tcPr>
          <w:p w14:paraId="19949DB3" w14:textId="77777777" w:rsidR="00A4797C" w:rsidRPr="005A6032" w:rsidRDefault="00A4797C" w:rsidP="00A4797C">
            <w:pPr>
              <w:rPr>
                <w:rFonts w:cs="Arial"/>
                <w:i/>
                <w:iCs/>
              </w:rPr>
            </w:pPr>
            <w:r w:rsidRPr="005A6032">
              <w:rPr>
                <w:rFonts w:cs="Arial"/>
                <w:i/>
                <w:iCs/>
              </w:rPr>
              <w:t>*</w:t>
            </w:r>
            <w:r w:rsidRPr="005A6032">
              <w:rPr>
                <w:rFonts w:cs="Arial"/>
                <w:i/>
                <w:iCs/>
                <w:vertAlign w:val="superscript"/>
              </w:rPr>
              <w:t>)</w:t>
            </w:r>
            <w:r w:rsidRPr="005A6032">
              <w:rPr>
                <w:rFonts w:cs="Arial"/>
                <w:i/>
                <w:iCs/>
              </w:rPr>
              <w:t xml:space="preserve"> v souvislosti s</w:t>
            </w:r>
            <w:r w:rsidRPr="005A6032">
              <w:rPr>
                <w:rFonts w:cs="Arial"/>
                <w:bCs/>
                <w:i/>
              </w:rPr>
              <w:t>e zajištěním provozování železniční dopravní cesty a její provozuschopnosti, se zajištěním údržby, opravy, rozvoje, modernizace železniční dopravní cesty,</w:t>
            </w:r>
            <w:r w:rsidRPr="005A6032">
              <w:rPr>
                <w:rFonts w:cs="Arial"/>
                <w:i/>
                <w:iCs/>
              </w:rPr>
              <w:t xml:space="preserve"> &amp; provozováním celostátní dráhy a regionálních drah &amp; prováděním staveb, provozováním neveřejné drážní dopravy a s ostatními činnostmi </w:t>
            </w:r>
            <w:r w:rsidRPr="005A6032">
              <w:rPr>
                <w:rFonts w:cs="Arial"/>
                <w:bCs/>
                <w:i/>
              </w:rPr>
              <w:t>vyplývajícími z předmětu podnikání a předmětu činnosti, uvedenými ve výpisu z obchodního rejstříku zadavatele</w:t>
            </w:r>
          </w:p>
        </w:tc>
      </w:tr>
      <w:tr w:rsidR="00A4797C" w:rsidRPr="005A6032" w14:paraId="2AB5521B" w14:textId="77777777" w:rsidTr="00A4797C">
        <w:trPr>
          <w:trHeight w:val="460"/>
          <w:jc w:val="center"/>
        </w:trPr>
        <w:tc>
          <w:tcPr>
            <w:tcW w:w="8220" w:type="dxa"/>
            <w:gridSpan w:val="3"/>
            <w:tcBorders>
              <w:top w:val="single" w:sz="8" w:space="0" w:color="auto"/>
              <w:left w:val="single" w:sz="8" w:space="0" w:color="auto"/>
              <w:bottom w:val="single" w:sz="8" w:space="0" w:color="auto"/>
              <w:right w:val="single" w:sz="8" w:space="0" w:color="000000"/>
            </w:tcBorders>
            <w:shd w:val="clear" w:color="auto" w:fill="auto"/>
          </w:tcPr>
          <w:p w14:paraId="49A71AA0" w14:textId="1AA157FC" w:rsidR="00A4797C" w:rsidRPr="005A6032" w:rsidRDefault="00A4797C" w:rsidP="00A51805">
            <w:pPr>
              <w:rPr>
                <w:rFonts w:cs="Arial"/>
                <w:i/>
                <w:iCs/>
              </w:rPr>
            </w:pPr>
            <w:r w:rsidRPr="005A6032">
              <w:rPr>
                <w:rFonts w:cs="Arial"/>
                <w:i/>
                <w:iCs/>
              </w:rPr>
              <w:t>**</w:t>
            </w:r>
            <w:r w:rsidRPr="005A6032">
              <w:rPr>
                <w:rFonts w:cs="Arial"/>
                <w:i/>
                <w:iCs/>
                <w:vertAlign w:val="superscript"/>
              </w:rPr>
              <w:t>)</w:t>
            </w:r>
            <w:r w:rsidRPr="005A6032">
              <w:rPr>
                <w:rFonts w:cs="Arial"/>
                <w:i/>
                <w:iCs/>
              </w:rPr>
              <w:t xml:space="preserve"> tzn. např. pro škody z provozování neveřejné drážní dopravy max. </w:t>
            </w:r>
            <w:r w:rsidR="00A51805">
              <w:rPr>
                <w:rFonts w:cs="Arial"/>
                <w:i/>
                <w:iCs/>
              </w:rPr>
              <w:t>5</w:t>
            </w:r>
            <w:r w:rsidRPr="005A6032">
              <w:rPr>
                <w:rFonts w:cs="Arial"/>
                <w:i/>
                <w:iCs/>
              </w:rPr>
              <w:t>0.000.000,- Kč</w:t>
            </w:r>
          </w:p>
        </w:tc>
      </w:tr>
      <w:tr w:rsidR="00A4797C" w:rsidRPr="005A6032" w14:paraId="01A7D919" w14:textId="77777777" w:rsidTr="00A4797C">
        <w:trPr>
          <w:trHeight w:val="570"/>
          <w:jc w:val="center"/>
        </w:trPr>
        <w:tc>
          <w:tcPr>
            <w:tcW w:w="8220" w:type="dxa"/>
            <w:gridSpan w:val="3"/>
            <w:tcBorders>
              <w:top w:val="single" w:sz="8" w:space="0" w:color="auto"/>
              <w:left w:val="single" w:sz="8" w:space="0" w:color="auto"/>
              <w:bottom w:val="single" w:sz="8" w:space="0" w:color="auto"/>
              <w:right w:val="single" w:sz="8" w:space="0" w:color="000000"/>
            </w:tcBorders>
            <w:shd w:val="clear" w:color="auto" w:fill="auto"/>
          </w:tcPr>
          <w:p w14:paraId="091B9175" w14:textId="77777777" w:rsidR="00A4797C" w:rsidRPr="005A6032" w:rsidRDefault="00A4797C" w:rsidP="00A4797C">
            <w:pPr>
              <w:rPr>
                <w:rFonts w:cs="Arial"/>
                <w:i/>
                <w:iCs/>
              </w:rPr>
            </w:pPr>
            <w:r w:rsidRPr="005A6032">
              <w:rPr>
                <w:rFonts w:cs="Arial"/>
                <w:i/>
                <w:iCs/>
              </w:rPr>
              <w:t>***</w:t>
            </w:r>
            <w:r w:rsidRPr="005A6032">
              <w:rPr>
                <w:rFonts w:cs="Arial"/>
                <w:i/>
                <w:iCs/>
                <w:vertAlign w:val="superscript"/>
              </w:rPr>
              <w:t>)</w:t>
            </w:r>
            <w:r w:rsidRPr="005A6032">
              <w:rPr>
                <w:rFonts w:cs="Arial"/>
                <w:i/>
                <w:iCs/>
              </w:rPr>
              <w:t xml:space="preserve"> tzn. např. pro škody z odpovědnosti z ostatních činností </w:t>
            </w:r>
            <w:r w:rsidRPr="005A6032">
              <w:rPr>
                <w:rFonts w:cs="Arial"/>
                <w:bCs/>
                <w:i/>
              </w:rPr>
              <w:t>vyplývajících z předmětu podnikání a předmětu činnosti, uvedenými ve výpisu z obchodního rejstříku zadavatele</w:t>
            </w:r>
            <w:r w:rsidRPr="005A6032">
              <w:rPr>
                <w:rFonts w:cs="Arial"/>
                <w:i/>
                <w:iCs/>
              </w:rPr>
              <w:t xml:space="preserve"> 10.000,- Kč, z provádění staveb 1.000.000,- Kč</w:t>
            </w:r>
          </w:p>
        </w:tc>
      </w:tr>
      <w:bookmarkEnd w:id="4"/>
    </w:tbl>
    <w:p w14:paraId="1F405246"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p>
    <w:p w14:paraId="01A11822"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lastRenderedPageBreak/>
        <w:t xml:space="preserve">Společným </w:t>
      </w:r>
      <w:proofErr w:type="spellStart"/>
      <w:r w:rsidRPr="005A6032">
        <w:rPr>
          <w:rFonts w:cs="Arial"/>
          <w:bCs/>
        </w:rPr>
        <w:t>sublimitem</w:t>
      </w:r>
      <w:proofErr w:type="spellEnd"/>
      <w:r w:rsidRPr="005A6032">
        <w:rPr>
          <w:rFonts w:cs="Arial"/>
          <w:bCs/>
        </w:rPr>
        <w:t xml:space="preserve"> plnění se rozumí </w:t>
      </w:r>
      <w:proofErr w:type="spellStart"/>
      <w:r w:rsidRPr="005A6032">
        <w:rPr>
          <w:rFonts w:cs="Arial"/>
          <w:bCs/>
        </w:rPr>
        <w:t>sublimit</w:t>
      </w:r>
      <w:proofErr w:type="spellEnd"/>
      <w:r w:rsidRPr="005A6032">
        <w:rPr>
          <w:rFonts w:cs="Arial"/>
          <w:bCs/>
        </w:rPr>
        <w:t xml:space="preserve"> vztahující se na odpovědnost za škody vzniklé v souvislosti se</w:t>
      </w:r>
      <w:r w:rsidRPr="005A6032">
        <w:rPr>
          <w:rFonts w:cs="Arial"/>
          <w:bCs/>
          <w:iCs/>
        </w:rPr>
        <w:t> </w:t>
      </w:r>
      <w:r w:rsidRPr="005A6032">
        <w:rPr>
          <w:rFonts w:cs="Arial"/>
          <w:bCs/>
        </w:rPr>
        <w:t>zajištěním provozování železniční dopravní cesty a její provozuschopnosti, se zajištěním údržby, opravy, rozvoje, modernizace železniční dopravní cesty,</w:t>
      </w:r>
      <w:r w:rsidRPr="005A6032">
        <w:rPr>
          <w:rFonts w:cs="Arial"/>
          <w:bCs/>
          <w:iCs/>
        </w:rPr>
        <w:t xml:space="preserve"> provozováním celostátní dráhy a regionálních drah, prováděním staveb, provozováním neveřejné drážní dopravy a s ostatními činnostmi </w:t>
      </w:r>
      <w:r w:rsidRPr="005A6032">
        <w:rPr>
          <w:rFonts w:cs="Arial"/>
          <w:bCs/>
        </w:rPr>
        <w:t>vyplývajícími z předmětu podnikání a předmětu činnosti, uvedenými ve výpisu z obchodního rejstříku zadavatele.</w:t>
      </w:r>
    </w:p>
    <w:p w14:paraId="1C278105"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 xml:space="preserve">Spoluúčast pojištěného na plnění z každé pojistné události činí v případě povinnosti pojištěného nahradit újmu vzniklou uživateli nástupiště nebo jiného veřejně přístupného prostoru nádraží v souvislosti se </w:t>
      </w:r>
      <w:r w:rsidRPr="00BE041C">
        <w:rPr>
          <w:rFonts w:cs="Arial"/>
          <w:bCs/>
        </w:rPr>
        <w:t>zabezpečováním schůdnosti těchto pojištěným vlastněných nebo spravovaných prostor 10.000,- Kč.</w:t>
      </w:r>
    </w:p>
    <w:p w14:paraId="328D628A"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Pojištění se vztahuje i na povinnost pojištěného nahradit újmu způsobenou žáku střední školy, konzervatoře nebo jazykové školy s právem státní jazykové zkoušky nebo studentu vyšší odborné školy nebo vysoké školy (dále jen „učeň“) nebo jeho vyučujícímu (který není zaměstnancem pojištěného) při praktickém vyučování, studiu nebo praxi učně nebo v přímé souvislosti s nimi u pojištěného coby subjektu, u nějž (na jehož pracovištích) se na základě smlouvy praktické vyučování, studium nebo praxe učně (v souvislosti s pojištěnou činností) uskutečňovaly. Pojištění se vztahuje i na případ postihu/regresu střední školy, konzervatoře, jazykové školy s právem státní jazykové zkoušky, vyšší odborné školy nebo vysoké školy (nebo jejich pojistitele), která byla povinna uhradit újmu učni nebo jeho vyučujícímu (který není zaměstnancem pojištěného), např. z titulu odpovědnosti zaměstnavatele za škodu způsobenou zaměstnanci.</w:t>
      </w:r>
    </w:p>
    <w:p w14:paraId="750A1AED"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 xml:space="preserve">Pojištění se vztahuje i na povinnost pojištěného nahradit újmu způsobenou žákem střední školy, konzervatoře nebo jazykové školy s právem státní jazykové zkoušky nebo studentem vyšší odborné školy nebo vysoké školy (dále jen „učeň“) nebo jeho vyučujícím při praktickém vyučování, studiu nebo praxi učně nebo v přímé souvislosti s nimi u pojištěného coby subjektu, u nějž (na jehož pracovištích) se na základě smlouvy praktické vyučování, studium nebo praxe učně (v souvislosti s pojištěnou činností) uskutečňovaly. </w:t>
      </w:r>
    </w:p>
    <w:p w14:paraId="1FB7EB4A"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Podrobné podmínky pojištění jsou uvedeny v Příloze č. 1 této Zadávací dokumentace „Podmínky pojištění“, jíž je nedílnou součástí. Podmínky pojištění jsou jejich rámcovým vyjádřením; taková jejich zpřesnění či formulace s využitím jiných pojmů, které zachovají jejich smysl, jsou přípustná. Nedodržení těchto podmínek, zejména aplikace dalších výluk, bude považováno za nesplnění podmínek této Zadávací dokumentace.</w:t>
      </w:r>
    </w:p>
    <w:p w14:paraId="29730803" w14:textId="77777777" w:rsidR="00A4797C" w:rsidRPr="00A4797C"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Z důvodu zamezení jakýchkoliv pochybností zadavatel uvádí, že předmětná veřejná zakázka není veřejnou zakázkou na pojišťovacího zprostředkovatele.</w:t>
      </w:r>
    </w:p>
    <w:p w14:paraId="10A78276" w14:textId="0CB5518B" w:rsidR="006E136A" w:rsidRDefault="006E136A" w:rsidP="00A4797C">
      <w:pPr>
        <w:pStyle w:val="Normlnodstavec"/>
        <w:keepNext w:val="0"/>
        <w:keepLines w:val="0"/>
        <w:widowControl w:val="0"/>
      </w:pPr>
      <w:r>
        <w:t>Bližší specifikace předmětu veřejné zakázky je uvedena v </w:t>
      </w:r>
      <w:r w:rsidRPr="00F54716">
        <w:t>Příloze č. 1 a 2 této zadávací dokumentace.</w:t>
      </w:r>
    </w:p>
    <w:p w14:paraId="5491894B" w14:textId="7CABCC69" w:rsidR="005D636E" w:rsidRPr="00CA0FE1" w:rsidRDefault="005D636E" w:rsidP="00A4797C">
      <w:pPr>
        <w:pStyle w:val="Normlnodstavec"/>
        <w:keepNext w:val="0"/>
        <w:keepLines w:val="0"/>
        <w:widowControl w:val="0"/>
      </w:pPr>
      <w:r w:rsidRPr="005D636E">
        <w:t xml:space="preserve">Klasifikace předmětu veřejné </w:t>
      </w:r>
      <w:r w:rsidRPr="00CA0FE1">
        <w:t>zakázky</w:t>
      </w:r>
      <w:r w:rsidR="00F23D8E" w:rsidRPr="00CA0FE1">
        <w:t>:</w:t>
      </w:r>
    </w:p>
    <w:p w14:paraId="6E4CD6FD" w14:textId="424CAC14" w:rsidR="005D636E" w:rsidRPr="00BE041C" w:rsidRDefault="005D636E" w:rsidP="00A4797C">
      <w:pPr>
        <w:widowControl w:val="0"/>
        <w:numPr>
          <w:ilvl w:val="0"/>
          <w:numId w:val="1"/>
        </w:numPr>
        <w:tabs>
          <w:tab w:val="left" w:pos="1361"/>
        </w:tabs>
        <w:spacing w:after="240" w:line="264" w:lineRule="auto"/>
        <w:jc w:val="both"/>
        <w:rPr>
          <w:rFonts w:eastAsia="Verdana" w:cs="Times New Roman"/>
          <w:noProof/>
          <w:szCs w:val="18"/>
        </w:rPr>
      </w:pPr>
      <w:r w:rsidRPr="00BE041C">
        <w:rPr>
          <w:rFonts w:eastAsia="Verdana" w:cs="Times New Roman"/>
          <w:noProof/>
          <w:szCs w:val="18"/>
        </w:rPr>
        <w:t xml:space="preserve">Kód CPV: </w:t>
      </w:r>
      <w:r w:rsidR="00CA0FE1" w:rsidRPr="00BE041C">
        <w:rPr>
          <w:rFonts w:eastAsia="Verdana" w:cs="Times New Roman"/>
          <w:noProof/>
          <w:szCs w:val="18"/>
        </w:rPr>
        <w:t>66516000-0 – Pojištění odpovědnosti za škodu</w:t>
      </w:r>
    </w:p>
    <w:p w14:paraId="51347559" w14:textId="77777777" w:rsidR="005D636E" w:rsidRPr="005D636E" w:rsidRDefault="005D636E" w:rsidP="00A4797C">
      <w:pPr>
        <w:pStyle w:val="Normlnlnek"/>
        <w:keepNext w:val="0"/>
        <w:keepLines w:val="0"/>
        <w:widowControl w:val="0"/>
        <w:rPr>
          <w:rFonts w:eastAsia="Verdana"/>
          <w:noProof/>
        </w:rPr>
      </w:pPr>
      <w:r w:rsidRPr="005D636E">
        <w:rPr>
          <w:rFonts w:eastAsia="Verdana"/>
          <w:noProof/>
        </w:rPr>
        <w:t>Doba plnění a místo plnění veřejné zakázky:</w:t>
      </w:r>
    </w:p>
    <w:p w14:paraId="6486B823" w14:textId="2643FE50" w:rsidR="005D636E" w:rsidRPr="00DC6642" w:rsidRDefault="005D636E" w:rsidP="00A4797C">
      <w:pPr>
        <w:pStyle w:val="Normlnodstavec"/>
        <w:keepNext w:val="0"/>
        <w:keepLines w:val="0"/>
        <w:widowControl w:val="0"/>
      </w:pPr>
      <w:bookmarkStart w:id="5" w:name="_Ref51149834"/>
      <w:r w:rsidRPr="005D636E">
        <w:t xml:space="preserve">Doba plnění veřejné </w:t>
      </w:r>
      <w:r w:rsidRPr="00DC6642">
        <w:t>zakázky</w:t>
      </w:r>
      <w:r w:rsidR="00A4797C" w:rsidRPr="00DC6642">
        <w:t xml:space="preserve"> je 12 kalendářních měsíců</w:t>
      </w:r>
      <w:bookmarkEnd w:id="5"/>
    </w:p>
    <w:p w14:paraId="1F530AA2" w14:textId="4E099D82" w:rsidR="005D636E" w:rsidRPr="00BE041C" w:rsidRDefault="005D636E" w:rsidP="00DC6642">
      <w:pPr>
        <w:pStyle w:val="podlnek"/>
        <w:rPr>
          <w:noProof/>
        </w:rPr>
      </w:pPr>
      <w:r w:rsidRPr="00BE041C">
        <w:rPr>
          <w:noProof/>
        </w:rPr>
        <w:lastRenderedPageBreak/>
        <w:t xml:space="preserve">Termín zahájení plnění: </w:t>
      </w:r>
      <w:r w:rsidRPr="00BE041C">
        <w:rPr>
          <w:noProof/>
        </w:rPr>
        <w:tab/>
      </w:r>
      <w:r w:rsidR="00A4797C" w:rsidRPr="00BE041C">
        <w:rPr>
          <w:noProof/>
        </w:rPr>
        <w:t>od účinnosti Pojistné smlo</w:t>
      </w:r>
      <w:r w:rsidR="00DC6642" w:rsidRPr="00BE041C">
        <w:rPr>
          <w:noProof/>
        </w:rPr>
        <w:t xml:space="preserve">uvy, nejdříve však od </w:t>
      </w:r>
      <w:r w:rsidR="00513522" w:rsidRPr="00BE041C">
        <w:rPr>
          <w:noProof/>
        </w:rPr>
        <w:t>1</w:t>
      </w:r>
      <w:r w:rsidR="00DC6642" w:rsidRPr="00BE041C">
        <w:rPr>
          <w:noProof/>
        </w:rPr>
        <w:t>. 1. 202</w:t>
      </w:r>
      <w:r w:rsidR="006E54B9" w:rsidRPr="00BE041C">
        <w:rPr>
          <w:noProof/>
        </w:rPr>
        <w:t>2 od 00:00 hodin.</w:t>
      </w:r>
    </w:p>
    <w:p w14:paraId="1596698B" w14:textId="1A8E0ADB" w:rsidR="00DC6642" w:rsidRPr="00BE041C" w:rsidRDefault="005D636E" w:rsidP="00DC6642">
      <w:pPr>
        <w:pStyle w:val="podlnek"/>
        <w:rPr>
          <w:noProof/>
        </w:rPr>
      </w:pPr>
      <w:r w:rsidRPr="00BE041C">
        <w:rPr>
          <w:noProof/>
        </w:rPr>
        <w:t xml:space="preserve">Termín ukončení plnění: </w:t>
      </w:r>
      <w:r w:rsidRPr="00BE041C">
        <w:rPr>
          <w:noProof/>
        </w:rPr>
        <w:tab/>
      </w:r>
      <w:r w:rsidR="00DC6642" w:rsidRPr="00BE041C">
        <w:rPr>
          <w:noProof/>
        </w:rPr>
        <w:t>do 31. 12. 202</w:t>
      </w:r>
      <w:r w:rsidR="00513522" w:rsidRPr="00BE041C">
        <w:rPr>
          <w:noProof/>
        </w:rPr>
        <w:t>2</w:t>
      </w:r>
      <w:r w:rsidR="006E54B9" w:rsidRPr="00BE041C">
        <w:rPr>
          <w:noProof/>
        </w:rPr>
        <w:t xml:space="preserve"> do 23:59 hodin</w:t>
      </w:r>
      <w:r w:rsidR="00DC6642" w:rsidRPr="00BE041C">
        <w:rPr>
          <w:noProof/>
        </w:rPr>
        <w:t>.</w:t>
      </w:r>
    </w:p>
    <w:p w14:paraId="4FCB9C40" w14:textId="1D777F56" w:rsidR="005D636E" w:rsidRPr="00BE041C" w:rsidRDefault="00DC6642" w:rsidP="00DC6642">
      <w:pPr>
        <w:pStyle w:val="podlnek"/>
        <w:rPr>
          <w:noProof/>
        </w:rPr>
      </w:pPr>
      <w:r w:rsidRPr="00BE041C">
        <w:rPr>
          <w:noProof/>
        </w:rPr>
        <w:t>Pojistné období je 12 měsíců.</w:t>
      </w:r>
      <w:r w:rsidR="005D636E" w:rsidRPr="00BE041C">
        <w:rPr>
          <w:noProof/>
        </w:rPr>
        <w:tab/>
      </w:r>
    </w:p>
    <w:p w14:paraId="2AAE294E" w14:textId="433C68E4" w:rsidR="00DC6642" w:rsidRPr="005D636E" w:rsidRDefault="00DC6642" w:rsidP="00DC6642">
      <w:pPr>
        <w:pStyle w:val="podlnek"/>
        <w:rPr>
          <w:noProof/>
        </w:rPr>
      </w:pPr>
      <w:r w:rsidRPr="00BE041C">
        <w:rPr>
          <w:noProof/>
        </w:rPr>
        <w:t>Termín zahájení plnění veřejné zakázky může být posunut v závislosti na délce zadávacího řízení. Pokud by k zahájení plnění veřejné zakázky mělo dojít až po 1. 1. 202</w:t>
      </w:r>
      <w:r w:rsidR="00513522" w:rsidRPr="00BE041C">
        <w:rPr>
          <w:noProof/>
        </w:rPr>
        <w:t>2</w:t>
      </w:r>
      <w:r w:rsidRPr="00BE041C">
        <w:rPr>
          <w:noProof/>
        </w:rPr>
        <w:t>, bude doba trvání pojištění upravena tak, aby konec pojiš</w:t>
      </w:r>
      <w:r w:rsidR="001D7718" w:rsidRPr="00BE041C">
        <w:rPr>
          <w:noProof/>
        </w:rPr>
        <w:t>tění připadl na den 31. 12. 202</w:t>
      </w:r>
      <w:r w:rsidR="00513522" w:rsidRPr="00BE041C">
        <w:rPr>
          <w:noProof/>
        </w:rPr>
        <w:t>2</w:t>
      </w:r>
      <w:r w:rsidRPr="00BE041C">
        <w:rPr>
          <w:noProof/>
        </w:rPr>
        <w:t>. Pokud by doba plnění veřejné zakázky byla kratší než předpokládaných 12 měsíců, bude adekvátně  zkráceno pojistné období a dodavatel bude mít nárok pouze na poměrnou část nabídkové ceny/poměrné pojistné za dobu</w:t>
      </w:r>
      <w:r>
        <w:rPr>
          <w:noProof/>
        </w:rPr>
        <w:t xml:space="preserve"> skutečného plnění veřejné zakázky.</w:t>
      </w:r>
    </w:p>
    <w:p w14:paraId="51363451" w14:textId="77777777" w:rsidR="005D636E" w:rsidRPr="005D636E" w:rsidRDefault="005D636E" w:rsidP="00494D00">
      <w:pPr>
        <w:pStyle w:val="Normlnodstavec"/>
      </w:pPr>
      <w:r w:rsidRPr="005D636E">
        <w:t>Místo plnění veřejné zakázky</w:t>
      </w:r>
    </w:p>
    <w:p w14:paraId="2781E4F0" w14:textId="534B251F" w:rsidR="005D636E" w:rsidRPr="005D636E" w:rsidRDefault="005D636E" w:rsidP="00494D00">
      <w:pPr>
        <w:keepNext/>
        <w:keepLines/>
        <w:rPr>
          <w:noProof/>
        </w:rPr>
      </w:pPr>
      <w:r w:rsidRPr="005D636E">
        <w:rPr>
          <w:noProof/>
        </w:rPr>
        <w:t xml:space="preserve">Plnění veřejné zakázky </w:t>
      </w:r>
      <w:r w:rsidR="00DC6642">
        <w:rPr>
          <w:noProof/>
        </w:rPr>
        <w:t>je Česká republika.</w:t>
      </w:r>
      <w:r w:rsidRPr="005D636E">
        <w:rPr>
          <w:noProof/>
        </w:rPr>
        <w:t xml:space="preserve"> </w:t>
      </w:r>
    </w:p>
    <w:p w14:paraId="65DDF10D" w14:textId="77777777" w:rsidR="00170002" w:rsidRPr="00DC6642" w:rsidRDefault="005D636E" w:rsidP="00494D00">
      <w:pPr>
        <w:pStyle w:val="Normlnlnek"/>
      </w:pPr>
      <w:r w:rsidRPr="005D636E">
        <w:t xml:space="preserve">Prohlídka místa </w:t>
      </w:r>
      <w:r w:rsidRPr="00DC6642">
        <w:t>plnění:</w:t>
      </w:r>
    </w:p>
    <w:p w14:paraId="3F53E3E8" w14:textId="54BD022F" w:rsidR="005D636E" w:rsidRPr="00DC6642" w:rsidRDefault="005D636E" w:rsidP="00170002">
      <w:pPr>
        <w:pStyle w:val="Normlnodstavec"/>
      </w:pPr>
      <w:r w:rsidRPr="00DC6642">
        <w:rPr>
          <w:u w:color="000000"/>
          <w:bdr w:val="nil"/>
        </w:rPr>
        <w:t xml:space="preserve">Zadavatel </w:t>
      </w:r>
      <w:r w:rsidR="003B2F03" w:rsidRPr="00DC6642">
        <w:rPr>
          <w:u w:color="000000"/>
          <w:bdr w:val="nil"/>
        </w:rPr>
        <w:t xml:space="preserve">neprovádí </w:t>
      </w:r>
      <w:r w:rsidRPr="00DC6642">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5D636E" w:rsidRDefault="005D636E" w:rsidP="001402FD">
      <w:pPr>
        <w:pStyle w:val="Normlnlnek"/>
      </w:pPr>
      <w:r w:rsidRPr="005D636E">
        <w:t>Požadavky Zadavatele na kvalifikaci dodavatelů</w:t>
      </w:r>
    </w:p>
    <w:p w14:paraId="1248CC4C" w14:textId="77777777" w:rsidR="005D636E" w:rsidRPr="005D636E" w:rsidRDefault="005D636E" w:rsidP="001402FD">
      <w:pPr>
        <w:pStyle w:val="Normlnodstavec"/>
      </w:pPr>
      <w:r w:rsidRPr="005D636E">
        <w:t xml:space="preserve">Zadavatel požaduje dle § 73 ZZVZ po účastnících zadávacího řízení předložení dokladů a informací k prokázání splnění kvalifikace. </w:t>
      </w:r>
    </w:p>
    <w:p w14:paraId="0DD23F60" w14:textId="77777777" w:rsidR="005D636E" w:rsidRPr="00307AD1" w:rsidRDefault="005D636E" w:rsidP="001402FD">
      <w:pPr>
        <w:pStyle w:val="Normlnodstavec"/>
        <w:rPr>
          <w:b/>
          <w:u w:val="single"/>
        </w:rPr>
      </w:pPr>
      <w:r w:rsidRPr="00307AD1">
        <w:rPr>
          <w:b/>
          <w:u w:val="single"/>
        </w:rPr>
        <w:t>Kritéria kvalifikace</w:t>
      </w:r>
    </w:p>
    <w:p w14:paraId="55D60F74" w14:textId="77777777" w:rsidR="005D636E" w:rsidRPr="005D636E" w:rsidRDefault="005D636E" w:rsidP="001402FD">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1402FD">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DC6642" w:rsidRDefault="005D636E" w:rsidP="001402FD">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 xml:space="preserve">b) svou profesní </w:t>
      </w:r>
      <w:r w:rsidRPr="00DC6642">
        <w:rPr>
          <w:rFonts w:eastAsia="Verdana" w:cs="Times New Roman"/>
          <w:noProof/>
          <w:szCs w:val="18"/>
        </w:rPr>
        <w:t>způsobilost dle § 77 ZZVZ</w:t>
      </w:r>
      <w:r w:rsidR="00530A60" w:rsidRPr="00DC6642">
        <w:rPr>
          <w:rFonts w:eastAsia="Verdana" w:cs="Times New Roman"/>
          <w:noProof/>
          <w:szCs w:val="18"/>
        </w:rPr>
        <w:t>;</w:t>
      </w:r>
      <w:r w:rsidRPr="00DC6642">
        <w:rPr>
          <w:rFonts w:eastAsia="Verdana" w:cs="Times New Roman"/>
          <w:noProof/>
          <w:szCs w:val="18"/>
        </w:rPr>
        <w:t xml:space="preserve"> </w:t>
      </w:r>
    </w:p>
    <w:p w14:paraId="36F04507" w14:textId="77777777" w:rsidR="005D636E" w:rsidRPr="00DC6642" w:rsidRDefault="005D636E" w:rsidP="001402FD">
      <w:pPr>
        <w:keepNext/>
        <w:keepLines/>
        <w:tabs>
          <w:tab w:val="left" w:pos="1361"/>
        </w:tabs>
        <w:spacing w:line="264" w:lineRule="auto"/>
        <w:ind w:left="1276"/>
        <w:jc w:val="both"/>
        <w:rPr>
          <w:rFonts w:eastAsia="Verdana" w:cs="Times New Roman"/>
          <w:noProof/>
          <w:szCs w:val="18"/>
        </w:rPr>
      </w:pPr>
      <w:r w:rsidRPr="00DC6642">
        <w:rPr>
          <w:rFonts w:eastAsia="Verdana" w:cs="Times New Roman"/>
          <w:noProof/>
          <w:szCs w:val="18"/>
        </w:rPr>
        <w:t>d) svou technickou kvalifikaci dle § 79 ZZVZ;</w:t>
      </w:r>
    </w:p>
    <w:p w14:paraId="00FCEF9B" w14:textId="77777777" w:rsidR="00307AD1" w:rsidRPr="0030588A" w:rsidRDefault="005D636E" w:rsidP="001402FD">
      <w:pPr>
        <w:pStyle w:val="Normlnodstavec"/>
        <w:rPr>
          <w:rFonts w:cs="Times New Roman"/>
          <w:b/>
          <w:szCs w:val="18"/>
        </w:rPr>
      </w:pPr>
      <w:r w:rsidRPr="0030588A">
        <w:rPr>
          <w:b/>
        </w:rPr>
        <w:t>Forma prokazování splnění kvalifikace</w:t>
      </w:r>
    </w:p>
    <w:p w14:paraId="0280AC1C" w14:textId="77777777" w:rsidR="005D636E" w:rsidRPr="0030588A" w:rsidRDefault="005D636E" w:rsidP="001402FD">
      <w:pPr>
        <w:pStyle w:val="podlnek"/>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1402FD">
      <w:pPr>
        <w:pStyle w:val="podlnek"/>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77777777" w:rsidR="005D636E" w:rsidRPr="005D636E" w:rsidRDefault="005D636E" w:rsidP="001402FD">
      <w:pPr>
        <w:pStyle w:val="podlnek"/>
        <w:rPr>
          <w:rFonts w:eastAsia="Verdana"/>
          <w:noProof/>
        </w:rPr>
      </w:pPr>
      <w:r w:rsidRPr="005D636E">
        <w:rPr>
          <w:rFonts w:eastAsia="Verdana"/>
          <w:noProof/>
        </w:rPr>
        <w:t>Zadavatel vylučuje možnost, aby dodavatelé pro účely podání nabídky požadované doklady o kvalifikaci dle čl. 8 této ZD nahradili ZD čestným prohlášením dle § 86 ZZVZ.</w:t>
      </w:r>
    </w:p>
    <w:p w14:paraId="3E6BB4B5" w14:textId="77777777" w:rsidR="005D636E" w:rsidRPr="005D636E" w:rsidRDefault="005D636E" w:rsidP="001402FD">
      <w:pPr>
        <w:pStyle w:val="podlnek"/>
        <w:rPr>
          <w:rFonts w:eastAsia="Verdana"/>
          <w:noProof/>
        </w:rPr>
      </w:pPr>
      <w:r w:rsidRPr="005D636E">
        <w:rPr>
          <w:rFonts w:eastAsia="Verdana"/>
          <w:noProof/>
        </w:rPr>
        <w:lastRenderedPageBreak/>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3" w:history="1">
        <w:r w:rsidRPr="005D636E">
          <w:rPr>
            <w:rFonts w:eastAsia="Verdana"/>
            <w:noProof/>
            <w:color w:val="0563C1"/>
            <w:u w:val="single"/>
          </w:rPr>
          <w:t>http://eur-lex.europa.eu/legal-content/CS/TXT/?uri=uriserv%3AOJ.L_.2016.003.01.0016.01. CES</w:t>
        </w:r>
      </w:hyperlink>
      <w:r w:rsidRPr="005D636E">
        <w:rPr>
          <w:rFonts w:eastAsia="Verdana"/>
          <w:noProof/>
        </w:rPr>
        <w:t>).</w:t>
      </w:r>
    </w:p>
    <w:p w14:paraId="450065E9" w14:textId="77777777" w:rsidR="005D636E" w:rsidRPr="005D636E" w:rsidRDefault="005D636E" w:rsidP="001402FD">
      <w:pPr>
        <w:pStyle w:val="podlnek"/>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1402FD">
      <w:pPr>
        <w:pStyle w:val="podlnek"/>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77777777" w:rsidR="005D636E" w:rsidRPr="005D636E" w:rsidRDefault="005D636E" w:rsidP="001402FD">
      <w:pPr>
        <w:pStyle w:val="podlnek"/>
        <w:rPr>
          <w:rFonts w:eastAsia="Verdana"/>
          <w:noProof/>
        </w:rPr>
      </w:pPr>
      <w:r w:rsidRPr="005D636E">
        <w:rPr>
          <w:rFonts w:eastAsia="Verdana"/>
          <w:noProof/>
        </w:rPr>
        <w:t>Dodavatel předkládá doklady prokazující splnění kvalifikace ve formě prosté kopie. Vybraný dodavatel má povinnost postupem dle § 122 odst. 3 písm. a) ZZVZ před uzavřením Smlouvy Zadavateli předložit originály nebo ověřené kopie dokladů o kvalifikaci, pokud již nebyly v zadávacím řízení předloženy.</w:t>
      </w:r>
    </w:p>
    <w:p w14:paraId="2AAC9614" w14:textId="77777777" w:rsidR="005D636E" w:rsidRPr="005D636E" w:rsidRDefault="005D636E" w:rsidP="001402FD">
      <w:pPr>
        <w:pStyle w:val="podlnek"/>
        <w:rPr>
          <w:rFonts w:eastAsia="Verdana"/>
          <w:noProof/>
        </w:rPr>
      </w:pPr>
      <w:r w:rsidRPr="005D636E">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5D636E" w:rsidRDefault="005D636E" w:rsidP="001913CC">
      <w:pPr>
        <w:pStyle w:val="podlnek"/>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1D153D57" w14:textId="5494E674" w:rsidR="005D636E" w:rsidRDefault="005D636E" w:rsidP="001913CC">
      <w:pPr>
        <w:pStyle w:val="podlnek"/>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předkladu,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6F59CA6D" w14:textId="75EAA603" w:rsidR="00C11988" w:rsidRDefault="00C11988" w:rsidP="00C11988">
      <w:pPr>
        <w:pStyle w:val="podlnek"/>
        <w:numPr>
          <w:ilvl w:val="0"/>
          <w:numId w:val="0"/>
        </w:numPr>
        <w:ind w:left="1702"/>
        <w:rPr>
          <w:rFonts w:eastAsia="Verdana"/>
          <w:noProof/>
        </w:rPr>
      </w:pPr>
    </w:p>
    <w:p w14:paraId="45EFC0D8" w14:textId="3798D235" w:rsidR="00C11988" w:rsidRDefault="00C11988" w:rsidP="00C11988">
      <w:pPr>
        <w:pStyle w:val="podlnek"/>
        <w:numPr>
          <w:ilvl w:val="0"/>
          <w:numId w:val="0"/>
        </w:numPr>
        <w:ind w:left="1702"/>
        <w:rPr>
          <w:rFonts w:eastAsia="Verdana"/>
          <w:noProof/>
        </w:rPr>
      </w:pPr>
    </w:p>
    <w:p w14:paraId="7CC5147D" w14:textId="77777777" w:rsidR="00C11988" w:rsidRPr="005D636E" w:rsidRDefault="00C11988" w:rsidP="00C11988">
      <w:pPr>
        <w:pStyle w:val="podlnek"/>
        <w:numPr>
          <w:ilvl w:val="0"/>
          <w:numId w:val="0"/>
        </w:numPr>
        <w:ind w:left="1702"/>
        <w:rPr>
          <w:rFonts w:eastAsia="Verdana"/>
          <w:noProof/>
        </w:rPr>
      </w:pPr>
    </w:p>
    <w:p w14:paraId="52DEFD3C" w14:textId="77777777" w:rsidR="005D636E" w:rsidRPr="0030588A" w:rsidRDefault="005D636E" w:rsidP="001402FD">
      <w:pPr>
        <w:pStyle w:val="Normlnodstavec"/>
        <w:rPr>
          <w:b/>
        </w:rPr>
      </w:pPr>
      <w:r w:rsidRPr="0030588A">
        <w:rPr>
          <w:b/>
        </w:rPr>
        <w:lastRenderedPageBreak/>
        <w:t>Prokázání kvalifikace prostřednictvím jiných osob dle § 83 ZZVZ</w:t>
      </w:r>
    </w:p>
    <w:p w14:paraId="4FA5BD57" w14:textId="77777777" w:rsidR="005D636E" w:rsidRPr="005D636E" w:rsidRDefault="005D636E" w:rsidP="001402FD">
      <w:pPr>
        <w:pStyle w:val="podlnek"/>
        <w:rPr>
          <w:rFonts w:eastAsia="Verdana"/>
          <w:noProof/>
        </w:rPr>
      </w:pPr>
      <w:r w:rsidRPr="005D636E">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77777777" w:rsid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p>
    <w:p w14:paraId="337D8006" w14:textId="77777777" w:rsidR="005D636E" w:rsidRDefault="005D636E" w:rsidP="001402FD">
      <w:pPr>
        <w:pStyle w:val="podlnek"/>
        <w:rPr>
          <w:rFonts w:eastAsia="Verdana"/>
          <w:noProof/>
        </w:rPr>
      </w:pPr>
      <w:r w:rsidRPr="005D636E">
        <w:rPr>
          <w:rFonts w:eastAsia="Verdana"/>
          <w:noProof/>
        </w:rPr>
        <w:t>Dodavatelé a jiné osoby prokazují (mohou prokázat) kvalifikaci společně.</w:t>
      </w:r>
    </w:p>
    <w:p w14:paraId="041BC0FD" w14:textId="37C75897" w:rsidR="00977DA9" w:rsidRPr="005D636E" w:rsidRDefault="00977DA9" w:rsidP="001402FD">
      <w:pPr>
        <w:pStyle w:val="podlnek"/>
        <w:rPr>
          <w:rFonts w:eastAsia="Verdana"/>
          <w:noProof/>
        </w:rPr>
      </w:pPr>
      <w:r>
        <w:rPr>
          <w:rFonts w:eastAsia="Verdana"/>
          <w:noProof/>
        </w:rPr>
        <w:t>D</w:t>
      </w:r>
      <w:r w:rsidRPr="00977DA9">
        <w:rPr>
          <w:rFonts w:eastAsia="Verdana"/>
          <w:noProof/>
        </w:rPr>
        <w:t>odavatel a jiná osoba, jejímž prostřednictvím dodavatel prokazuje ekonomickou kvalifikaci podle § 78 ZZVZ nesou společnou a nerozdílnou odpovědnost za plnění veřejné zakázky.</w:t>
      </w:r>
    </w:p>
    <w:p w14:paraId="70A5415D" w14:textId="77777777" w:rsidR="005D636E" w:rsidRPr="005D636E" w:rsidRDefault="005D636E" w:rsidP="001402FD">
      <w:pPr>
        <w:pStyle w:val="podlnek"/>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1402FD">
      <w:pPr>
        <w:pStyle w:val="Normlnodstavec"/>
        <w:rPr>
          <w:b/>
        </w:rPr>
      </w:pPr>
      <w:r w:rsidRPr="0030588A">
        <w:rPr>
          <w:b/>
        </w:rPr>
        <w:t xml:space="preserve">Prokazování kvalifikace v případě společné účasti dodavatelů dle § 82 ZZVZ </w:t>
      </w:r>
    </w:p>
    <w:p w14:paraId="6585F3D4" w14:textId="77777777" w:rsidR="005D636E" w:rsidRPr="005D636E" w:rsidRDefault="005D636E" w:rsidP="001402FD">
      <w:pPr>
        <w:pStyle w:val="podlnek"/>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4857359C" w:rsidR="005D636E" w:rsidRPr="005D636E" w:rsidRDefault="00A202C3" w:rsidP="001402FD">
      <w:pPr>
        <w:pStyle w:val="podlnek"/>
        <w:rPr>
          <w:rFonts w:eastAsia="Verdana"/>
          <w:noProof/>
        </w:rPr>
      </w:pPr>
      <w:r>
        <w:rPr>
          <w:rFonts w:eastAsia="Verdana"/>
          <w:noProof/>
        </w:rPr>
        <w:t>N</w:t>
      </w:r>
      <w:r w:rsidR="005D636E" w:rsidRPr="005D636E">
        <w:rPr>
          <w:rFonts w:eastAsia="Verdana"/>
          <w:noProof/>
        </w:rPr>
        <w:t>abídka, více dodavatelů musí dále splňovat následující předpoklady:</w:t>
      </w:r>
    </w:p>
    <w:p w14:paraId="066EBA6D" w14:textId="3387BB5D"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r>
      <w:r w:rsidR="00A202C3">
        <w:rPr>
          <w:rFonts w:eastAsia="Verdana" w:cs="Times New Roman"/>
          <w:noProof/>
          <w:szCs w:val="18"/>
        </w:rPr>
        <w:t>N</w:t>
      </w:r>
      <w:r w:rsidRPr="005D636E">
        <w:rPr>
          <w:rFonts w:eastAsia="Verdana" w:cs="Times New Roman"/>
          <w:noProof/>
          <w:szCs w:val="18"/>
        </w:rPr>
        <w:t xml:space="preserve">abídka, bude podepsána způsobem, který právně zavazuje všechny dodavatele. </w:t>
      </w:r>
    </w:p>
    <w:p w14:paraId="60F299F3" w14:textId="77777777"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77777777"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30588A" w:rsidRDefault="005D636E" w:rsidP="001402FD">
      <w:pPr>
        <w:pStyle w:val="Normlnodstavec"/>
        <w:rPr>
          <w:b/>
        </w:rPr>
      </w:pPr>
      <w:r w:rsidRPr="0030588A">
        <w:rPr>
          <w:b/>
        </w:rPr>
        <w:t>Prokazování kvalifikace získané v zahraničí dle § 81 ZZVZ</w:t>
      </w:r>
    </w:p>
    <w:p w14:paraId="474167EE" w14:textId="77777777" w:rsidR="005D636E" w:rsidRPr="005D636E" w:rsidRDefault="005D636E" w:rsidP="001402FD">
      <w:pPr>
        <w:pStyle w:val="podlnek"/>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1402FD">
      <w:pPr>
        <w:pStyle w:val="podlnek"/>
        <w:rPr>
          <w:rFonts w:eastAsia="Verdana"/>
          <w:noProof/>
        </w:rPr>
      </w:pPr>
      <w:r w:rsidRPr="005D636E">
        <w:rPr>
          <w:rFonts w:eastAsia="Verdana"/>
          <w:noProof/>
        </w:rPr>
        <w:lastRenderedPageBreak/>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B431A4">
      <w:pPr>
        <w:pStyle w:val="Normlnodstavec"/>
        <w:rPr>
          <w:b/>
        </w:rPr>
      </w:pPr>
      <w:r w:rsidRPr="00F711A2">
        <w:rPr>
          <w:b/>
        </w:rPr>
        <w:t>Změny kvalifikace účastníka zadávacího řízení dle § 88 ZZVZ</w:t>
      </w:r>
    </w:p>
    <w:p w14:paraId="29D759D3" w14:textId="77777777" w:rsidR="005D636E" w:rsidRPr="005D636E" w:rsidRDefault="005D636E" w:rsidP="001402FD">
      <w:pPr>
        <w:pStyle w:val="podlnek"/>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1402FD">
      <w:pPr>
        <w:keepNext/>
        <w:keepLine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1402FD">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77777777" w:rsidR="005D636E" w:rsidRPr="005D636E" w:rsidRDefault="005D636E" w:rsidP="001402FD">
      <w:pPr>
        <w:pStyle w:val="podlnek"/>
        <w:rPr>
          <w:rFonts w:eastAsia="Verdana"/>
          <w:noProof/>
        </w:rPr>
      </w:pPr>
      <w:r w:rsidRPr="005D636E">
        <w:rPr>
          <w:rFonts w:eastAsia="Verdana"/>
          <w:noProof/>
        </w:rPr>
        <w:t>Dozví-li se Zadavatel, že dodavatel nesplnil shora uvedenou povinnost, může jej ze zadávacího řízení bezodkladně vyloučit.</w:t>
      </w:r>
    </w:p>
    <w:p w14:paraId="7B4EE3A6" w14:textId="77777777" w:rsidR="005D636E" w:rsidRPr="008C3C84" w:rsidRDefault="005D636E" w:rsidP="001402FD">
      <w:pPr>
        <w:pStyle w:val="Normlnodstavec"/>
        <w:rPr>
          <w:b/>
        </w:rPr>
      </w:pPr>
      <w:r w:rsidRPr="008C3C84">
        <w:rPr>
          <w:b/>
        </w:rPr>
        <w:t>Výpis ze seznamu kvalifikovaných dodavatelů dle § 228 ZZVZ</w:t>
      </w:r>
    </w:p>
    <w:p w14:paraId="1C804574" w14:textId="77777777" w:rsidR="005D636E" w:rsidRPr="005D636E" w:rsidRDefault="005D636E" w:rsidP="001402FD">
      <w:pPr>
        <w:pStyle w:val="podlnek"/>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1402FD">
      <w:pPr>
        <w:pStyle w:val="Normlnodstavec"/>
        <w:rPr>
          <w:b/>
        </w:rPr>
      </w:pPr>
      <w:r w:rsidRPr="008C3C84">
        <w:rPr>
          <w:b/>
        </w:rPr>
        <w:t>Předložení certifikátu dle § 234 ZZVZ</w:t>
      </w:r>
    </w:p>
    <w:p w14:paraId="7AEE4C08" w14:textId="77777777" w:rsidR="005D636E" w:rsidRPr="005D636E" w:rsidRDefault="005D636E" w:rsidP="001402FD">
      <w:pPr>
        <w:pStyle w:val="podlnek"/>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1402FD">
      <w:pPr>
        <w:pStyle w:val="Normlnodstavec"/>
        <w:rPr>
          <w:b/>
        </w:rPr>
      </w:pPr>
      <w:r w:rsidRPr="008C3C84">
        <w:rPr>
          <w:b/>
        </w:rPr>
        <w:t>Důsledek nesplnění kvalifikace</w:t>
      </w:r>
    </w:p>
    <w:p w14:paraId="32C4AE20" w14:textId="77777777" w:rsidR="005D636E" w:rsidRPr="005D636E" w:rsidRDefault="005D636E" w:rsidP="001402FD">
      <w:pPr>
        <w:pStyle w:val="podlnek"/>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1402FD">
      <w:pPr>
        <w:pStyle w:val="Normlnlnek"/>
        <w:rPr>
          <w:rFonts w:eastAsia="Verdana"/>
          <w:noProof/>
        </w:rPr>
      </w:pPr>
      <w:bookmarkStart w:id="6" w:name="základní"/>
      <w:r w:rsidRPr="005D636E">
        <w:rPr>
          <w:rFonts w:eastAsia="Verdana"/>
          <w:noProof/>
        </w:rPr>
        <w:t>Základní způsobilost dle § 74 a § 75 ZZVZ</w:t>
      </w:r>
      <w:bookmarkEnd w:id="6"/>
    </w:p>
    <w:p w14:paraId="7121DED3" w14:textId="77777777" w:rsidR="005D636E" w:rsidRPr="005D636E" w:rsidRDefault="005D636E" w:rsidP="001402FD">
      <w:pPr>
        <w:pStyle w:val="Normlnodstavec"/>
      </w:pPr>
      <w:r w:rsidRPr="005D636E">
        <w:t>Zadavatel v souladu s ustanovením § 73 ZZVZ požaduje prokázání základní způsobilosti podle § 74 ZZVZ následujícím způsobem:</w:t>
      </w:r>
    </w:p>
    <w:p w14:paraId="3B6E2DDA"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lastRenderedPageBreak/>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77777777" w:rsidR="005D636E" w:rsidRPr="005D636E" w:rsidRDefault="005D636E" w:rsidP="001402FD">
      <w:pPr>
        <w:pStyle w:val="Normlnodstavec"/>
      </w:pPr>
      <w:r w:rsidRPr="005D636E">
        <w:t xml:space="preserve">Je-li dodavatelem právnická osoba, musí podmínku uvedenou </w:t>
      </w:r>
      <w:r w:rsidR="003C5468">
        <w:t>v odstavci 8.1</w:t>
      </w:r>
      <w:r w:rsidRPr="005D636E">
        <w:t xml:space="preserve"> písm. a) splňovat tato právnická osoba a zároveň každý člen statutárního orgánu. Je-li členem statutárního orgánu dodavatele právnická osoba, musí podmínku uvedenou shora pod písm. a) splňovat</w:t>
      </w:r>
      <w:r w:rsidR="003C5468">
        <w:t>:</w:t>
      </w:r>
    </w:p>
    <w:p w14:paraId="330BC257"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1402FD">
      <w:pPr>
        <w:pStyle w:val="Normlnodstavec"/>
      </w:pPr>
      <w:r w:rsidRPr="005D636E">
        <w:t>Účastní-li se zadávacího řízení pobočka závodu</w:t>
      </w:r>
      <w:r w:rsidR="003C5468">
        <w:t>:</w:t>
      </w:r>
    </w:p>
    <w:p w14:paraId="2E5808F3" w14:textId="26B953F1" w:rsidR="005D636E" w:rsidRPr="005D636E" w:rsidRDefault="005D636E" w:rsidP="001402FD">
      <w:pPr>
        <w:pStyle w:val="podlnek"/>
        <w:rPr>
          <w:rFonts w:eastAsia="Verdana"/>
          <w:noProof/>
        </w:rPr>
      </w:pPr>
      <w:r w:rsidRPr="005D636E">
        <w:rPr>
          <w:rFonts w:eastAsia="Verdana"/>
          <w:noProof/>
        </w:rPr>
        <w:t xml:space="preserve">zahraniční právnické osoby, musí podmínku uvedenou </w:t>
      </w:r>
      <w:r w:rsidR="003C5468">
        <w:rPr>
          <w:rFonts w:eastAsia="Verdana"/>
          <w:noProof/>
        </w:rPr>
        <w:t>v odstavci 8.1</w:t>
      </w:r>
      <w:r w:rsidRPr="005D636E">
        <w:rPr>
          <w:rFonts w:eastAsia="Verdana"/>
          <w:noProof/>
        </w:rPr>
        <w:t xml:space="preserve"> písm. a) splňovat tato právnická</w:t>
      </w:r>
      <w:r w:rsidR="003C5468">
        <w:rPr>
          <w:rFonts w:eastAsia="Verdana"/>
          <w:noProof/>
        </w:rPr>
        <w:t xml:space="preserve"> osoba a vedoucí pobočky závodu</w:t>
      </w:r>
    </w:p>
    <w:p w14:paraId="025C1112" w14:textId="77777777" w:rsidR="003C5468" w:rsidRDefault="005D636E" w:rsidP="001402FD">
      <w:pPr>
        <w:pStyle w:val="podlnek"/>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77777777" w:rsidR="003C5468" w:rsidRDefault="003C5468" w:rsidP="001402FD">
      <w:pPr>
        <w:keepNext/>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0B72948" w14:textId="77777777" w:rsidR="005D636E" w:rsidRPr="005D636E" w:rsidRDefault="003C5468" w:rsidP="001402FD">
      <w:pPr>
        <w:keepNext/>
        <w:keepLines/>
        <w:tabs>
          <w:tab w:val="left" w:pos="1361"/>
        </w:tab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1402FD">
      <w:pPr>
        <w:pStyle w:val="Normlnodstavec"/>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1402FD">
      <w:pPr>
        <w:keepNext/>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lastRenderedPageBreak/>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1402FD">
      <w:pPr>
        <w:keepNext/>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1402FD">
      <w:pPr>
        <w:pStyle w:val="Normlnodstavec"/>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Pr="005D636E" w:rsidRDefault="005D636E" w:rsidP="001402FD">
      <w:pPr>
        <w:pStyle w:val="Normlnodstavec"/>
      </w:pPr>
      <w:r w:rsidRPr="005D636E">
        <w:t>Pokud Zadavatel dospěje k 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1402FD">
      <w:pPr>
        <w:pStyle w:val="Normlnlnek"/>
        <w:rPr>
          <w:rFonts w:eastAsia="Verdana"/>
          <w:noProof/>
        </w:rPr>
      </w:pPr>
      <w:bookmarkStart w:id="7" w:name="profesní"/>
      <w:r w:rsidRPr="005D636E">
        <w:rPr>
          <w:rFonts w:eastAsia="Verdana"/>
          <w:noProof/>
        </w:rPr>
        <w:t>Profesní způsobilost dle § 77 ZZVZ</w:t>
      </w:r>
    </w:p>
    <w:bookmarkEnd w:id="7"/>
    <w:p w14:paraId="5BBE876D" w14:textId="77777777" w:rsidR="005D636E" w:rsidRPr="005D636E" w:rsidRDefault="005D636E" w:rsidP="001402FD">
      <w:pPr>
        <w:pStyle w:val="Normlnodstavec"/>
      </w:pPr>
      <w:r w:rsidRPr="005D636E">
        <w:t>Zadavatel v souladu s ustanovením § 73 ZZVZ požaduje prokázání profesní způsobilosti dle § 77 ZZVZ následujícím způsobem:</w:t>
      </w:r>
    </w:p>
    <w:p w14:paraId="375E3977" w14:textId="77777777" w:rsidR="005D636E" w:rsidRPr="006E136A" w:rsidRDefault="005D636E" w:rsidP="001402FD">
      <w:pPr>
        <w:keepNext/>
        <w:keepLines/>
        <w:tabs>
          <w:tab w:val="left" w:pos="1361"/>
          <w:tab w:val="left" w:pos="1418"/>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 xml:space="preserve">Dodavatel prokazuje splnění profesní způsobilosti ve vztahu k České republice předložením výpisu z obchodního rejstříku nebo jiné obdobné evidence, pokud jiný </w:t>
      </w:r>
      <w:r w:rsidRPr="006E136A">
        <w:rPr>
          <w:rFonts w:eastAsia="Verdana" w:cs="Times New Roman"/>
          <w:noProof/>
          <w:szCs w:val="18"/>
        </w:rPr>
        <w:t>právní předpis zápis do takové evidence vyžaduje.</w:t>
      </w:r>
    </w:p>
    <w:p w14:paraId="34CF4E0B" w14:textId="77777777" w:rsidR="005D636E" w:rsidRPr="006E136A" w:rsidRDefault="005D636E" w:rsidP="001402FD">
      <w:pPr>
        <w:keepNext/>
        <w:keepLines/>
        <w:tabs>
          <w:tab w:val="left" w:pos="1418"/>
        </w:tabs>
        <w:spacing w:line="264" w:lineRule="auto"/>
        <w:ind w:left="624"/>
        <w:jc w:val="both"/>
        <w:rPr>
          <w:rFonts w:eastAsia="Verdana" w:cs="Times New Roman"/>
          <w:i/>
          <w:noProof/>
          <w:szCs w:val="18"/>
        </w:rPr>
      </w:pPr>
      <w:r w:rsidRPr="006E136A">
        <w:rPr>
          <w:rFonts w:eastAsia="Verdana" w:cs="Times New Roman"/>
          <w:i/>
          <w:noProof/>
          <w:szCs w:val="18"/>
        </w:rPr>
        <w:t xml:space="preserve">Dodavatel prokazuje splnění tohoto kritéria profesní způsobilosti předložením </w:t>
      </w:r>
      <w:r w:rsidRPr="006E136A">
        <w:rPr>
          <w:rFonts w:eastAsia="Verdana" w:cs="Times New Roman"/>
          <w:b/>
          <w:i/>
          <w:noProof/>
          <w:szCs w:val="18"/>
          <w:u w:val="single"/>
        </w:rPr>
        <w:t>výpisu z obchodního rejstříku či jiné obdobné evidence</w:t>
      </w:r>
      <w:r w:rsidRPr="006E136A">
        <w:rPr>
          <w:rFonts w:eastAsia="Verdana" w:cs="Times New Roman"/>
          <w:i/>
          <w:noProof/>
          <w:szCs w:val="18"/>
        </w:rPr>
        <w:t>.</w:t>
      </w:r>
    </w:p>
    <w:p w14:paraId="0FF1BE3C" w14:textId="77777777" w:rsidR="005D636E" w:rsidRPr="006E136A" w:rsidRDefault="005D636E" w:rsidP="001402FD">
      <w:pPr>
        <w:keepNext/>
        <w:keepLines/>
        <w:tabs>
          <w:tab w:val="left" w:pos="1361"/>
        </w:tabs>
        <w:spacing w:line="264" w:lineRule="auto"/>
        <w:ind w:left="1078" w:hanging="454"/>
        <w:rPr>
          <w:rFonts w:eastAsia="Verdana" w:cs="Times New Roman"/>
          <w:noProof/>
          <w:szCs w:val="18"/>
        </w:rPr>
      </w:pPr>
      <w:r w:rsidRPr="006E136A">
        <w:rPr>
          <w:rFonts w:eastAsia="Verdana" w:cs="Times New Roman"/>
          <w:noProof/>
          <w:szCs w:val="18"/>
        </w:rPr>
        <w:t>b)</w:t>
      </w:r>
      <w:r w:rsidRPr="006E136A">
        <w:rPr>
          <w:rFonts w:eastAsia="Verdana" w:cs="Times New Roman"/>
          <w:noProof/>
          <w:szCs w:val="18"/>
        </w:rPr>
        <w:tab/>
        <w:t xml:space="preserve">Zadavatel požaduje, aby dodavatel předložil doklad o oprávnění podnikat v rozsahu odpovídajícím předmětu veřejné zakázky, pokud jiné právní předpisy takové oprávnění požadují. </w:t>
      </w:r>
    </w:p>
    <w:p w14:paraId="6D9A2456" w14:textId="2CD6936D" w:rsidR="005D636E" w:rsidRPr="006E136A" w:rsidRDefault="005D636E" w:rsidP="006E136A">
      <w:pPr>
        <w:pStyle w:val="Normlnodstavec"/>
        <w:numPr>
          <w:ilvl w:val="0"/>
          <w:numId w:val="0"/>
        </w:numPr>
        <w:ind w:left="567"/>
        <w:rPr>
          <w:rFonts w:cs="Times New Roman"/>
          <w:i/>
          <w:szCs w:val="18"/>
        </w:rPr>
      </w:pPr>
      <w:r w:rsidRPr="006E136A">
        <w:rPr>
          <w:i/>
        </w:rPr>
        <w:t>Dodavatel prokazuje splnění tohoto kritéria profesní způsobilosti</w:t>
      </w:r>
      <w:r w:rsidR="00DC6642" w:rsidRPr="006E136A">
        <w:rPr>
          <w:i/>
        </w:rPr>
        <w:t xml:space="preserve"> ve vztahu k České republice předložením dokladu prokazujícího oprávnění dodavatele k provozování pojišťovací činnosti pro pojistná odvětví neživotních pojištění – pojištění odpovědnosti za újmu dle zákona č. 277/2009 Sb., o pojišťovnictví.</w:t>
      </w:r>
    </w:p>
    <w:p w14:paraId="4D70E8E8" w14:textId="77777777" w:rsidR="005D636E" w:rsidRPr="006E136A" w:rsidRDefault="005D636E" w:rsidP="001402FD">
      <w:pPr>
        <w:pStyle w:val="Normlnodstavec"/>
      </w:pPr>
      <w:r w:rsidRPr="005563BE">
        <w:t xml:space="preserve">Doklady k prokázání profesní </w:t>
      </w:r>
      <w:r w:rsidRPr="006E136A">
        <w:t>způsobilosti dodavatel nemusí předložit, pokud právní předpisy v zemi jeho sídla obdobnou profesní způsobilost nevyžadují.</w:t>
      </w:r>
    </w:p>
    <w:p w14:paraId="7FA3FB3F" w14:textId="1E39035E" w:rsidR="005D636E" w:rsidRPr="006E136A" w:rsidRDefault="005D636E" w:rsidP="001402FD">
      <w:pPr>
        <w:pStyle w:val="Normlnlnek"/>
        <w:rPr>
          <w:rFonts w:eastAsia="Verdana"/>
          <w:noProof/>
        </w:rPr>
      </w:pPr>
      <w:bookmarkStart w:id="8" w:name="ekonomická"/>
      <w:r w:rsidRPr="006E136A">
        <w:rPr>
          <w:rFonts w:eastAsia="Verdana"/>
          <w:noProof/>
        </w:rPr>
        <w:t>Ekonomická kvalifikace dle § 78 ZZVZ</w:t>
      </w:r>
    </w:p>
    <w:bookmarkEnd w:id="8"/>
    <w:p w14:paraId="50EAA077" w14:textId="5BEE9B40" w:rsidR="005563BE" w:rsidRPr="006E136A" w:rsidRDefault="005563BE" w:rsidP="001402FD">
      <w:pPr>
        <w:pStyle w:val="Normlnodstavec"/>
        <w:rPr>
          <w:i/>
        </w:rPr>
      </w:pPr>
      <w:r w:rsidRPr="006E136A">
        <w:rPr>
          <w:i/>
        </w:rPr>
        <w:t>Zadavatel nepožaduje ekonomickou kvalifikaci.</w:t>
      </w:r>
    </w:p>
    <w:p w14:paraId="1667A8C8" w14:textId="707CF95A" w:rsidR="005D636E" w:rsidRDefault="005D636E" w:rsidP="001402FD">
      <w:pPr>
        <w:pStyle w:val="Normlnlnek"/>
        <w:rPr>
          <w:rFonts w:eastAsia="Verdana"/>
          <w:noProof/>
        </w:rPr>
      </w:pPr>
      <w:bookmarkStart w:id="9" w:name="technická"/>
      <w:r w:rsidRPr="005D636E">
        <w:rPr>
          <w:rFonts w:eastAsia="Verdana"/>
          <w:noProof/>
        </w:rPr>
        <w:t>Technická kvalifikace dle § 79 ZZVZ</w:t>
      </w:r>
    </w:p>
    <w:bookmarkEnd w:id="9"/>
    <w:p w14:paraId="4790767C" w14:textId="3D055B1E" w:rsidR="005D636E" w:rsidRPr="000C3743" w:rsidRDefault="00D42866" w:rsidP="00480838">
      <w:pPr>
        <w:pStyle w:val="Normlnodstavec"/>
      </w:pPr>
      <w:r w:rsidRPr="000C3743">
        <w:t>S</w:t>
      </w:r>
      <w:r w:rsidR="005D636E" w:rsidRPr="000C3743">
        <w:t xml:space="preserve">eznam </w:t>
      </w:r>
      <w:r w:rsidR="001604CB" w:rsidRPr="000C3743">
        <w:t xml:space="preserve">obsahující významné </w:t>
      </w:r>
      <w:sdt>
        <w:sdtPr>
          <w:alias w:val="Klíčová slova"/>
          <w:tag w:val=""/>
          <w:id w:val="1507247758"/>
          <w:placeholder>
            <w:docPart w:val="9DBAEB239FC9439DA079B4B0200830AC"/>
          </w:placeholder>
          <w:dataBinding w:prefixMappings="xmlns:ns0='http://purl.org/dc/elements/1.1/' xmlns:ns1='http://schemas.openxmlformats.org/package/2006/metadata/core-properties' " w:xpath="/ns1:coreProperties[1]/ns1:keywords[1]" w:storeItemID="{6C3C8BC8-F283-45AE-878A-BAB7291924A1}"/>
          <w:text/>
        </w:sdtPr>
        <w:sdtContent>
          <w:r w:rsidR="00E663CF" w:rsidRPr="00F54716">
            <w:t>služby</w:t>
          </w:r>
        </w:sdtContent>
      </w:sdt>
      <w:r w:rsidR="00741DA9" w:rsidRPr="00F54716">
        <w:t>,</w:t>
      </w:r>
      <w:r w:rsidR="001604CB" w:rsidRPr="00F54716">
        <w:t xml:space="preserve"> </w:t>
      </w:r>
      <w:r w:rsidR="00741DA9" w:rsidRPr="00F54716">
        <w:t xml:space="preserve">jehož vzor je přílohou č. </w:t>
      </w:r>
      <w:r w:rsidR="006E136A" w:rsidRPr="00F54716">
        <w:t>3</w:t>
      </w:r>
      <w:r w:rsidR="00741DA9" w:rsidRPr="00F54716">
        <w:t xml:space="preserve"> této</w:t>
      </w:r>
      <w:r w:rsidR="00741DA9" w:rsidRPr="000C3743">
        <w:t xml:space="preserve"> Zadávací dokumentace </w:t>
      </w:r>
      <w:r w:rsidR="005D636E" w:rsidRPr="000C3743">
        <w:t>s obdobným charakterem plnění, jako je předmět veřejné zakázky, poskytnutých za poslední 3 roky před zahájením zadávacího řízení včetně uvedení:</w:t>
      </w:r>
    </w:p>
    <w:p w14:paraId="0C1E5DAC" w14:textId="77777777" w:rsidR="005D636E" w:rsidRPr="000C3743" w:rsidRDefault="005D636E" w:rsidP="00480838">
      <w:pPr>
        <w:keepNext/>
        <w:keepLines/>
        <w:numPr>
          <w:ilvl w:val="4"/>
          <w:numId w:val="3"/>
        </w:numPr>
        <w:tabs>
          <w:tab w:val="num" w:pos="3261"/>
        </w:tabs>
        <w:spacing w:after="0" w:line="264" w:lineRule="auto"/>
        <w:ind w:left="1418"/>
        <w:jc w:val="both"/>
        <w:rPr>
          <w:rFonts w:eastAsia="Verdana" w:cs="Times New Roman"/>
          <w:szCs w:val="18"/>
        </w:rPr>
      </w:pPr>
      <w:r w:rsidRPr="000C3743">
        <w:rPr>
          <w:rFonts w:eastAsia="Verdana" w:cs="Times New Roman"/>
          <w:szCs w:val="18"/>
        </w:rPr>
        <w:t>ceny</w:t>
      </w:r>
    </w:p>
    <w:p w14:paraId="03FC552C" w14:textId="77777777" w:rsidR="005D636E" w:rsidRPr="000C3743" w:rsidRDefault="005D636E" w:rsidP="00480838">
      <w:pPr>
        <w:keepNext/>
        <w:keepLines/>
        <w:numPr>
          <w:ilvl w:val="4"/>
          <w:numId w:val="3"/>
        </w:numPr>
        <w:tabs>
          <w:tab w:val="num" w:pos="3261"/>
        </w:tabs>
        <w:spacing w:after="0" w:line="264" w:lineRule="auto"/>
        <w:ind w:left="1418"/>
        <w:jc w:val="both"/>
        <w:rPr>
          <w:rFonts w:eastAsia="Verdana" w:cs="Times New Roman"/>
          <w:szCs w:val="18"/>
        </w:rPr>
      </w:pPr>
      <w:r w:rsidRPr="000C3743">
        <w:rPr>
          <w:rFonts w:eastAsia="Verdana" w:cs="Times New Roman"/>
          <w:szCs w:val="18"/>
        </w:rPr>
        <w:t xml:space="preserve">doby jejich poskytnutí a </w:t>
      </w:r>
    </w:p>
    <w:p w14:paraId="025C299E" w14:textId="77777777" w:rsidR="005D636E" w:rsidRPr="000C3743" w:rsidRDefault="005D636E" w:rsidP="00480838">
      <w:pPr>
        <w:keepNext/>
        <w:keepLines/>
        <w:numPr>
          <w:ilvl w:val="4"/>
          <w:numId w:val="3"/>
        </w:numPr>
        <w:tabs>
          <w:tab w:val="num" w:pos="3261"/>
        </w:tabs>
        <w:spacing w:after="0" w:line="264" w:lineRule="auto"/>
        <w:ind w:left="1418"/>
        <w:jc w:val="both"/>
        <w:rPr>
          <w:rFonts w:eastAsia="Verdana" w:cs="Times New Roman"/>
          <w:szCs w:val="18"/>
        </w:rPr>
      </w:pPr>
      <w:r w:rsidRPr="000C3743">
        <w:rPr>
          <w:rFonts w:eastAsia="Verdana" w:cs="Times New Roman"/>
          <w:szCs w:val="18"/>
        </w:rPr>
        <w:t>identifikace objednatele.</w:t>
      </w:r>
    </w:p>
    <w:p w14:paraId="24B54175" w14:textId="16D45E74" w:rsidR="001604CB" w:rsidRPr="000C3743" w:rsidRDefault="001604CB" w:rsidP="00480838">
      <w:pPr>
        <w:keepNext/>
        <w:keepLines/>
        <w:ind w:firstLine="141"/>
        <w:rPr>
          <w:u w:color="394A58"/>
          <w:lang w:eastAsia="cs-CZ"/>
        </w:rPr>
      </w:pPr>
      <w:r w:rsidRPr="000C3743">
        <w:rPr>
          <w:u w:color="394A58"/>
          <w:lang w:eastAsia="cs-CZ"/>
        </w:rPr>
        <w:lastRenderedPageBreak/>
        <w:t xml:space="preserve">Obdobným charakterem jako je předmět plnění veřejné zakázky se rozumí </w:t>
      </w:r>
      <w:r w:rsidR="006E136A" w:rsidRPr="000C3743">
        <w:rPr>
          <w:u w:color="394A58"/>
          <w:lang w:eastAsia="cs-CZ"/>
        </w:rPr>
        <w:t>služba, jejímž předmětem plnění bylo pojištění odpovědnosti za újmu/škodu z provozování dráhy/drážní dopravy řídící se českými právními předpisy.</w:t>
      </w:r>
    </w:p>
    <w:p w14:paraId="589CDBAE" w14:textId="77777777" w:rsidR="005D636E" w:rsidRPr="000C3743" w:rsidRDefault="005D636E" w:rsidP="00480838">
      <w:pPr>
        <w:pStyle w:val="podlnek"/>
        <w:rPr>
          <w:rFonts w:eastAsia="Times New Roman"/>
          <w:i/>
          <w:u w:color="394A58"/>
          <w:lang w:eastAsia="cs-CZ"/>
        </w:rPr>
      </w:pPr>
      <w:r w:rsidRPr="000C3743">
        <w:rPr>
          <w:rFonts w:eastAsia="Times New Roman"/>
          <w:i/>
          <w:u w:color="394A58"/>
          <w:lang w:eastAsia="cs-CZ"/>
        </w:rPr>
        <w:t>Vymezení minimální úrovně kvalifikačního požadavku:</w:t>
      </w:r>
    </w:p>
    <w:p w14:paraId="14A47935" w14:textId="6D1DDB06" w:rsidR="005D636E" w:rsidRPr="00BE041C" w:rsidRDefault="005D636E" w:rsidP="00480838">
      <w:pPr>
        <w:keepNext/>
        <w:keepLines/>
        <w:spacing w:after="0"/>
        <w:ind w:left="1599"/>
        <w:jc w:val="both"/>
        <w:rPr>
          <w:rFonts w:eastAsia="Verdana" w:cs="Times New Roman"/>
          <w:szCs w:val="18"/>
        </w:rPr>
      </w:pPr>
      <w:r w:rsidRPr="00BE041C">
        <w:rPr>
          <w:rFonts w:eastAsia="Verdana" w:cs="Times New Roman"/>
          <w:szCs w:val="18"/>
        </w:rPr>
        <w:t xml:space="preserve">Dodavatel </w:t>
      </w:r>
      <w:r w:rsidR="00A202C3" w:rsidRPr="00BE041C">
        <w:rPr>
          <w:rFonts w:eastAsia="Verdana" w:cs="Times New Roman"/>
          <w:szCs w:val="18"/>
        </w:rPr>
        <w:t xml:space="preserve">v nabídce </w:t>
      </w:r>
      <w:r w:rsidRPr="00BE041C">
        <w:rPr>
          <w:rFonts w:eastAsia="Verdana" w:cs="Times New Roman"/>
          <w:szCs w:val="18"/>
        </w:rPr>
        <w:t xml:space="preserve">doloží minimálně </w:t>
      </w:r>
      <w:r w:rsidR="006E136A" w:rsidRPr="00BE041C">
        <w:rPr>
          <w:rFonts w:eastAsia="Verdana" w:cs="Times New Roman"/>
          <w:b/>
          <w:szCs w:val="18"/>
        </w:rPr>
        <w:t>3</w:t>
      </w:r>
      <w:r w:rsidRPr="00BE041C">
        <w:rPr>
          <w:rFonts w:eastAsia="Verdana" w:cs="Times New Roman"/>
          <w:szCs w:val="18"/>
        </w:rPr>
        <w:t xml:space="preserve"> </w:t>
      </w:r>
      <w:r w:rsidR="006E136A" w:rsidRPr="00BE041C">
        <w:rPr>
          <w:rFonts w:eastAsia="Verdana" w:cs="Times New Roman"/>
          <w:szCs w:val="18"/>
        </w:rPr>
        <w:t>reference, které</w:t>
      </w:r>
      <w:r w:rsidRPr="00BE041C">
        <w:rPr>
          <w:rFonts w:eastAsia="Verdana" w:cs="Times New Roman"/>
          <w:szCs w:val="18"/>
        </w:rPr>
        <w:t xml:space="preserve"> poskytl za poslední 3 roky před zahájením zadávacího řízení a </w:t>
      </w:r>
      <w:proofErr w:type="gramStart"/>
      <w:r w:rsidRPr="00BE041C">
        <w:rPr>
          <w:rFonts w:eastAsia="Verdana" w:cs="Times New Roman"/>
          <w:szCs w:val="18"/>
        </w:rPr>
        <w:t>která</w:t>
      </w:r>
      <w:proofErr w:type="gramEnd"/>
      <w:r w:rsidRPr="00BE041C">
        <w:rPr>
          <w:rFonts w:eastAsia="Verdana" w:cs="Times New Roman"/>
          <w:szCs w:val="18"/>
        </w:rPr>
        <w:t xml:space="preserve"> </w:t>
      </w:r>
      <w:r w:rsidRPr="00BE041C">
        <w:rPr>
          <w:rFonts w:eastAsia="Verdana" w:cs="Times New Roman"/>
          <w:szCs w:val="18"/>
          <w:u w:val="single"/>
        </w:rPr>
        <w:t>kumulativně</w:t>
      </w:r>
      <w:r w:rsidR="006E136A" w:rsidRPr="00BE041C">
        <w:rPr>
          <w:rFonts w:eastAsia="Verdana" w:cs="Times New Roman"/>
          <w:szCs w:val="18"/>
        </w:rPr>
        <w:t xml:space="preserve"> splňují</w:t>
      </w:r>
      <w:r w:rsidRPr="00BE041C">
        <w:rPr>
          <w:rFonts w:eastAsia="Verdana" w:cs="Times New Roman"/>
          <w:szCs w:val="18"/>
        </w:rPr>
        <w:t xml:space="preserve"> následující požadavky:</w:t>
      </w:r>
    </w:p>
    <w:p w14:paraId="04CA9550" w14:textId="7610D643" w:rsidR="005D636E" w:rsidRPr="00BE041C" w:rsidRDefault="005D636E" w:rsidP="00480838">
      <w:pPr>
        <w:keepNext/>
        <w:keepLines/>
        <w:numPr>
          <w:ilvl w:val="0"/>
          <w:numId w:val="4"/>
        </w:numPr>
        <w:spacing w:after="0" w:line="264" w:lineRule="auto"/>
        <w:ind w:left="1418" w:firstLine="142"/>
        <w:jc w:val="both"/>
        <w:rPr>
          <w:rFonts w:eastAsia="Verdana" w:cs="Times New Roman"/>
          <w:szCs w:val="18"/>
        </w:rPr>
      </w:pPr>
      <w:r w:rsidRPr="00BE041C">
        <w:rPr>
          <w:rFonts w:eastAsia="Verdana" w:cs="Times New Roman"/>
          <w:szCs w:val="18"/>
        </w:rPr>
        <w:t xml:space="preserve">předmětem služby </w:t>
      </w:r>
      <w:r w:rsidR="006E136A" w:rsidRPr="00BE041C">
        <w:rPr>
          <w:u w:color="394A58"/>
          <w:lang w:eastAsia="cs-CZ"/>
        </w:rPr>
        <w:t>bylo pojištění odpovědnosti za újmu/škodu z provozování dráhy/drážní dopravy řídící se českými právními předpisy</w:t>
      </w:r>
      <w:r w:rsidR="00E70907" w:rsidRPr="00BE041C">
        <w:rPr>
          <w:rFonts w:eastAsia="Verdana" w:cs="Times New Roman"/>
          <w:szCs w:val="18"/>
        </w:rPr>
        <w:t>;</w:t>
      </w:r>
    </w:p>
    <w:p w14:paraId="6ACED43C" w14:textId="5CAC946F" w:rsidR="005D636E" w:rsidRPr="00BE041C" w:rsidRDefault="000C3743" w:rsidP="00480838">
      <w:pPr>
        <w:keepNext/>
        <w:keepLines/>
        <w:numPr>
          <w:ilvl w:val="0"/>
          <w:numId w:val="4"/>
        </w:numPr>
        <w:spacing w:after="0" w:line="264" w:lineRule="auto"/>
        <w:ind w:left="1418" w:firstLine="142"/>
        <w:jc w:val="both"/>
        <w:rPr>
          <w:rFonts w:eastAsia="Verdana" w:cs="Times New Roman"/>
          <w:szCs w:val="18"/>
        </w:rPr>
      </w:pPr>
      <w:r w:rsidRPr="00BE041C">
        <w:rPr>
          <w:rFonts w:eastAsia="Verdana" w:cs="Times New Roman"/>
          <w:szCs w:val="18"/>
        </w:rPr>
        <w:t>minimální rozsah limitu pojistn</w:t>
      </w:r>
      <w:r w:rsidR="00F54716" w:rsidRPr="00BE041C">
        <w:rPr>
          <w:rFonts w:eastAsia="Verdana" w:cs="Times New Roman"/>
          <w:szCs w:val="18"/>
        </w:rPr>
        <w:t xml:space="preserve">ého plnění je 100.000.000,- Kč </w:t>
      </w:r>
      <w:r w:rsidR="00215014" w:rsidRPr="00BE041C">
        <w:rPr>
          <w:rFonts w:eastAsia="Verdana" w:cs="Times New Roman"/>
          <w:szCs w:val="18"/>
        </w:rPr>
        <w:t xml:space="preserve">trvající </w:t>
      </w:r>
      <w:r w:rsidR="00F54716" w:rsidRPr="00BE041C">
        <w:rPr>
          <w:rFonts w:eastAsia="Verdana" w:cs="Times New Roman"/>
          <w:szCs w:val="18"/>
        </w:rPr>
        <w:t xml:space="preserve">nepřerušovaně </w:t>
      </w:r>
      <w:r w:rsidRPr="00BE041C">
        <w:rPr>
          <w:rFonts w:eastAsia="Verdana" w:cs="Times New Roman"/>
          <w:szCs w:val="18"/>
        </w:rPr>
        <w:t xml:space="preserve">nejméně 1 rok, pokud se dodavatel coby pojistitel podílel na limitu plnění ve výši minimálně 100.000.000,- Kč nepřerušované nejméně 1 rok. </w:t>
      </w:r>
    </w:p>
    <w:p w14:paraId="6CC6D870" w14:textId="77777777" w:rsidR="005D636E" w:rsidRPr="000C3743" w:rsidRDefault="005D636E" w:rsidP="00480838">
      <w:pPr>
        <w:pStyle w:val="podlnek"/>
        <w:rPr>
          <w:rFonts w:eastAsia="Times New Roman"/>
          <w:u w:color="394A58"/>
          <w:lang w:eastAsia="cs-CZ"/>
        </w:rPr>
      </w:pPr>
      <w:r w:rsidRPr="000C3743">
        <w:rPr>
          <w:rFonts w:eastAsia="Times New Roman"/>
          <w:u w:color="394A58"/>
          <w:lang w:eastAsia="cs-CZ"/>
        </w:rPr>
        <w:t>Způsob prokázání splnění tohoto kvalifikačního požadavku:</w:t>
      </w:r>
    </w:p>
    <w:p w14:paraId="236A2A57" w14:textId="206EDAB5" w:rsidR="005D636E" w:rsidRPr="000C3743" w:rsidRDefault="005D636E" w:rsidP="00480838">
      <w:pPr>
        <w:pStyle w:val="Normlnodstavec"/>
        <w:numPr>
          <w:ilvl w:val="0"/>
          <w:numId w:val="0"/>
        </w:numPr>
        <w:ind w:left="2302"/>
        <w:rPr>
          <w:u w:color="394A58"/>
          <w:lang w:eastAsia="cs-CZ"/>
        </w:rPr>
      </w:pPr>
      <w:r w:rsidRPr="000C3743">
        <w:rPr>
          <w:u w:color="394A58"/>
          <w:lang w:eastAsia="cs-CZ"/>
        </w:rPr>
        <w:t xml:space="preserve">Dodavatel prokáže splnění kvalifikačního požadavku předložením </w:t>
      </w:r>
      <w:r w:rsidRPr="000C3743">
        <w:rPr>
          <w:u w:val="single" w:color="394A58"/>
          <w:lang w:eastAsia="cs-CZ"/>
        </w:rPr>
        <w:t xml:space="preserve">seznamu </w:t>
      </w:r>
      <w:r w:rsidR="00D42866" w:rsidRPr="000C3743">
        <w:t xml:space="preserve">obsahující významné </w:t>
      </w:r>
      <w:sdt>
        <w:sdtPr>
          <w:alias w:val="Klíčová slova"/>
          <w:tag w:val=""/>
          <w:id w:val="-362437668"/>
          <w:placeholder>
            <w:docPart w:val="2ADA3ACEA0F141D6AA881F444BB10D82"/>
          </w:placeholder>
          <w:dataBinding w:prefixMappings="xmlns:ns0='http://purl.org/dc/elements/1.1/' xmlns:ns1='http://schemas.openxmlformats.org/package/2006/metadata/core-properties' " w:xpath="/ns1:coreProperties[1]/ns1:keywords[1]" w:storeItemID="{6C3C8BC8-F283-45AE-878A-BAB7291924A1}"/>
          <w:text/>
        </w:sdtPr>
        <w:sdtContent>
          <w:r w:rsidR="00E663CF" w:rsidRPr="000C3743">
            <w:t>služby</w:t>
          </w:r>
        </w:sdtContent>
      </w:sdt>
      <w:r w:rsidRPr="000C3743">
        <w:rPr>
          <w:u w:val="single" w:color="394A58"/>
          <w:lang w:eastAsia="cs-CZ"/>
        </w:rPr>
        <w:t>, ze kterého bude vyplývat splnění výše uvedených požadavků</w:t>
      </w:r>
      <w:r w:rsidRPr="000C3743">
        <w:rPr>
          <w:u w:color="394A58"/>
          <w:lang w:eastAsia="cs-CZ"/>
        </w:rPr>
        <w:t xml:space="preserve">. </w:t>
      </w:r>
      <w:r w:rsidR="00DB7D10" w:rsidRPr="000C3743">
        <w:rPr>
          <w:u w:color="394A58"/>
          <w:lang w:eastAsia="cs-CZ"/>
        </w:rPr>
        <w:t>Vzor seznamu, který je rovněž čestným prohlášení</w:t>
      </w:r>
      <w:r w:rsidR="00DB7D10" w:rsidRPr="006406DE">
        <w:rPr>
          <w:u w:color="394A58"/>
          <w:lang w:eastAsia="cs-CZ"/>
        </w:rPr>
        <w:t xml:space="preserve">, je přílohou </w:t>
      </w:r>
      <w:r w:rsidR="00E4642C" w:rsidRPr="006406DE">
        <w:rPr>
          <w:u w:color="394A58"/>
          <w:lang w:eastAsia="cs-CZ"/>
        </w:rPr>
        <w:t>č. 3</w:t>
      </w:r>
      <w:r w:rsidR="00DB7D10" w:rsidRPr="006406DE">
        <w:rPr>
          <w:u w:color="394A58"/>
          <w:lang w:eastAsia="cs-CZ"/>
        </w:rPr>
        <w:t xml:space="preserve"> Zadávací</w:t>
      </w:r>
      <w:r w:rsidR="00DB7D10" w:rsidRPr="000C3743">
        <w:rPr>
          <w:u w:color="394A58"/>
          <w:lang w:eastAsia="cs-CZ"/>
        </w:rPr>
        <w:t xml:space="preserve"> dokumentace.</w:t>
      </w:r>
    </w:p>
    <w:p w14:paraId="5407A03D" w14:textId="33E913E7" w:rsidR="000C3743" w:rsidRPr="0010203F" w:rsidRDefault="000C3743" w:rsidP="00480838">
      <w:pPr>
        <w:pStyle w:val="Normlnodstavec"/>
        <w:numPr>
          <w:ilvl w:val="0"/>
          <w:numId w:val="0"/>
        </w:numPr>
        <w:ind w:left="2302"/>
        <w:rPr>
          <w:u w:color="394A58"/>
          <w:lang w:eastAsia="cs-CZ"/>
        </w:rPr>
      </w:pPr>
      <w:r w:rsidRPr="000C3743">
        <w:rPr>
          <w:u w:color="394A58"/>
          <w:lang w:eastAsia="cs-CZ"/>
        </w:rPr>
        <w:t xml:space="preserve">Výše uvedený seznam obsahující významné služby může dodavatel nahradit doložením dokladů dle ustanovení § 79 odst. (5) zákona, kterými jsou </w:t>
      </w:r>
      <w:r w:rsidRPr="0010203F">
        <w:rPr>
          <w:u w:color="394A58"/>
          <w:lang w:eastAsia="cs-CZ"/>
        </w:rPr>
        <w:t>zejména:</w:t>
      </w:r>
    </w:p>
    <w:p w14:paraId="0FAD54A5" w14:textId="1352AAD9" w:rsidR="000C3743" w:rsidRPr="0010203F" w:rsidRDefault="000C3743" w:rsidP="000C3743">
      <w:pPr>
        <w:pStyle w:val="Normlnodstavec"/>
        <w:numPr>
          <w:ilvl w:val="0"/>
          <w:numId w:val="40"/>
        </w:numPr>
        <w:rPr>
          <w:u w:color="394A58"/>
          <w:lang w:eastAsia="cs-CZ"/>
        </w:rPr>
      </w:pPr>
      <w:r w:rsidRPr="0010203F">
        <w:rPr>
          <w:u w:color="394A58"/>
          <w:lang w:eastAsia="cs-CZ"/>
        </w:rPr>
        <w:t>Doklad o uskutečnění plnění dodavatelem</w:t>
      </w:r>
    </w:p>
    <w:p w14:paraId="4350F1A2" w14:textId="3894CF6D" w:rsidR="000C3743" w:rsidRPr="0010203F" w:rsidRDefault="000C3743" w:rsidP="000C3743">
      <w:pPr>
        <w:pStyle w:val="Normlnodstavec"/>
        <w:numPr>
          <w:ilvl w:val="0"/>
          <w:numId w:val="40"/>
        </w:numPr>
        <w:rPr>
          <w:u w:color="394A58"/>
          <w:lang w:eastAsia="cs-CZ"/>
        </w:rPr>
      </w:pPr>
      <w:r w:rsidRPr="0010203F">
        <w:rPr>
          <w:u w:color="394A58"/>
          <w:lang w:eastAsia="cs-CZ"/>
        </w:rPr>
        <w:t>Smlouva s objednatelem, pro kterého dodavatel uskutečnil dané plnění.</w:t>
      </w:r>
    </w:p>
    <w:p w14:paraId="3AE70394" w14:textId="50D11B80" w:rsidR="005D636E" w:rsidRPr="0010203F" w:rsidRDefault="005D636E" w:rsidP="00480838">
      <w:pPr>
        <w:pStyle w:val="podlnek"/>
        <w:rPr>
          <w:rFonts w:eastAsia="Times New Roman"/>
          <w:u w:color="394A58"/>
          <w:lang w:eastAsia="cs-CZ"/>
        </w:rPr>
      </w:pPr>
      <w:r w:rsidRPr="0010203F">
        <w:rPr>
          <w:rFonts w:eastAsia="Times New Roman"/>
          <w:u w:color="394A58"/>
          <w:lang w:eastAsia="cs-CZ"/>
        </w:rPr>
        <w:t xml:space="preserve">Dodavatel nemůže k prokázání splnění tohoto kvalifikačního požadavku použít </w:t>
      </w:r>
      <w:sdt>
        <w:sdtPr>
          <w:rPr>
            <w:rFonts w:eastAsia="Verdana"/>
            <w:noProof/>
          </w:rPr>
          <w:alias w:val="Klíčová slova"/>
          <w:tag w:val=""/>
          <w:id w:val="391080914"/>
          <w:placeholder>
            <w:docPart w:val="4E495977BF764CF69D971097999AA828"/>
          </w:placeholder>
          <w:dataBinding w:prefixMappings="xmlns:ns0='http://purl.org/dc/elements/1.1/' xmlns:ns1='http://schemas.openxmlformats.org/package/2006/metadata/core-properties' " w:xpath="/ns1:coreProperties[1]/ns1:keywords[1]" w:storeItemID="{6C3C8BC8-F283-45AE-878A-BAB7291924A1}"/>
          <w:text/>
        </w:sdtPr>
        <w:sdtContent>
          <w:r w:rsidR="00E663CF" w:rsidRPr="0010203F">
            <w:rPr>
              <w:rFonts w:eastAsia="Verdana"/>
              <w:noProof/>
            </w:rPr>
            <w:t>služby</w:t>
          </w:r>
        </w:sdtContent>
      </w:sdt>
      <w:r w:rsidRPr="0010203F">
        <w:rPr>
          <w:rFonts w:eastAsia="Times New Roman"/>
          <w:u w:color="394A58"/>
          <w:lang w:eastAsia="cs-CZ"/>
        </w:rPr>
        <w:t>, které poskytl výlučně prostřednictvím poddodavatele, aniž by se na plnění zakázky podílel.</w:t>
      </w:r>
    </w:p>
    <w:p w14:paraId="5A986CBF" w14:textId="77777777" w:rsidR="005D636E" w:rsidRPr="005D636E" w:rsidRDefault="005D636E" w:rsidP="00480838">
      <w:pPr>
        <w:pStyle w:val="Normlnlnek"/>
      </w:pPr>
      <w:r w:rsidRPr="005D636E">
        <w:t>Požadavky Zadavatele na způsob zpracování nabídkové ceny:</w:t>
      </w:r>
    </w:p>
    <w:p w14:paraId="2490CC75" w14:textId="77777777" w:rsidR="005D636E" w:rsidRPr="00521772" w:rsidRDefault="005D636E" w:rsidP="00490A65">
      <w:pPr>
        <w:pStyle w:val="Normlnodstavec"/>
        <w:rPr>
          <w:b/>
        </w:rPr>
      </w:pPr>
      <w:r w:rsidRPr="00521772">
        <w:rPr>
          <w:b/>
        </w:rPr>
        <w:t>Způsob zpracování nabídkové ceny</w:t>
      </w:r>
    </w:p>
    <w:p w14:paraId="6E67656F" w14:textId="24E4F3FC" w:rsidR="005D636E" w:rsidRPr="00C14192" w:rsidRDefault="005D636E" w:rsidP="00C14192">
      <w:pPr>
        <w:pStyle w:val="Normlnodstavec"/>
        <w:rPr>
          <w:rFonts w:eastAsia="Times New Roman" w:cs="Times New Roman"/>
          <w:szCs w:val="18"/>
          <w:u w:color="394A58"/>
          <w:lang w:eastAsia="cs-CZ"/>
        </w:rPr>
      </w:pPr>
      <w:r w:rsidRPr="00C14192">
        <w:rPr>
          <w:u w:color="394A58"/>
          <w:lang w:eastAsia="cs-CZ"/>
        </w:rPr>
        <w:t>Nabídková cena</w:t>
      </w:r>
      <w:r w:rsidR="00C14192" w:rsidRPr="00C14192">
        <w:rPr>
          <w:u w:color="394A58"/>
          <w:lang w:eastAsia="cs-CZ"/>
        </w:rPr>
        <w:t xml:space="preserve"> (pojistné) za celý předmět plnění a dobu trvání veřejné zakázky bude dodavatelem vyčíslena bez DPH (jedná se o osvobozené plnění podle ustanovení § 51 odst. (1) písm. e) a ustanovení § 55 zákona č. 235/2004 Sb., o DPH). Nabídková cena dodavatele musí být v nabídce uvedena jako cena konečná, zahrnující veškeré náklady spojené s plněním předmětu veřejné zakázky. Nabídková cena musí být uvedena v české měně (koruna česká). </w:t>
      </w:r>
      <w:r w:rsidRPr="00C14192">
        <w:rPr>
          <w:u w:color="394A58"/>
          <w:lang w:eastAsia="cs-CZ"/>
        </w:rPr>
        <w:t xml:space="preserve"> </w:t>
      </w:r>
    </w:p>
    <w:p w14:paraId="4DB75753" w14:textId="77777777" w:rsidR="005D636E" w:rsidRPr="00521772" w:rsidRDefault="005D636E" w:rsidP="00490A65">
      <w:pPr>
        <w:pStyle w:val="Normlnodstavec"/>
        <w:rPr>
          <w:b/>
        </w:rPr>
      </w:pPr>
      <w:r w:rsidRPr="00521772">
        <w:rPr>
          <w:b/>
        </w:rPr>
        <w:t>Mimořádně nízká nabídková cena</w:t>
      </w:r>
    </w:p>
    <w:p w14:paraId="0D9DF33B" w14:textId="77777777" w:rsidR="005D636E" w:rsidRPr="005D636E" w:rsidRDefault="005D636E" w:rsidP="00490A65">
      <w:pPr>
        <w:keepNext/>
        <w:keepLines/>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7F88DD5F" w14:textId="77777777" w:rsidR="005D636E" w:rsidRPr="005D636E" w:rsidRDefault="005D636E" w:rsidP="00490A65">
      <w:pPr>
        <w:pStyle w:val="Normlnlnek"/>
      </w:pPr>
      <w:r w:rsidRPr="005D636E">
        <w:lastRenderedPageBreak/>
        <w:t xml:space="preserve"> Jiné požadavky Zadavatele na plnění veřejné zakázky: </w:t>
      </w:r>
    </w:p>
    <w:p w14:paraId="40A17588" w14:textId="77777777" w:rsidR="005D636E" w:rsidRPr="00822CB2" w:rsidRDefault="005D636E" w:rsidP="00490A65">
      <w:pPr>
        <w:pStyle w:val="Normlnodstavec"/>
        <w:rPr>
          <w:b/>
        </w:rPr>
      </w:pPr>
      <w:r w:rsidRPr="00822CB2">
        <w:rPr>
          <w:b/>
        </w:rPr>
        <w:t>Využití poddodavatele</w:t>
      </w:r>
    </w:p>
    <w:p w14:paraId="0D26AB2A" w14:textId="77777777" w:rsidR="00822CB2" w:rsidRPr="00822CB2" w:rsidRDefault="00822CB2" w:rsidP="00490A65">
      <w:pPr>
        <w:pStyle w:val="podlnek"/>
      </w:pPr>
      <w:r w:rsidRPr="00822CB2">
        <w:t xml:space="preserve">Zadavatel </w:t>
      </w:r>
      <w:r w:rsidRPr="0058559B">
        <w:t>požaduje, aby účastník zadávacího</w:t>
      </w:r>
      <w:r w:rsidRPr="00822CB2">
        <w:t xml:space="preserve"> řízení v nabídce:</w:t>
      </w:r>
    </w:p>
    <w:p w14:paraId="1F812C0C" w14:textId="77777777" w:rsidR="00822CB2" w:rsidRPr="00822CB2" w:rsidRDefault="00822CB2" w:rsidP="00490A65">
      <w:pPr>
        <w:keepNext/>
        <w:keepLines/>
        <w:spacing w:line="264" w:lineRule="auto"/>
        <w:ind w:left="993"/>
        <w:jc w:val="both"/>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490A65">
      <w:pPr>
        <w:keepNext/>
        <w:keepLines/>
        <w:spacing w:line="264" w:lineRule="auto"/>
        <w:ind w:left="993"/>
        <w:jc w:val="both"/>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06F5B29B" w14:textId="77777777" w:rsidR="00822CB2" w:rsidRDefault="00822CB2" w:rsidP="00490A65">
      <w:pPr>
        <w:pStyle w:val="podlnek"/>
        <w:rPr>
          <w:rFonts w:eastAsia="Verdana"/>
        </w:rPr>
      </w:pPr>
      <w:r w:rsidRPr="00822CB2">
        <w:rPr>
          <w:rFonts w:eastAsia="Verdana"/>
        </w:rPr>
        <w:t>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1AD18701" w14:textId="77777777" w:rsidR="005D636E" w:rsidRDefault="005D636E" w:rsidP="00490A65">
      <w:pPr>
        <w:pStyle w:val="podlnek"/>
        <w:rPr>
          <w:rFonts w:eastAsia="Verdana"/>
          <w:b/>
        </w:rPr>
      </w:pPr>
      <w:r w:rsidRPr="00822CB2">
        <w:rPr>
          <w:rFonts w:eastAsia="Verdana"/>
          <w:b/>
        </w:rPr>
        <w:t xml:space="preserve">Seznam poddodavatelů učiní dodavatel přílohou Smlouvy. </w:t>
      </w:r>
    </w:p>
    <w:p w14:paraId="4FCE772E" w14:textId="77777777" w:rsidR="00822CB2" w:rsidRPr="00822CB2" w:rsidRDefault="00822CB2" w:rsidP="000C3743">
      <w:pPr>
        <w:pStyle w:val="podlnek"/>
        <w:numPr>
          <w:ilvl w:val="0"/>
          <w:numId w:val="0"/>
        </w:numPr>
        <w:ind w:left="1134"/>
        <w:rPr>
          <w:rFonts w:eastAsia="Verdana"/>
          <w:highlight w:val="yellow"/>
        </w:rPr>
      </w:pPr>
    </w:p>
    <w:p w14:paraId="3EBF0D2E" w14:textId="77777777" w:rsidR="005D636E" w:rsidRPr="005D636E" w:rsidRDefault="005D636E" w:rsidP="00490A65">
      <w:pPr>
        <w:pStyle w:val="Normlnlnek"/>
        <w:rPr>
          <w:rFonts w:eastAsia="Verdana"/>
          <w:noProof/>
        </w:rPr>
      </w:pPr>
      <w:r w:rsidRPr="005D636E">
        <w:rPr>
          <w:rFonts w:eastAsia="Verdana"/>
          <w:noProof/>
        </w:rPr>
        <w:t>Varianty nabídky</w:t>
      </w:r>
    </w:p>
    <w:p w14:paraId="42698603" w14:textId="77777777" w:rsidR="005D636E" w:rsidRPr="005D636E" w:rsidRDefault="005D636E" w:rsidP="00822CB2">
      <w:pPr>
        <w:pStyle w:val="Normlnodstavec"/>
      </w:pPr>
      <w:r w:rsidRPr="005D636E">
        <w:t>Zadavatel nepřipouští varianty nabídky.</w:t>
      </w:r>
    </w:p>
    <w:p w14:paraId="6546F4EF" w14:textId="77777777" w:rsidR="005D636E" w:rsidRPr="005D636E" w:rsidRDefault="005D636E" w:rsidP="0079224E">
      <w:pPr>
        <w:pStyle w:val="Normlnlnek"/>
      </w:pPr>
      <w:r w:rsidRPr="005D636E">
        <w:t xml:space="preserve"> Návrh smlouvy </w:t>
      </w:r>
    </w:p>
    <w:p w14:paraId="0DF3CAE3" w14:textId="3AB92AC0" w:rsidR="009031FA" w:rsidRPr="0001151F" w:rsidRDefault="009031FA" w:rsidP="009031FA">
      <w:pPr>
        <w:pStyle w:val="Normlnodstavec"/>
        <w:keepNext w:val="0"/>
        <w:keepLines w:val="0"/>
        <w:widowControl w:val="0"/>
        <w:ind w:left="142"/>
      </w:pPr>
      <w:r w:rsidRPr="005D636E">
        <w:t xml:space="preserve">Dodavatel je povinen </w:t>
      </w:r>
      <w:r>
        <w:t xml:space="preserve">učinit </w:t>
      </w:r>
      <w:r w:rsidRPr="00BC618A">
        <w:t xml:space="preserve">součástí </w:t>
      </w:r>
      <w:r w:rsidRPr="0001151F">
        <w:t xml:space="preserve">nabídky návrh pojistné smlouvy  </w:t>
      </w:r>
      <w:r w:rsidRPr="0001151F">
        <w:rPr>
          <w:rFonts w:cs="Times New Roman"/>
          <w:szCs w:val="18"/>
        </w:rPr>
        <w:t>zpracovaný v souladu s bližší specifikací předmětu veřejné zakázky (podmínky pojištění), která je uvedena jako</w:t>
      </w:r>
      <w:r w:rsidR="00560ACB" w:rsidRPr="0001151F">
        <w:rPr>
          <w:rFonts w:cs="Times New Roman"/>
          <w:szCs w:val="18"/>
        </w:rPr>
        <w:t xml:space="preserve"> Příloha č. 1</w:t>
      </w:r>
      <w:r w:rsidRPr="0001151F">
        <w:rPr>
          <w:rFonts w:cs="Times New Roman"/>
          <w:szCs w:val="18"/>
        </w:rPr>
        <w:t xml:space="preserve"> této Zadávací dokumentace a jejími přílohami, přičemž </w:t>
      </w:r>
      <w:r w:rsidR="00A51805">
        <w:rPr>
          <w:rFonts w:cs="Times New Roman"/>
          <w:szCs w:val="18"/>
        </w:rPr>
        <w:t xml:space="preserve">návrh smlouvy musí obsahovat obchodní a platební podmínky uvedené v čl. 22.3 této zadávací dokumentace. </w:t>
      </w:r>
      <w:r w:rsidRPr="0001151F">
        <w:rPr>
          <w:rFonts w:cs="Times New Roman"/>
          <w:szCs w:val="18"/>
        </w:rPr>
        <w:t xml:space="preserve"> </w:t>
      </w:r>
    </w:p>
    <w:p w14:paraId="36EB021A" w14:textId="64E44CEB" w:rsidR="005D636E" w:rsidRPr="00D61EF6" w:rsidRDefault="005D636E" w:rsidP="00163A7D">
      <w:pPr>
        <w:pStyle w:val="Normlnodstavec"/>
      </w:pPr>
      <w:r w:rsidRPr="00D61EF6">
        <w:t>Dodavatel</w:t>
      </w:r>
      <w:r w:rsidR="005F2F4B" w:rsidRPr="00D61EF6">
        <w:t xml:space="preserve"> je povinen</w:t>
      </w:r>
      <w:r w:rsidRPr="00D61EF6">
        <w:t xml:space="preserve"> Závazný návrh Smlouvy doplněný dle výše uvedených pokynů učin</w:t>
      </w:r>
      <w:r w:rsidR="005F2F4B" w:rsidRPr="00D61EF6">
        <w:t>it</w:t>
      </w:r>
      <w:r w:rsidRPr="00D61EF6">
        <w:t xml:space="preserve"> součástí nabídky.</w:t>
      </w:r>
    </w:p>
    <w:p w14:paraId="0E55ABB9" w14:textId="4295242D" w:rsidR="00C14192" w:rsidRDefault="00C14192" w:rsidP="0079224E">
      <w:pPr>
        <w:pStyle w:val="Normlnlnek"/>
      </w:pPr>
      <w:bookmarkStart w:id="10" w:name="_Ref51142821"/>
      <w:r>
        <w:t>Bonus za příznivý škodný průběh</w:t>
      </w:r>
      <w:bookmarkEnd w:id="10"/>
      <w:r w:rsidR="005D636E" w:rsidRPr="005D636E">
        <w:t xml:space="preserve"> </w:t>
      </w:r>
    </w:p>
    <w:p w14:paraId="4792F7F0" w14:textId="77777777" w:rsidR="00C14192" w:rsidRDefault="00C14192" w:rsidP="00C14192">
      <w:pPr>
        <w:pStyle w:val="Normlnodstavec"/>
        <w:rPr>
          <w:lang w:eastAsia="cs-CZ"/>
        </w:rPr>
      </w:pPr>
      <w:r w:rsidRPr="00E61127">
        <w:rPr>
          <w:lang w:eastAsia="cs-CZ"/>
        </w:rPr>
        <w:t>Dodavatel poskytne bonus z předepsaného pojistného za příznivý škodný průběh pojištění dle níže uvedeného postupu.</w:t>
      </w:r>
    </w:p>
    <w:p w14:paraId="7B356449" w14:textId="77777777" w:rsidR="00C14192" w:rsidRPr="00BE041C" w:rsidRDefault="00C14192" w:rsidP="00C14192">
      <w:pPr>
        <w:pStyle w:val="Normlnodstavec"/>
        <w:rPr>
          <w:lang w:eastAsia="cs-CZ"/>
        </w:rPr>
      </w:pPr>
      <w:r w:rsidRPr="00E61127">
        <w:rPr>
          <w:lang w:eastAsia="cs-CZ"/>
        </w:rPr>
        <w:t xml:space="preserve">Dodavatel provede vyhodnocení škodného průběhu pojištění za uplynulé pojistné období. Uvedené vyhodnocení dodavatel předloží zadavateli. Bude-li skutečné škodní procento nižší nebo </w:t>
      </w:r>
      <w:r w:rsidRPr="00BE041C">
        <w:rPr>
          <w:lang w:eastAsia="cs-CZ"/>
        </w:rPr>
        <w:t xml:space="preserve">rovno 15 %, přizná dodavatel zadavateli bonifikaci z předepsaného pojistného za hodnocené období. </w:t>
      </w:r>
    </w:p>
    <w:p w14:paraId="2EBE0815" w14:textId="4A5539C8" w:rsidR="00C14192" w:rsidRPr="00BE041C" w:rsidRDefault="00C14192" w:rsidP="00C14192">
      <w:pPr>
        <w:pStyle w:val="Normlnodstavec"/>
        <w:rPr>
          <w:lang w:eastAsia="cs-CZ"/>
        </w:rPr>
      </w:pPr>
      <w:r w:rsidRPr="00BE041C">
        <w:rPr>
          <w:lang w:eastAsia="cs-CZ"/>
        </w:rPr>
        <w:t>Dodavatel v nabídce a zároveň i v pojistné smlouvě uvede výši bonusu za příznivý škodný průběh pojištění, způsob jeho výpočtu a výplaty v níže uvedeném členění.</w:t>
      </w:r>
    </w:p>
    <w:tbl>
      <w:tblPr>
        <w:tblW w:w="8363" w:type="dxa"/>
        <w:jc w:val="center"/>
        <w:tblCellMar>
          <w:left w:w="70" w:type="dxa"/>
          <w:right w:w="70" w:type="dxa"/>
        </w:tblCellMar>
        <w:tblLook w:val="0000" w:firstRow="0" w:lastRow="0" w:firstColumn="0" w:lastColumn="0" w:noHBand="0" w:noVBand="0"/>
      </w:tblPr>
      <w:tblGrid>
        <w:gridCol w:w="2977"/>
        <w:gridCol w:w="5386"/>
      </w:tblGrid>
      <w:tr w:rsidR="00C14192" w:rsidRPr="00BE041C" w14:paraId="6F809D80" w14:textId="77777777" w:rsidTr="006406DE">
        <w:trPr>
          <w:trHeight w:val="540"/>
          <w:jc w:val="center"/>
        </w:trPr>
        <w:tc>
          <w:tcPr>
            <w:tcW w:w="2977" w:type="dxa"/>
            <w:tcBorders>
              <w:top w:val="single" w:sz="4" w:space="0" w:color="auto"/>
              <w:left w:val="single" w:sz="4" w:space="0" w:color="auto"/>
              <w:bottom w:val="single" w:sz="4" w:space="0" w:color="auto"/>
              <w:right w:val="single" w:sz="4" w:space="0" w:color="auto"/>
            </w:tcBorders>
            <w:noWrap/>
            <w:vAlign w:val="center"/>
          </w:tcPr>
          <w:p w14:paraId="4B48D350" w14:textId="77777777" w:rsidR="00C14192" w:rsidRPr="00BE041C" w:rsidRDefault="00C14192" w:rsidP="006406DE">
            <w:pPr>
              <w:spacing w:before="0" w:after="0"/>
              <w:rPr>
                <w:rFonts w:eastAsia="Calibri" w:cs="Arial"/>
                <w:bCs/>
                <w:i/>
              </w:rPr>
            </w:pPr>
            <w:r w:rsidRPr="00BE041C">
              <w:rPr>
                <w:rFonts w:eastAsia="Calibri" w:cs="Arial"/>
                <w:bCs/>
                <w:i/>
              </w:rPr>
              <w:t>Dosažený škodný průběh pojištění v %</w:t>
            </w:r>
          </w:p>
        </w:tc>
        <w:tc>
          <w:tcPr>
            <w:tcW w:w="5386" w:type="dxa"/>
            <w:tcBorders>
              <w:top w:val="single" w:sz="4" w:space="0" w:color="auto"/>
              <w:left w:val="nil"/>
              <w:bottom w:val="single" w:sz="4" w:space="0" w:color="auto"/>
              <w:right w:val="single" w:sz="4" w:space="0" w:color="auto"/>
            </w:tcBorders>
            <w:noWrap/>
            <w:vAlign w:val="bottom"/>
          </w:tcPr>
          <w:p w14:paraId="43DF7B0E" w14:textId="77777777" w:rsidR="00C14192" w:rsidRPr="00BE041C" w:rsidRDefault="00C14192" w:rsidP="006406DE">
            <w:pPr>
              <w:spacing w:before="0" w:after="0"/>
              <w:rPr>
                <w:rFonts w:eastAsia="Calibri" w:cs="Arial"/>
                <w:bCs/>
                <w:i/>
              </w:rPr>
            </w:pPr>
            <w:r w:rsidRPr="00BE041C">
              <w:rPr>
                <w:rFonts w:eastAsia="Calibri" w:cs="Arial"/>
                <w:bCs/>
                <w:i/>
              </w:rPr>
              <w:t>Výše bonusu z předepsaného pojistného za uplynulé pojistné období v %</w:t>
            </w:r>
          </w:p>
        </w:tc>
      </w:tr>
      <w:tr w:rsidR="00C14192" w:rsidRPr="00E61127" w14:paraId="51F4F123" w14:textId="77777777" w:rsidTr="006406DE">
        <w:trPr>
          <w:trHeight w:val="178"/>
          <w:jc w:val="center"/>
        </w:trPr>
        <w:tc>
          <w:tcPr>
            <w:tcW w:w="2977" w:type="dxa"/>
            <w:tcBorders>
              <w:top w:val="nil"/>
              <w:left w:val="single" w:sz="4" w:space="0" w:color="auto"/>
              <w:bottom w:val="single" w:sz="4" w:space="0" w:color="auto"/>
              <w:right w:val="single" w:sz="4" w:space="0" w:color="auto"/>
            </w:tcBorders>
            <w:noWrap/>
            <w:vAlign w:val="bottom"/>
          </w:tcPr>
          <w:p w14:paraId="34273A67" w14:textId="77777777" w:rsidR="00C14192" w:rsidRPr="00BE041C" w:rsidRDefault="00C14192" w:rsidP="006406DE">
            <w:pPr>
              <w:spacing w:before="0" w:after="0"/>
              <w:rPr>
                <w:rFonts w:eastAsia="Calibri" w:cs="Arial"/>
                <w:bCs/>
              </w:rPr>
            </w:pPr>
            <w:r w:rsidRPr="00BE041C">
              <w:rPr>
                <w:rFonts w:eastAsia="Calibri" w:cs="Arial"/>
                <w:bCs/>
              </w:rPr>
              <w:t>do 15 % včetně</w:t>
            </w:r>
          </w:p>
        </w:tc>
        <w:tc>
          <w:tcPr>
            <w:tcW w:w="5386" w:type="dxa"/>
            <w:tcBorders>
              <w:top w:val="nil"/>
              <w:left w:val="nil"/>
              <w:bottom w:val="single" w:sz="4" w:space="0" w:color="auto"/>
              <w:right w:val="single" w:sz="4" w:space="0" w:color="auto"/>
            </w:tcBorders>
            <w:noWrap/>
            <w:vAlign w:val="bottom"/>
          </w:tcPr>
          <w:p w14:paraId="5FF8417B" w14:textId="77777777" w:rsidR="00C14192" w:rsidRPr="00BE041C" w:rsidRDefault="00C14192" w:rsidP="006406DE">
            <w:pPr>
              <w:spacing w:before="0" w:after="0"/>
              <w:rPr>
                <w:rFonts w:eastAsia="Calibri" w:cs="Arial"/>
                <w:bCs/>
              </w:rPr>
            </w:pPr>
            <w:r w:rsidRPr="00BE041C">
              <w:rPr>
                <w:rFonts w:eastAsia="Calibri" w:cs="Arial"/>
                <w:bCs/>
              </w:rPr>
              <w:t>X %</w:t>
            </w:r>
          </w:p>
        </w:tc>
      </w:tr>
    </w:tbl>
    <w:p w14:paraId="3CD3A34E" w14:textId="77777777" w:rsidR="00C14192" w:rsidRPr="00E61127" w:rsidRDefault="00C14192" w:rsidP="00C14192">
      <w:pPr>
        <w:pStyle w:val="Normlnodstavec"/>
        <w:rPr>
          <w:lang w:eastAsia="cs-CZ"/>
        </w:rPr>
      </w:pPr>
      <w:r w:rsidRPr="00E61127">
        <w:rPr>
          <w:lang w:eastAsia="cs-CZ"/>
        </w:rPr>
        <w:lastRenderedPageBreak/>
        <w:t>Škodným průběhem pojištění se rozumí poměr mezi vyplaceným pojistným plněním (včetně rezervy na škody vzniklé, nahlášené, ale v době výpočtu škodného průběhu nevyplacené) a zaplaceným pojistným za hodnocené období vyjádřený v procentech. Od vyplaceného plnění dodavatel odečítá přijaté regresy.</w:t>
      </w:r>
    </w:p>
    <w:p w14:paraId="1E2CCE24" w14:textId="77777777" w:rsidR="00C14192" w:rsidRPr="00E61127" w:rsidRDefault="00C14192" w:rsidP="00C14192">
      <w:pPr>
        <w:pStyle w:val="Normlnodstavec"/>
        <w:rPr>
          <w:lang w:eastAsia="cs-CZ"/>
        </w:rPr>
      </w:pPr>
      <w:r w:rsidRPr="00E61127">
        <w:rPr>
          <w:lang w:eastAsia="cs-CZ"/>
        </w:rPr>
        <w:t>Dodavatel uhradí bonifikaci zadavateli jednorázově nejpozději do tří měsíců po uplynutí vyhodnocovaného období.</w:t>
      </w:r>
    </w:p>
    <w:p w14:paraId="37ECF6A6" w14:textId="77777777" w:rsidR="00C14192" w:rsidRPr="00E61127" w:rsidRDefault="00C14192" w:rsidP="00C14192">
      <w:pPr>
        <w:pStyle w:val="Normlnodstavec"/>
        <w:rPr>
          <w:lang w:eastAsia="cs-CZ"/>
        </w:rPr>
      </w:pPr>
      <w:r w:rsidRPr="00E61127">
        <w:rPr>
          <w:lang w:eastAsia="cs-CZ"/>
        </w:rPr>
        <w:t xml:space="preserve">V případě, že zadavatel po poukázání bonusu dodavatelem uplatní nárok na plnění </w:t>
      </w:r>
      <w:r w:rsidRPr="00E61127">
        <w:rPr>
          <w:lang w:eastAsia="cs-CZ"/>
        </w:rPr>
        <w:br/>
        <w:t>z pojistné události, která nastala v uplynulém hodnoceném období, a to v takové výši, která zpětně ruší nárok nebo mění výši bonifikace, může dodavatel snížit plnění z této pojistné události o částku odpovídající přeplacené bonifikaci, nebo zadavatel vrátí celý bonus či jeho část zpět dodavateli.</w:t>
      </w:r>
    </w:p>
    <w:p w14:paraId="0F6482DD" w14:textId="0D8C690F" w:rsidR="00C14192" w:rsidRPr="00C14192" w:rsidRDefault="00C14192" w:rsidP="00C14192">
      <w:pPr>
        <w:pStyle w:val="Normlnodstavec"/>
        <w:rPr>
          <w:lang w:eastAsia="cs-CZ"/>
        </w:rPr>
      </w:pPr>
      <w:r w:rsidRPr="00E61127">
        <w:rPr>
          <w:lang w:eastAsia="cs-CZ"/>
        </w:rPr>
        <w:t xml:space="preserve">Nárok na bonifikaci nevznikne při ukončení pojištění před koncem v pojistné smlouvě dohodnutého pojistného období, nebo pokud nebude uhrazeno celé pojistné. </w:t>
      </w:r>
    </w:p>
    <w:p w14:paraId="70BC7F5A" w14:textId="07A97E0D" w:rsidR="005D636E" w:rsidRPr="005D636E" w:rsidRDefault="005D636E" w:rsidP="0079224E">
      <w:pPr>
        <w:pStyle w:val="Normlnlnek"/>
      </w:pPr>
      <w:r w:rsidRPr="005D636E">
        <w:t>Způsob hodnocení nabídek:</w:t>
      </w:r>
    </w:p>
    <w:p w14:paraId="0A6E8CB8" w14:textId="52106F7C" w:rsidR="005D636E" w:rsidRDefault="005D636E" w:rsidP="0079224E">
      <w:pPr>
        <w:pStyle w:val="Normlnodstavec"/>
        <w:rPr>
          <w:b/>
        </w:rPr>
      </w:pPr>
      <w:r w:rsidRPr="0079224E">
        <w:rPr>
          <w:b/>
        </w:rPr>
        <w:t>Kritéria hodnocení</w:t>
      </w:r>
    </w:p>
    <w:p w14:paraId="45F7C907" w14:textId="77777777" w:rsidR="0005742A" w:rsidRPr="0005742A" w:rsidRDefault="00480838" w:rsidP="0005742A">
      <w:pPr>
        <w:pStyle w:val="podlnek"/>
        <w:rPr>
          <w:rFonts w:eastAsia="Verdana"/>
          <w:u w:color="394A58"/>
          <w:lang w:eastAsia="cs-CZ"/>
        </w:rPr>
      </w:pPr>
      <w:r w:rsidRPr="0005742A">
        <w:rPr>
          <w:rFonts w:eastAsia="Verdana"/>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p>
    <w:p w14:paraId="21F8CCF4" w14:textId="4DE7E576" w:rsidR="0005742A" w:rsidRPr="0005742A" w:rsidRDefault="0005742A" w:rsidP="0005742A">
      <w:pPr>
        <w:pStyle w:val="podlnek"/>
        <w:rPr>
          <w:rFonts w:eastAsia="Verdana"/>
          <w:u w:color="394A58"/>
          <w:lang w:eastAsia="cs-CZ"/>
        </w:rPr>
      </w:pPr>
      <w:r w:rsidRPr="0005742A">
        <w:rPr>
          <w:rFonts w:eastAsia="Times New Roman"/>
          <w:lang w:eastAsia="cs-CZ"/>
        </w:rPr>
        <w:t>Hodnocení nabídek se uskuteční dle ustanovení § 119 zákona následujícím způsobem:</w:t>
      </w:r>
    </w:p>
    <w:tbl>
      <w:tblPr>
        <w:tblW w:w="9720" w:type="dxa"/>
        <w:jc w:val="center"/>
        <w:tblLayout w:type="fixed"/>
        <w:tblLook w:val="0000" w:firstRow="0" w:lastRow="0" w:firstColumn="0" w:lastColumn="0" w:noHBand="0" w:noVBand="0"/>
      </w:tblPr>
      <w:tblGrid>
        <w:gridCol w:w="1260"/>
        <w:gridCol w:w="7200"/>
        <w:gridCol w:w="1260"/>
      </w:tblGrid>
      <w:tr w:rsidR="0005742A" w:rsidRPr="0082108D" w14:paraId="37F395A7" w14:textId="77777777" w:rsidTr="0005742A">
        <w:trPr>
          <w:trHeight w:val="732"/>
          <w:jc w:val="center"/>
        </w:trPr>
        <w:tc>
          <w:tcPr>
            <w:tcW w:w="1260" w:type="dxa"/>
            <w:tcBorders>
              <w:top w:val="double" w:sz="4" w:space="0" w:color="000000"/>
              <w:left w:val="double" w:sz="4" w:space="0" w:color="000000"/>
              <w:bottom w:val="single" w:sz="2" w:space="0" w:color="000000"/>
            </w:tcBorders>
            <w:shd w:val="clear" w:color="auto" w:fill="auto"/>
          </w:tcPr>
          <w:p w14:paraId="0D5509FC" w14:textId="77777777" w:rsidR="0005742A" w:rsidRPr="0005742A" w:rsidRDefault="0005742A" w:rsidP="006406DE">
            <w:pPr>
              <w:spacing w:before="0" w:after="0"/>
              <w:rPr>
                <w:b/>
                <w:lang w:eastAsia="cs-CZ"/>
              </w:rPr>
            </w:pPr>
          </w:p>
          <w:p w14:paraId="126CBC53" w14:textId="77777777" w:rsidR="0005742A" w:rsidRPr="0005742A" w:rsidRDefault="0005742A" w:rsidP="006406DE">
            <w:pPr>
              <w:spacing w:before="0" w:after="0"/>
              <w:ind w:left="0"/>
              <w:rPr>
                <w:b/>
                <w:lang w:eastAsia="cs-CZ"/>
              </w:rPr>
            </w:pPr>
            <w:r w:rsidRPr="0005742A">
              <w:rPr>
                <w:b/>
                <w:lang w:eastAsia="cs-CZ"/>
              </w:rPr>
              <w:t>Pořadové číslo</w:t>
            </w:r>
          </w:p>
          <w:p w14:paraId="70818355" w14:textId="77777777" w:rsidR="0005742A" w:rsidRPr="0005742A" w:rsidRDefault="0005742A" w:rsidP="006406DE">
            <w:pPr>
              <w:spacing w:before="0" w:after="0"/>
              <w:rPr>
                <w:b/>
                <w:lang w:eastAsia="cs-CZ"/>
              </w:rPr>
            </w:pPr>
          </w:p>
        </w:tc>
        <w:tc>
          <w:tcPr>
            <w:tcW w:w="7200" w:type="dxa"/>
            <w:tcBorders>
              <w:top w:val="double" w:sz="4" w:space="0" w:color="000000"/>
              <w:left w:val="single" w:sz="2" w:space="0" w:color="000000"/>
              <w:bottom w:val="single" w:sz="2" w:space="0" w:color="000000"/>
            </w:tcBorders>
            <w:shd w:val="clear" w:color="auto" w:fill="auto"/>
            <w:vAlign w:val="center"/>
          </w:tcPr>
          <w:p w14:paraId="33984326" w14:textId="77777777" w:rsidR="0005742A" w:rsidRPr="0005742A" w:rsidRDefault="0005742A" w:rsidP="006406DE">
            <w:pPr>
              <w:spacing w:before="0" w:after="0"/>
              <w:rPr>
                <w:b/>
                <w:lang w:eastAsia="cs-CZ"/>
              </w:rPr>
            </w:pPr>
          </w:p>
          <w:p w14:paraId="7354D89A" w14:textId="77777777" w:rsidR="0005742A" w:rsidRPr="0005742A" w:rsidRDefault="0005742A" w:rsidP="006406DE">
            <w:pPr>
              <w:spacing w:before="0" w:after="0"/>
              <w:rPr>
                <w:b/>
                <w:lang w:eastAsia="cs-CZ"/>
              </w:rPr>
            </w:pPr>
            <w:r w:rsidRPr="0005742A">
              <w:rPr>
                <w:b/>
                <w:lang w:eastAsia="cs-CZ"/>
              </w:rPr>
              <w:t>Popis dílčích kritérií hodnocení</w:t>
            </w:r>
          </w:p>
          <w:p w14:paraId="190676F2" w14:textId="77777777" w:rsidR="0005742A" w:rsidRPr="0005742A" w:rsidRDefault="0005742A" w:rsidP="006406DE">
            <w:pPr>
              <w:spacing w:before="0" w:after="0"/>
              <w:rPr>
                <w:b/>
                <w:lang w:eastAsia="cs-CZ"/>
              </w:rPr>
            </w:pPr>
          </w:p>
        </w:tc>
        <w:tc>
          <w:tcPr>
            <w:tcW w:w="1260" w:type="dxa"/>
            <w:tcBorders>
              <w:top w:val="double" w:sz="4" w:space="0" w:color="000000"/>
              <w:left w:val="single" w:sz="2" w:space="0" w:color="000000"/>
              <w:bottom w:val="single" w:sz="2" w:space="0" w:color="000000"/>
              <w:right w:val="double" w:sz="4" w:space="0" w:color="000000"/>
            </w:tcBorders>
            <w:shd w:val="clear" w:color="auto" w:fill="auto"/>
            <w:vAlign w:val="center"/>
          </w:tcPr>
          <w:p w14:paraId="280DE414" w14:textId="77777777" w:rsidR="0005742A" w:rsidRPr="0005742A" w:rsidRDefault="0005742A" w:rsidP="006406DE">
            <w:pPr>
              <w:spacing w:before="0" w:after="0"/>
              <w:ind w:left="21"/>
              <w:rPr>
                <w:b/>
                <w:lang w:eastAsia="cs-CZ"/>
              </w:rPr>
            </w:pPr>
            <w:r w:rsidRPr="0005742A">
              <w:rPr>
                <w:b/>
                <w:lang w:eastAsia="cs-CZ"/>
              </w:rPr>
              <w:t>Váha v %</w:t>
            </w:r>
          </w:p>
        </w:tc>
      </w:tr>
      <w:tr w:rsidR="0005742A" w:rsidRPr="0082108D" w14:paraId="506DDD93" w14:textId="77777777" w:rsidTr="0005742A">
        <w:trPr>
          <w:trHeight w:val="340"/>
          <w:jc w:val="center"/>
        </w:trPr>
        <w:tc>
          <w:tcPr>
            <w:tcW w:w="1260" w:type="dxa"/>
            <w:tcBorders>
              <w:top w:val="single" w:sz="2" w:space="0" w:color="000000"/>
              <w:left w:val="double" w:sz="4" w:space="0" w:color="000000"/>
              <w:bottom w:val="single" w:sz="2" w:space="0" w:color="000000"/>
            </w:tcBorders>
            <w:shd w:val="clear" w:color="auto" w:fill="auto"/>
            <w:vAlign w:val="center"/>
          </w:tcPr>
          <w:p w14:paraId="16C0FEF6" w14:textId="77777777" w:rsidR="0005742A" w:rsidRPr="00263FB1" w:rsidRDefault="0005742A" w:rsidP="006406DE">
            <w:pPr>
              <w:spacing w:before="0" w:after="0"/>
              <w:ind w:left="0"/>
              <w:rPr>
                <w:lang w:eastAsia="cs-CZ"/>
              </w:rPr>
            </w:pPr>
          </w:p>
          <w:p w14:paraId="0501EE4D" w14:textId="77777777" w:rsidR="0005742A" w:rsidRPr="00263FB1" w:rsidRDefault="0005742A" w:rsidP="006406DE">
            <w:pPr>
              <w:spacing w:before="0" w:after="0"/>
              <w:ind w:left="0"/>
              <w:rPr>
                <w:lang w:eastAsia="cs-CZ"/>
              </w:rPr>
            </w:pPr>
            <w:r w:rsidRPr="00263FB1">
              <w:rPr>
                <w:lang w:eastAsia="cs-CZ"/>
              </w:rPr>
              <w:t>1.</w:t>
            </w:r>
          </w:p>
        </w:tc>
        <w:tc>
          <w:tcPr>
            <w:tcW w:w="7200" w:type="dxa"/>
            <w:tcBorders>
              <w:top w:val="single" w:sz="2" w:space="0" w:color="000000"/>
              <w:left w:val="single" w:sz="2" w:space="0" w:color="000000"/>
              <w:bottom w:val="single" w:sz="2" w:space="0" w:color="000000"/>
            </w:tcBorders>
            <w:shd w:val="clear" w:color="auto" w:fill="auto"/>
            <w:vAlign w:val="center"/>
          </w:tcPr>
          <w:p w14:paraId="361FA5AA" w14:textId="77777777" w:rsidR="0005742A" w:rsidRPr="00263FB1" w:rsidRDefault="0005742A" w:rsidP="006406DE">
            <w:pPr>
              <w:spacing w:before="0" w:after="0"/>
              <w:rPr>
                <w:lang w:eastAsia="cs-CZ"/>
              </w:rPr>
            </w:pPr>
          </w:p>
          <w:p w14:paraId="77232C3E" w14:textId="77777777" w:rsidR="0005742A" w:rsidRPr="00263FB1" w:rsidRDefault="0005742A" w:rsidP="006406DE">
            <w:pPr>
              <w:spacing w:before="0" w:after="0"/>
              <w:rPr>
                <w:lang w:eastAsia="cs-CZ"/>
              </w:rPr>
            </w:pPr>
            <w:r w:rsidRPr="00263FB1">
              <w:rPr>
                <w:lang w:eastAsia="cs-CZ"/>
              </w:rPr>
              <w:t>Nabídková cena</w:t>
            </w:r>
          </w:p>
          <w:p w14:paraId="1B653D4A" w14:textId="77777777" w:rsidR="0005742A" w:rsidRPr="00263FB1" w:rsidRDefault="0005742A" w:rsidP="006406DE">
            <w:pPr>
              <w:spacing w:before="0" w:after="0"/>
              <w:rPr>
                <w:lang w:eastAsia="cs-CZ"/>
              </w:rPr>
            </w:pPr>
          </w:p>
        </w:tc>
        <w:tc>
          <w:tcPr>
            <w:tcW w:w="1260" w:type="dxa"/>
            <w:tcBorders>
              <w:top w:val="single" w:sz="2" w:space="0" w:color="000000"/>
              <w:left w:val="single" w:sz="2" w:space="0" w:color="000000"/>
              <w:bottom w:val="single" w:sz="2" w:space="0" w:color="000000"/>
              <w:right w:val="double" w:sz="4" w:space="0" w:color="000000"/>
            </w:tcBorders>
            <w:shd w:val="clear" w:color="auto" w:fill="auto"/>
            <w:vAlign w:val="center"/>
          </w:tcPr>
          <w:p w14:paraId="15ECEF9D" w14:textId="77777777" w:rsidR="0005742A" w:rsidRPr="00345B6C" w:rsidRDefault="0005742A" w:rsidP="006406DE">
            <w:pPr>
              <w:spacing w:before="0" w:after="0"/>
              <w:ind w:left="21" w:firstLine="546"/>
              <w:rPr>
                <w:highlight w:val="yellow"/>
                <w:lang w:eastAsia="cs-CZ"/>
              </w:rPr>
            </w:pPr>
          </w:p>
          <w:p w14:paraId="3DB1288F" w14:textId="77777777" w:rsidR="0005742A" w:rsidRPr="00345B6C" w:rsidRDefault="0005742A" w:rsidP="006406DE">
            <w:pPr>
              <w:spacing w:before="0" w:after="0"/>
              <w:ind w:left="21"/>
              <w:rPr>
                <w:highlight w:val="yellow"/>
                <w:lang w:eastAsia="cs-CZ"/>
              </w:rPr>
            </w:pPr>
            <w:r w:rsidRPr="00BE041C">
              <w:rPr>
                <w:lang w:eastAsia="cs-CZ"/>
              </w:rPr>
              <w:t>90 %</w:t>
            </w:r>
          </w:p>
        </w:tc>
      </w:tr>
      <w:tr w:rsidR="0005742A" w:rsidRPr="0082108D" w14:paraId="0669C1CD" w14:textId="77777777" w:rsidTr="0005742A">
        <w:trPr>
          <w:trHeight w:val="620"/>
          <w:jc w:val="center"/>
        </w:trPr>
        <w:tc>
          <w:tcPr>
            <w:tcW w:w="1260" w:type="dxa"/>
            <w:tcBorders>
              <w:top w:val="single" w:sz="2" w:space="0" w:color="000000"/>
              <w:left w:val="double" w:sz="4" w:space="0" w:color="000000"/>
              <w:bottom w:val="single" w:sz="2" w:space="0" w:color="000000"/>
            </w:tcBorders>
            <w:shd w:val="clear" w:color="auto" w:fill="auto"/>
            <w:vAlign w:val="center"/>
          </w:tcPr>
          <w:p w14:paraId="21DA3243" w14:textId="77777777" w:rsidR="0005742A" w:rsidRPr="00263FB1" w:rsidRDefault="0005742A" w:rsidP="006406DE">
            <w:pPr>
              <w:spacing w:before="0" w:after="0"/>
              <w:ind w:left="0"/>
              <w:rPr>
                <w:lang w:eastAsia="cs-CZ"/>
              </w:rPr>
            </w:pPr>
            <w:r w:rsidRPr="00263FB1">
              <w:rPr>
                <w:lang w:eastAsia="cs-CZ"/>
              </w:rPr>
              <w:t>2.</w:t>
            </w:r>
          </w:p>
        </w:tc>
        <w:tc>
          <w:tcPr>
            <w:tcW w:w="7200" w:type="dxa"/>
            <w:tcBorders>
              <w:top w:val="single" w:sz="2" w:space="0" w:color="000000"/>
              <w:left w:val="single" w:sz="2" w:space="0" w:color="000000"/>
              <w:bottom w:val="single" w:sz="2" w:space="0" w:color="000000"/>
            </w:tcBorders>
            <w:shd w:val="clear" w:color="auto" w:fill="auto"/>
            <w:vAlign w:val="center"/>
          </w:tcPr>
          <w:p w14:paraId="4AC6F05B" w14:textId="77777777" w:rsidR="0005742A" w:rsidRPr="00263FB1" w:rsidRDefault="0005742A" w:rsidP="006406DE">
            <w:pPr>
              <w:spacing w:before="0" w:after="0"/>
              <w:rPr>
                <w:lang w:eastAsia="cs-CZ"/>
              </w:rPr>
            </w:pPr>
          </w:p>
          <w:p w14:paraId="4CFFBFDB" w14:textId="72EE7DB9" w:rsidR="0005742A" w:rsidRPr="00263FB1" w:rsidRDefault="0005742A" w:rsidP="006406DE">
            <w:pPr>
              <w:spacing w:before="0" w:after="0"/>
              <w:rPr>
                <w:lang w:eastAsia="cs-CZ"/>
              </w:rPr>
            </w:pPr>
            <w:r w:rsidRPr="00263FB1">
              <w:rPr>
                <w:lang w:eastAsia="cs-CZ"/>
              </w:rPr>
              <w:t xml:space="preserve">Výše bonusu </w:t>
            </w:r>
            <w:r w:rsidRPr="00DC0A54">
              <w:rPr>
                <w:lang w:eastAsia="cs-CZ"/>
              </w:rPr>
              <w:t xml:space="preserve">za příznivý škodný průběh v souladu s čl. </w:t>
            </w:r>
            <w:r>
              <w:rPr>
                <w:lang w:eastAsia="cs-CZ"/>
              </w:rPr>
              <w:fldChar w:fldCharType="begin"/>
            </w:r>
            <w:r>
              <w:rPr>
                <w:lang w:eastAsia="cs-CZ"/>
              </w:rPr>
              <w:instrText xml:space="preserve"> REF _Ref51142821 \r \h </w:instrText>
            </w:r>
            <w:r>
              <w:rPr>
                <w:lang w:eastAsia="cs-CZ"/>
              </w:rPr>
            </w:r>
            <w:r>
              <w:rPr>
                <w:lang w:eastAsia="cs-CZ"/>
              </w:rPr>
              <w:fldChar w:fldCharType="separate"/>
            </w:r>
            <w:r w:rsidR="00BE6226">
              <w:rPr>
                <w:lang w:eastAsia="cs-CZ"/>
              </w:rPr>
              <w:t>16</w:t>
            </w:r>
            <w:r>
              <w:rPr>
                <w:lang w:eastAsia="cs-CZ"/>
              </w:rPr>
              <w:fldChar w:fldCharType="end"/>
            </w:r>
            <w:r w:rsidRPr="00DC0A54">
              <w:rPr>
                <w:lang w:eastAsia="cs-CZ"/>
              </w:rPr>
              <w:t xml:space="preserve"> této Zadávací dokumentace</w:t>
            </w:r>
          </w:p>
        </w:tc>
        <w:tc>
          <w:tcPr>
            <w:tcW w:w="1260" w:type="dxa"/>
            <w:tcBorders>
              <w:top w:val="single" w:sz="2" w:space="0" w:color="000000"/>
              <w:left w:val="single" w:sz="2" w:space="0" w:color="000000"/>
              <w:bottom w:val="single" w:sz="2" w:space="0" w:color="000000"/>
              <w:right w:val="double" w:sz="4" w:space="0" w:color="000000"/>
            </w:tcBorders>
            <w:shd w:val="clear" w:color="auto" w:fill="auto"/>
            <w:vAlign w:val="center"/>
          </w:tcPr>
          <w:p w14:paraId="0A700483" w14:textId="77777777" w:rsidR="0005742A" w:rsidRPr="00345B6C" w:rsidRDefault="0005742A" w:rsidP="006406DE">
            <w:pPr>
              <w:spacing w:before="0" w:after="0"/>
              <w:ind w:left="21"/>
              <w:rPr>
                <w:highlight w:val="yellow"/>
                <w:lang w:eastAsia="cs-CZ"/>
              </w:rPr>
            </w:pPr>
            <w:r w:rsidRPr="00BE041C">
              <w:rPr>
                <w:lang w:eastAsia="cs-CZ"/>
              </w:rPr>
              <w:t>10 %</w:t>
            </w:r>
          </w:p>
        </w:tc>
      </w:tr>
    </w:tbl>
    <w:p w14:paraId="6B789E12" w14:textId="77777777" w:rsidR="0005742A" w:rsidRPr="00D61EF6" w:rsidRDefault="0005742A" w:rsidP="006406DE">
      <w:pPr>
        <w:pStyle w:val="podlnek"/>
        <w:numPr>
          <w:ilvl w:val="0"/>
          <w:numId w:val="0"/>
        </w:numPr>
        <w:spacing w:before="0"/>
        <w:rPr>
          <w:rFonts w:eastAsia="Verdana"/>
          <w:i/>
          <w:u w:color="394A58"/>
          <w:lang w:eastAsia="cs-CZ"/>
        </w:rPr>
      </w:pPr>
    </w:p>
    <w:p w14:paraId="4B83DB38" w14:textId="0E00E5E8" w:rsidR="0005742A" w:rsidRPr="0001151F" w:rsidRDefault="0005742A" w:rsidP="00480838">
      <w:pPr>
        <w:pStyle w:val="podlnek"/>
        <w:rPr>
          <w:rFonts w:eastAsia="Verdana"/>
          <w:u w:color="394A58"/>
          <w:lang w:eastAsia="cs-CZ"/>
        </w:rPr>
      </w:pPr>
      <w:r w:rsidRPr="0001151F">
        <w:rPr>
          <w:rFonts w:eastAsia="Verdana"/>
          <w:u w:color="394A58"/>
          <w:lang w:eastAsia="cs-CZ"/>
        </w:rPr>
        <w:t>Způsob hodnocení dílčích kritérií</w:t>
      </w:r>
    </w:p>
    <w:p w14:paraId="6FD22EE0" w14:textId="4A92E0AA" w:rsidR="0005742A" w:rsidRPr="00D61EF6" w:rsidRDefault="0005742A" w:rsidP="0005742A">
      <w:pPr>
        <w:rPr>
          <w:lang w:eastAsia="cs-CZ"/>
        </w:rPr>
      </w:pPr>
      <w:r w:rsidRPr="00D61EF6">
        <w:rPr>
          <w:lang w:eastAsia="cs-CZ"/>
        </w:rPr>
        <w:t>Bod 1. je hodnocen:</w:t>
      </w:r>
    </w:p>
    <w:p w14:paraId="5EC77227" w14:textId="55E7A451" w:rsidR="0005742A" w:rsidRPr="00D61EF6" w:rsidRDefault="0005742A" w:rsidP="0005742A">
      <w:pPr>
        <w:rPr>
          <w:lang w:eastAsia="cs-CZ"/>
        </w:rPr>
      </w:pPr>
      <w:r w:rsidRPr="00D61EF6">
        <w:rPr>
          <w:lang w:eastAsia="cs-CZ"/>
        </w:rPr>
        <w:t>Počet bodů = (nejnižší hodnocená nabídková cena / nabídnutá cena) x 100</w:t>
      </w:r>
      <w:r w:rsidR="009031FA" w:rsidRPr="00D61EF6">
        <w:rPr>
          <w:lang w:eastAsia="cs-CZ"/>
        </w:rPr>
        <w:t xml:space="preserve"> x 0,9</w:t>
      </w:r>
    </w:p>
    <w:p w14:paraId="24732FCA" w14:textId="77777777" w:rsidR="0005742A" w:rsidRPr="00D61EF6" w:rsidRDefault="0005742A" w:rsidP="0005742A">
      <w:pPr>
        <w:rPr>
          <w:lang w:eastAsia="cs-CZ"/>
        </w:rPr>
      </w:pPr>
      <w:r w:rsidRPr="00D61EF6">
        <w:rPr>
          <w:lang w:eastAsia="cs-CZ"/>
        </w:rPr>
        <w:t>Bod 2. je hodnocen:</w:t>
      </w:r>
    </w:p>
    <w:p w14:paraId="71FD2841" w14:textId="3D56BADE" w:rsidR="0005742A" w:rsidRPr="00D54A72" w:rsidRDefault="0005742A" w:rsidP="0005742A">
      <w:pPr>
        <w:rPr>
          <w:lang w:eastAsia="cs-CZ"/>
        </w:rPr>
      </w:pPr>
      <w:r w:rsidRPr="00D61EF6">
        <w:rPr>
          <w:lang w:eastAsia="cs-CZ"/>
        </w:rPr>
        <w:t>Počet bodů = (nabídnutá výše bonusu / nejvyšší hodnocená výše bonusu) x 100</w:t>
      </w:r>
      <w:r w:rsidR="009031FA" w:rsidRPr="0001151F">
        <w:rPr>
          <w:lang w:eastAsia="cs-CZ"/>
        </w:rPr>
        <w:t xml:space="preserve"> x 0,</w:t>
      </w:r>
      <w:r w:rsidR="009031FA" w:rsidRPr="00D54A72">
        <w:rPr>
          <w:lang w:eastAsia="cs-CZ"/>
        </w:rPr>
        <w:t>1</w:t>
      </w:r>
    </w:p>
    <w:p w14:paraId="16852C4B" w14:textId="77777777" w:rsidR="0005742A" w:rsidRPr="00D61EF6" w:rsidRDefault="0005742A" w:rsidP="0005742A">
      <w:pPr>
        <w:pStyle w:val="podlnek"/>
        <w:numPr>
          <w:ilvl w:val="0"/>
          <w:numId w:val="0"/>
        </w:numPr>
        <w:ind w:left="1134"/>
        <w:rPr>
          <w:rFonts w:eastAsia="Verdana"/>
          <w:i/>
          <w:u w:color="394A58"/>
          <w:lang w:eastAsia="cs-CZ"/>
        </w:rPr>
      </w:pPr>
    </w:p>
    <w:p w14:paraId="54CFD67A"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 xml:space="preserve">Hodnocení nabídek bude provedeno podle dílčích kritérií a jejich vah. </w:t>
      </w:r>
    </w:p>
    <w:p w14:paraId="4463F6A3"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Hodnocení nabídek v rámci kritéria 1. bude probíhat tak, že jako nejvhodnější bude vybrána nabídka dodavatele s nejnižší nabídkovou cenou, která získá 100 bodů. Každá další hodnocená nabídka získá počet bodů, který se bude rovnat poměru nabídky s nejnižší nabídkovou cenou k hodnocené nabídce vynásobeno 100.</w:t>
      </w:r>
    </w:p>
    <w:p w14:paraId="49F9AFC5"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Hodnocení nabídek v rámci kritéria 2. bude probíhat tak, že jako nejvhodnější bude vybrána nabídka dodavatele s nejvyšším bonusem, která získá 100 bodů. Každá další hodnocená nabídka získá počet bodů, který se bude rovnat poměru hodnocené nabídky k nabídce s nejvyšším bonusem vynásobeno 100. Pokud všichni dodavatelé nabídnou v rámci kritéria 2. nulovou hodnotu, obdrží všichni dodavatelé v rámci tohoto kritéria 0 bodů.</w:t>
      </w:r>
    </w:p>
    <w:p w14:paraId="0AD8E945"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Poté zadavatel, resp. komise bodové ohodnocení nabídek dle dílčího kritéria vynásobí příslušnou vahou kritéria a získá výslednou hodnotu v rámci dílčího kritéria.</w:t>
      </w:r>
    </w:p>
    <w:p w14:paraId="3E79A13B" w14:textId="77777777" w:rsidR="0005742A" w:rsidRPr="0005742A" w:rsidRDefault="0005742A" w:rsidP="0005742A">
      <w:pPr>
        <w:pStyle w:val="podlnek"/>
        <w:rPr>
          <w:rFonts w:eastAsia="Verdana"/>
          <w:u w:color="394A58"/>
          <w:lang w:eastAsia="cs-CZ"/>
        </w:rPr>
      </w:pPr>
      <w:r w:rsidRPr="0005742A">
        <w:rPr>
          <w:rFonts w:eastAsia="Verdana"/>
          <w:u w:color="394A58"/>
          <w:lang w:eastAsia="cs-CZ"/>
        </w:rPr>
        <w:t>Na základě součtu výsledných hodnot u jednotlivých nabídek zadavatel, resp. komise stanoví pořadí úspěšnosti jednotlivých nabídek tak, že jako nejúspěšnější bude stanovena nabídka, která dosáhla nejvyšší hodnoty.</w:t>
      </w:r>
    </w:p>
    <w:p w14:paraId="7FC1C0DB" w14:textId="2BC30A75" w:rsidR="0005742A" w:rsidRDefault="0005742A" w:rsidP="0079224E">
      <w:pPr>
        <w:pStyle w:val="podlnek"/>
        <w:rPr>
          <w:rFonts w:eastAsia="Verdana"/>
          <w:u w:color="394A58"/>
          <w:lang w:eastAsia="cs-CZ"/>
        </w:rPr>
      </w:pPr>
      <w:r>
        <w:rPr>
          <w:rFonts w:eastAsia="Verdana"/>
          <w:u w:color="394A58"/>
          <w:lang w:eastAsia="cs-CZ"/>
        </w:rPr>
        <w:t>Celkové hodnocení</w:t>
      </w:r>
      <w:r w:rsidR="00231183">
        <w:rPr>
          <w:rFonts w:eastAsia="Verdana"/>
          <w:u w:color="394A58"/>
          <w:lang w:eastAsia="cs-CZ"/>
        </w:rPr>
        <w:t xml:space="preserve"> – Ekonomicky nejvýhodnější nabídkou bude nabídka, která získá nejvyšší počet bodů součtem výsledných hodnot dílčích hodnotících kritérií 1. a 2.</w:t>
      </w:r>
    </w:p>
    <w:p w14:paraId="774297C4" w14:textId="77F3048F" w:rsidR="0005742A" w:rsidRPr="0005742A" w:rsidRDefault="00231183" w:rsidP="0005742A">
      <w:pPr>
        <w:pStyle w:val="podlnek"/>
        <w:rPr>
          <w:rFonts w:eastAsia="Verdana"/>
          <w:u w:color="394A58"/>
          <w:lang w:eastAsia="cs-CZ"/>
        </w:rPr>
      </w:pPr>
      <w:r>
        <w:rPr>
          <w:rFonts w:eastAsia="Verdana"/>
          <w:u w:color="394A58"/>
          <w:lang w:eastAsia="cs-CZ"/>
        </w:rPr>
        <w:t xml:space="preserve">V případě celkové rovnosti bodů je ekonomicky nejvýhodnější nabídkou nabídka, která získala větší počet bodů v kategorii „Nabídková cena“. V případě celkové rovnosti bodů a rovnosti bodů v kategorii „Nabídková cena“ rozhodne o pořadí nabídky čas podání těchto nabídek dle čl. </w:t>
      </w:r>
      <w:r w:rsidR="0010203F">
        <w:rPr>
          <w:rFonts w:eastAsia="Verdana"/>
          <w:u w:color="394A58"/>
          <w:lang w:eastAsia="cs-CZ"/>
        </w:rPr>
        <w:fldChar w:fldCharType="begin"/>
      </w:r>
      <w:r w:rsidR="0010203F">
        <w:rPr>
          <w:rFonts w:eastAsia="Verdana"/>
          <w:u w:color="394A58"/>
          <w:lang w:eastAsia="cs-CZ"/>
        </w:rPr>
        <w:instrText xml:space="preserve"> REF _Ref51241924 \r \h </w:instrText>
      </w:r>
      <w:r w:rsidR="0010203F">
        <w:rPr>
          <w:rFonts w:eastAsia="Verdana"/>
          <w:u w:color="394A58"/>
          <w:lang w:eastAsia="cs-CZ"/>
        </w:rPr>
      </w:r>
      <w:r w:rsidR="0010203F">
        <w:rPr>
          <w:rFonts w:eastAsia="Verdana"/>
          <w:u w:color="394A58"/>
          <w:lang w:eastAsia="cs-CZ"/>
        </w:rPr>
        <w:fldChar w:fldCharType="separate"/>
      </w:r>
      <w:r w:rsidR="00BE6226">
        <w:rPr>
          <w:rFonts w:eastAsia="Verdana"/>
          <w:u w:color="394A58"/>
          <w:lang w:eastAsia="cs-CZ"/>
        </w:rPr>
        <w:t>21</w:t>
      </w:r>
      <w:r w:rsidR="0010203F">
        <w:rPr>
          <w:rFonts w:eastAsia="Verdana"/>
          <w:u w:color="394A58"/>
          <w:lang w:eastAsia="cs-CZ"/>
        </w:rPr>
        <w:fldChar w:fldCharType="end"/>
      </w:r>
      <w:r w:rsidR="0010203F">
        <w:rPr>
          <w:rFonts w:eastAsia="Verdana"/>
          <w:u w:color="394A58"/>
          <w:lang w:eastAsia="cs-CZ"/>
        </w:rPr>
        <w:t xml:space="preserve"> </w:t>
      </w:r>
      <w:r>
        <w:t>této Zadávací dokumentace, přičemž platí, že lépe se umístila ta nabídka, která byla podána dříve.</w:t>
      </w:r>
    </w:p>
    <w:p w14:paraId="77E4D440" w14:textId="77777777" w:rsidR="005D636E" w:rsidRPr="005D636E" w:rsidRDefault="005D636E" w:rsidP="003B114D">
      <w:pPr>
        <w:pStyle w:val="Normlnlnek"/>
      </w:pPr>
      <w:r w:rsidRPr="005D636E">
        <w:t>Zadávací dokumentace:</w:t>
      </w:r>
    </w:p>
    <w:p w14:paraId="20AFA113" w14:textId="77777777" w:rsidR="005D636E" w:rsidRPr="003B114D" w:rsidRDefault="005D636E" w:rsidP="003B114D">
      <w:pPr>
        <w:pStyle w:val="Normlnodstavec"/>
        <w:rPr>
          <w:b/>
        </w:rPr>
      </w:pPr>
      <w:r w:rsidRPr="003B114D">
        <w:rPr>
          <w:b/>
        </w:rPr>
        <w:t>Uveřejnění zadávací dokumentace</w:t>
      </w:r>
    </w:p>
    <w:p w14:paraId="0CC31944" w14:textId="77777777" w:rsidR="005D636E" w:rsidRPr="005D636E" w:rsidRDefault="005D636E" w:rsidP="003B114D">
      <w:pPr>
        <w:pStyle w:val="podlnek"/>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Default="005D636E" w:rsidP="003B114D">
      <w:pPr>
        <w:pStyle w:val="podlnek"/>
        <w:rPr>
          <w:rFonts w:eastAsia="Verdana"/>
          <w:u w:color="000000"/>
        </w:rPr>
      </w:pPr>
      <w:r w:rsidRPr="005D636E">
        <w:rPr>
          <w:rFonts w:eastAsia="Verdana"/>
        </w:rPr>
        <w:t xml:space="preserve">V souladu s § 96 odst. 1 a 2 ZZVZ je zadávací dokumentace zveřejněna na profilu Zadavatele na internetové adrese: </w:t>
      </w:r>
      <w:hyperlink r:id="rId14"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20CA0DC6" w14:textId="77777777" w:rsidR="006406DE" w:rsidRDefault="006406DE" w:rsidP="006406DE">
      <w:pPr>
        <w:pStyle w:val="podlnek"/>
        <w:numPr>
          <w:ilvl w:val="0"/>
          <w:numId w:val="0"/>
        </w:numPr>
        <w:ind w:left="1702"/>
        <w:rPr>
          <w:rFonts w:eastAsia="Verdana"/>
          <w:u w:color="000000"/>
        </w:rPr>
      </w:pPr>
    </w:p>
    <w:p w14:paraId="027F34BB" w14:textId="77777777" w:rsidR="006406DE" w:rsidRPr="005D636E" w:rsidRDefault="006406DE" w:rsidP="006406DE">
      <w:pPr>
        <w:pStyle w:val="podlnek"/>
        <w:numPr>
          <w:ilvl w:val="0"/>
          <w:numId w:val="0"/>
        </w:numPr>
        <w:ind w:left="1702"/>
        <w:rPr>
          <w:rFonts w:eastAsia="Verdana"/>
          <w:u w:color="000000"/>
        </w:rPr>
      </w:pPr>
    </w:p>
    <w:p w14:paraId="7B14C368" w14:textId="77777777" w:rsidR="005D636E" w:rsidRPr="003B114D" w:rsidRDefault="005D636E" w:rsidP="003B114D">
      <w:pPr>
        <w:pStyle w:val="Normlnodstavec"/>
        <w:rPr>
          <w:b/>
        </w:rPr>
      </w:pPr>
      <w:r w:rsidRPr="003B114D">
        <w:rPr>
          <w:b/>
        </w:rPr>
        <w:lastRenderedPageBreak/>
        <w:t>Vysvětlení zadávací dokumentace</w:t>
      </w:r>
    </w:p>
    <w:p w14:paraId="66995ED2" w14:textId="77777777" w:rsidR="005D636E" w:rsidRPr="00F34491" w:rsidRDefault="005D636E" w:rsidP="003B114D">
      <w:pPr>
        <w:pStyle w:val="podlnek"/>
        <w:rPr>
          <w:rFonts w:eastAsia="Verdana"/>
          <w:noProof/>
        </w:rPr>
      </w:pPr>
      <w:r w:rsidRPr="00F34491">
        <w:rPr>
          <w:rFonts w:eastAsia="Verdana"/>
          <w:noProof/>
        </w:rPr>
        <w:t xml:space="preserve">Zadavatel může Zadávací dokumentaci vysvětlit, pokud takové vysvětlení, případně související dokumenty, uveřejní na profilu Zadavatele, a to nejméně </w:t>
      </w:r>
      <w:r w:rsidRPr="00F34491">
        <w:rPr>
          <w:rFonts w:eastAsia="Verdana"/>
          <w:b/>
          <w:noProof/>
        </w:rPr>
        <w:t>5 pracovních dnů před uplynutím lhůty pro podání nabídek</w:t>
      </w:r>
      <w:r w:rsidRPr="00F34491">
        <w:rPr>
          <w:rFonts w:eastAsia="Verdana"/>
          <w:noProof/>
        </w:rPr>
        <w:t>.</w:t>
      </w:r>
    </w:p>
    <w:p w14:paraId="24D789D0" w14:textId="77777777" w:rsidR="005D636E" w:rsidRPr="00F34491" w:rsidRDefault="005D636E" w:rsidP="003B114D">
      <w:pPr>
        <w:pStyle w:val="podlnek"/>
        <w:rPr>
          <w:rFonts w:eastAsia="Verdana"/>
          <w:noProof/>
        </w:rPr>
      </w:pPr>
      <w:r w:rsidRPr="00F34491">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F34491">
        <w:rPr>
          <w:rFonts w:eastAsia="Verdana"/>
          <w:b/>
          <w:noProof/>
        </w:rPr>
        <w:t>nejpozději 8 pracovních dnů před uplynutím lhůty pro podání nabídek</w:t>
      </w:r>
      <w:r w:rsidRPr="00F34491">
        <w:rPr>
          <w:rFonts w:eastAsia="Verdana"/>
          <w:noProof/>
        </w:rPr>
        <w:t>. Pokud Zadavatel na žádost o vysvětlení, která není doručena včas, vysvětlení poskytne, nemusí uvedené lhůty dodržet.</w:t>
      </w:r>
      <w:r w:rsidR="003B114D" w:rsidRPr="00F34491">
        <w:rPr>
          <w:rFonts w:eastAsia="Verdana"/>
          <w:noProof/>
        </w:rPr>
        <w:t xml:space="preserve"> Žádost o vysvětlení Zadávací dokumentace musí být podána v českém jazyce, na žádost podanou v jiném, než v českém jazyce se hledí jako by nebyla podána včas. </w:t>
      </w:r>
    </w:p>
    <w:p w14:paraId="7DC94C2B" w14:textId="77777777" w:rsidR="005D636E" w:rsidRPr="008874D3" w:rsidRDefault="005D636E" w:rsidP="008874D3">
      <w:pPr>
        <w:pStyle w:val="Normlnodstavec"/>
        <w:rPr>
          <w:b/>
        </w:rPr>
      </w:pPr>
      <w:r w:rsidRPr="00F34491">
        <w:rPr>
          <w:b/>
        </w:rPr>
        <w:t>Zadavatel je oprávněn uveřejnit na pro</w:t>
      </w:r>
      <w:r w:rsidRPr="008874D3">
        <w:rPr>
          <w:b/>
        </w:rPr>
        <w:t>filu Zadavatele za podmínek § 99 ZZVZ rovněž změnu nebo doplnění Zadávací dokumentace.</w:t>
      </w:r>
    </w:p>
    <w:p w14:paraId="2E7C1398" w14:textId="77777777" w:rsidR="005D636E" w:rsidRPr="005D636E" w:rsidRDefault="005D636E" w:rsidP="00FE1347">
      <w:pPr>
        <w:pStyle w:val="Normlnlnek"/>
        <w:rPr>
          <w:rFonts w:eastAsia="Verdana"/>
          <w:noProof/>
        </w:rPr>
      </w:pPr>
      <w:r w:rsidRPr="005D636E">
        <w:rPr>
          <w:rFonts w:eastAsia="Verdana"/>
          <w:noProof/>
        </w:rPr>
        <w:t>Závaznost pokynů Zadavatele</w:t>
      </w:r>
    </w:p>
    <w:p w14:paraId="69087F5D" w14:textId="77777777" w:rsidR="005D636E" w:rsidRPr="005D636E" w:rsidRDefault="005D636E" w:rsidP="00FE1347">
      <w:pPr>
        <w:pStyle w:val="Normlnodstavec"/>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60B0820" w14:textId="77777777" w:rsidR="005D636E" w:rsidRPr="005D636E" w:rsidRDefault="005D636E" w:rsidP="00FE1347">
      <w:pPr>
        <w:pStyle w:val="Normlnodstavec"/>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FE1347">
      <w:pPr>
        <w:pStyle w:val="Normlnlnek"/>
      </w:pPr>
      <w:r w:rsidRPr="005D636E">
        <w:t xml:space="preserve"> Komunikace mezi Zadavatelem a dodavatelem:</w:t>
      </w:r>
    </w:p>
    <w:p w14:paraId="676C445F" w14:textId="3ACDA79C" w:rsidR="005D636E" w:rsidRPr="005D636E" w:rsidRDefault="005D636E" w:rsidP="00FE1347">
      <w:pPr>
        <w:pStyle w:val="Normlnodstavec"/>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5"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Pr="005D636E" w:rsidRDefault="005D636E" w:rsidP="00FE1347">
      <w:pPr>
        <w:pStyle w:val="Normlnodstavec"/>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9089DBE" w14:textId="77777777" w:rsidR="005D636E" w:rsidRPr="008874D3" w:rsidRDefault="005D636E" w:rsidP="00FE1347">
      <w:pPr>
        <w:pStyle w:val="Normlnlnek"/>
        <w:rPr>
          <w:rFonts w:eastAsia="Verdana"/>
          <w:noProof/>
        </w:rPr>
      </w:pPr>
      <w:r w:rsidRPr="005D636E">
        <w:lastRenderedPageBreak/>
        <w:t xml:space="preserve"> </w:t>
      </w:r>
      <w:bookmarkStart w:id="11" w:name="_Ref51241924"/>
      <w:r w:rsidRPr="005D636E">
        <w:t>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a otevírání nabídek</w:t>
      </w:r>
      <w:bookmarkEnd w:id="11"/>
    </w:p>
    <w:p w14:paraId="3A986FCB" w14:textId="02DE98AA" w:rsidR="005D636E" w:rsidRPr="005D636E" w:rsidRDefault="005D636E" w:rsidP="00FE1347">
      <w:pPr>
        <w:pStyle w:val="Normlnodstavec"/>
      </w:pPr>
      <w:bookmarkStart w:id="12"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6" w:history="1">
        <w:r w:rsidRPr="005D636E">
          <w:rPr>
            <w:color w:val="0563C1"/>
            <w:u w:val="single"/>
          </w:rPr>
          <w:t>https://zakazky.</w:t>
        </w:r>
        <w:r w:rsidR="00AF1710">
          <w:rPr>
            <w:color w:val="0563C1"/>
            <w:u w:val="single"/>
          </w:rPr>
          <w:t>spravazeleznic</w:t>
        </w:r>
        <w:r w:rsidRPr="005D636E">
          <w:rPr>
            <w:color w:val="0563C1"/>
            <w:u w:val="single"/>
          </w:rPr>
          <w:t>.cz/manual.html</w:t>
        </w:r>
      </w:hyperlink>
      <w:r w:rsidRPr="005D636E">
        <w:t>.</w:t>
      </w:r>
      <w:bookmarkEnd w:id="12"/>
      <w:r w:rsidRPr="005D636E">
        <w:t xml:space="preserve"> </w:t>
      </w:r>
    </w:p>
    <w:p w14:paraId="05059C8F" w14:textId="77777777" w:rsidR="005D636E" w:rsidRDefault="005D636E" w:rsidP="00FE1347">
      <w:pPr>
        <w:pStyle w:val="Normlnodstavec"/>
      </w:pPr>
      <w:r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4353DD4F" w14:textId="3994B971" w:rsidR="00490A65" w:rsidRPr="005D636E" w:rsidRDefault="00490A65" w:rsidP="00FE1347">
      <w:pPr>
        <w:pStyle w:val="Normlnodstavec"/>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t xml:space="preserve">Vzor čestného prohlášení </w:t>
      </w:r>
      <w:r w:rsidRPr="006406DE">
        <w:t xml:space="preserve">je uveden v příloze č. </w:t>
      </w:r>
      <w:r w:rsidR="00E4642C" w:rsidRPr="006406DE">
        <w:t>6</w:t>
      </w:r>
      <w:r w:rsidRPr="006406DE">
        <w:t xml:space="preserve"> této</w:t>
      </w:r>
      <w:r>
        <w:t xml:space="preserve"> Zadávací dokumentace</w:t>
      </w:r>
      <w:r w:rsidRPr="000553D1">
        <w:t>.</w:t>
      </w:r>
    </w:p>
    <w:p w14:paraId="035E04DB" w14:textId="77777777" w:rsidR="005D636E" w:rsidRPr="008874D3" w:rsidRDefault="005D636E" w:rsidP="00FE1347">
      <w:pPr>
        <w:pStyle w:val="Normlnodstavec"/>
      </w:pPr>
      <w:r w:rsidRPr="005D636E">
        <w:t xml:space="preserve">Pro zpracování nabídky Zadavatel doporučuje níže uvedené řazení dokladů a dokumentů: </w:t>
      </w:r>
    </w:p>
    <w:p w14:paraId="54C3AF25" w14:textId="75C9DEAB" w:rsidR="00AE22F5" w:rsidRDefault="00AE22F5" w:rsidP="00FE1347">
      <w:pPr>
        <w:pStyle w:val="Odstavecseseznamem"/>
        <w:keepNext/>
        <w:keepLines/>
        <w:numPr>
          <w:ilvl w:val="0"/>
          <w:numId w:val="27"/>
        </w:numPr>
        <w:spacing w:line="264" w:lineRule="auto"/>
        <w:rPr>
          <w:rFonts w:eastAsia="Verdana" w:cs="Times New Roman"/>
          <w:szCs w:val="18"/>
        </w:rPr>
      </w:pPr>
      <w:r>
        <w:rPr>
          <w:rFonts w:eastAsia="Verdana" w:cs="Times New Roman"/>
          <w:szCs w:val="18"/>
        </w:rPr>
        <w:t>Identifikační údaje dodavatele dle § 28 odst. 1 písm. g) Zákona</w:t>
      </w:r>
    </w:p>
    <w:p w14:paraId="48ED0147" w14:textId="1B85DAC7" w:rsidR="005D636E"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Obsah nabídky</w:t>
      </w:r>
      <w:r w:rsidR="00AE22F5">
        <w:rPr>
          <w:rFonts w:eastAsia="Verdana" w:cs="Times New Roman"/>
          <w:szCs w:val="18"/>
        </w:rPr>
        <w:t xml:space="preserve"> včetně uvedení údajů nutných pro hodnocení nabídky (nabídková cena-pojistné, výše bonusu za příznivý škodný průběh pojištění</w:t>
      </w:r>
      <w:r w:rsidR="008874D3" w:rsidRPr="000C3743">
        <w:rPr>
          <w:rFonts w:eastAsia="Verdana" w:cs="Times New Roman"/>
          <w:szCs w:val="18"/>
        </w:rPr>
        <w:t>)</w:t>
      </w:r>
    </w:p>
    <w:p w14:paraId="4756D1B7" w14:textId="77777777" w:rsidR="00490A65" w:rsidRPr="000C3743" w:rsidRDefault="00490A65" w:rsidP="00FE1347">
      <w:pPr>
        <w:pStyle w:val="Odstavecseseznamem"/>
        <w:keepNext/>
        <w:keepLines/>
        <w:numPr>
          <w:ilvl w:val="0"/>
          <w:numId w:val="27"/>
        </w:numPr>
        <w:spacing w:line="264" w:lineRule="auto"/>
        <w:rPr>
          <w:rFonts w:eastAsia="Verdana" w:cs="Times New Roman"/>
          <w:szCs w:val="18"/>
        </w:rPr>
      </w:pPr>
      <w:r w:rsidRPr="000C3743">
        <w:t xml:space="preserve">čestné prohlášení ve vztahu k zakázaným dohodám  </w:t>
      </w:r>
    </w:p>
    <w:p w14:paraId="68B839E9" w14:textId="77777777" w:rsidR="005D636E"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Doklady prokazující splnění základní způsobilosti,</w:t>
      </w:r>
    </w:p>
    <w:p w14:paraId="7E929714" w14:textId="77777777" w:rsidR="005D636E"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Doklady prokazující splnění profesní způsobilosti,</w:t>
      </w:r>
    </w:p>
    <w:p w14:paraId="10AFDE20" w14:textId="77777777" w:rsidR="00A373AA"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 xml:space="preserve">Doklady prokazující splnění technické kvalifikace. </w:t>
      </w:r>
    </w:p>
    <w:p w14:paraId="429211DE" w14:textId="47B020C9" w:rsidR="000C3743" w:rsidRPr="002272E8" w:rsidRDefault="002272E8" w:rsidP="00FE1347">
      <w:pPr>
        <w:pStyle w:val="Odstavecseseznamem"/>
        <w:keepNext/>
        <w:keepLines/>
        <w:numPr>
          <w:ilvl w:val="0"/>
          <w:numId w:val="27"/>
        </w:numPr>
        <w:spacing w:line="264" w:lineRule="auto"/>
        <w:rPr>
          <w:rFonts w:eastAsia="Verdana" w:cs="Times New Roman"/>
          <w:szCs w:val="18"/>
        </w:rPr>
      </w:pPr>
      <w:r w:rsidRPr="002272E8">
        <w:rPr>
          <w:rFonts w:eastAsia="Verdana" w:cs="Times New Roman"/>
          <w:szCs w:val="18"/>
        </w:rPr>
        <w:t>Návrh pojistné smlouvy včetně příloh, který obsahuje obchodní a platební podmínky uvedené v čl.</w:t>
      </w:r>
      <w:r w:rsidR="00CB488E">
        <w:rPr>
          <w:rFonts w:eastAsia="Verdana" w:cs="Times New Roman"/>
          <w:szCs w:val="18"/>
        </w:rPr>
        <w:t xml:space="preserve"> </w:t>
      </w:r>
      <w:r w:rsidR="00CB488E">
        <w:rPr>
          <w:rFonts w:eastAsia="Verdana" w:cs="Times New Roman"/>
          <w:szCs w:val="18"/>
        </w:rPr>
        <w:fldChar w:fldCharType="begin"/>
      </w:r>
      <w:r w:rsidR="00CB488E">
        <w:rPr>
          <w:rFonts w:eastAsia="Verdana" w:cs="Times New Roman"/>
          <w:szCs w:val="18"/>
        </w:rPr>
        <w:instrText xml:space="preserve"> REF _Ref51154216 \r \h </w:instrText>
      </w:r>
      <w:r w:rsidR="00CB488E">
        <w:rPr>
          <w:rFonts w:eastAsia="Verdana" w:cs="Times New Roman"/>
          <w:szCs w:val="18"/>
        </w:rPr>
      </w:r>
      <w:r w:rsidR="00CB488E">
        <w:rPr>
          <w:rFonts w:eastAsia="Verdana" w:cs="Times New Roman"/>
          <w:szCs w:val="18"/>
        </w:rPr>
        <w:fldChar w:fldCharType="separate"/>
      </w:r>
      <w:proofErr w:type="gramStart"/>
      <w:r w:rsidR="00BE6226">
        <w:rPr>
          <w:rFonts w:eastAsia="Verdana" w:cs="Times New Roman"/>
          <w:szCs w:val="18"/>
        </w:rPr>
        <w:t>22.3</w:t>
      </w:r>
      <w:r w:rsidR="00CB488E">
        <w:rPr>
          <w:rFonts w:eastAsia="Verdana" w:cs="Times New Roman"/>
          <w:szCs w:val="18"/>
        </w:rPr>
        <w:fldChar w:fldCharType="end"/>
      </w:r>
      <w:r w:rsidR="00CB488E">
        <w:rPr>
          <w:rFonts w:eastAsia="Verdana" w:cs="Times New Roman"/>
          <w:szCs w:val="18"/>
        </w:rPr>
        <w:t xml:space="preserve"> této</w:t>
      </w:r>
      <w:proofErr w:type="gramEnd"/>
      <w:r w:rsidR="00CB488E">
        <w:rPr>
          <w:rFonts w:eastAsia="Verdana" w:cs="Times New Roman"/>
          <w:szCs w:val="18"/>
        </w:rPr>
        <w:t xml:space="preserve"> zadávací dokumentace.</w:t>
      </w:r>
      <w:r w:rsidR="00CB488E" w:rsidRPr="002272E8">
        <w:rPr>
          <w:rFonts w:eastAsia="Verdana" w:cs="Times New Roman"/>
          <w:szCs w:val="18"/>
        </w:rPr>
        <w:t xml:space="preserve"> </w:t>
      </w:r>
    </w:p>
    <w:p w14:paraId="45E91AFC" w14:textId="7F0F0D6E" w:rsidR="005D636E" w:rsidRPr="005D636E" w:rsidRDefault="005D636E" w:rsidP="00FE1347">
      <w:pPr>
        <w:pStyle w:val="Normlnodstavec"/>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nástroj E-ZAK.</w:t>
      </w:r>
      <w:r w:rsidR="00A373AA" w:rsidRPr="00597FC5">
        <w:t xml:space="preserve"> </w:t>
      </w:r>
    </w:p>
    <w:p w14:paraId="1ABD1994" w14:textId="0463A327" w:rsidR="005D636E" w:rsidRPr="005D636E" w:rsidRDefault="005D636E" w:rsidP="00FE1347">
      <w:pPr>
        <w:pStyle w:val="Normlnodstavec"/>
      </w:pPr>
      <w:r w:rsidRPr="005D636E">
        <w:t xml:space="preserve">Nabídky podávané v elektronické podobě účastník doručí do konce níže uvedené lhůty pro podání nabídek, a to prostřednictvím elektronického nástroje E-ZAK na níže uvedenou elektronickou adresu </w:t>
      </w:r>
      <w:hyperlink r:id="rId17" w:history="1">
        <w:r w:rsidRPr="005D636E">
          <w:rPr>
            <w:color w:val="0563C1"/>
            <w:szCs w:val="24"/>
            <w:u w:val="single"/>
          </w:rPr>
          <w:t>https://zakazky.</w:t>
        </w:r>
        <w:r w:rsidR="00AF1710">
          <w:rPr>
            <w:color w:val="0563C1"/>
            <w:szCs w:val="24"/>
            <w:u w:val="single"/>
          </w:rPr>
          <w:t>spravazeleznic</w:t>
        </w:r>
        <w:r w:rsidRPr="005D636E">
          <w:rPr>
            <w:color w:val="0563C1"/>
            <w:szCs w:val="24"/>
            <w:u w:val="single"/>
          </w:rPr>
          <w:t>.cz/</w:t>
        </w:r>
      </w:hyperlink>
      <w:r w:rsidRPr="005D636E">
        <w:t>.</w:t>
      </w:r>
    </w:p>
    <w:p w14:paraId="638B090C" w14:textId="77777777" w:rsidR="005D636E" w:rsidRPr="005D636E" w:rsidRDefault="005D636E" w:rsidP="00FE1347">
      <w:pPr>
        <w:pStyle w:val="Normlnodstavec"/>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7777777" w:rsidR="005D636E" w:rsidRPr="008874D3" w:rsidRDefault="005D636E" w:rsidP="00FE1347">
      <w:pPr>
        <w:pStyle w:val="Normlnodstavec"/>
        <w:rPr>
          <w:b/>
        </w:rPr>
      </w:pPr>
      <w:r w:rsidRPr="008874D3">
        <w:rPr>
          <w:b/>
        </w:rPr>
        <w:t>Lhůta pro podání nabídek bude stanovena prostřednictvím elektronického nástroje E-ZAK.</w:t>
      </w:r>
    </w:p>
    <w:p w14:paraId="23077C1D" w14:textId="77777777" w:rsidR="005D636E" w:rsidRPr="005D636E" w:rsidRDefault="005D636E" w:rsidP="00FE1347">
      <w:pPr>
        <w:pStyle w:val="Normlnodstavec"/>
      </w:pPr>
      <w:r w:rsidRPr="008874D3">
        <w:lastRenderedPageBreak/>
        <w:t>Otevírání nabídek je neveřejné a bude zahájeno po uplynutí lhůty pro podání nabídek</w:t>
      </w:r>
      <w:r w:rsidRPr="005D636E">
        <w:t xml:space="preserve">. </w:t>
      </w:r>
    </w:p>
    <w:p w14:paraId="71311DB4" w14:textId="77777777" w:rsidR="005D636E" w:rsidRPr="008874D3" w:rsidRDefault="005D636E" w:rsidP="00FE1347">
      <w:pPr>
        <w:pStyle w:val="Normlnlnek"/>
      </w:pPr>
      <w:r w:rsidRPr="005D636E">
        <w:t xml:space="preserve"> </w:t>
      </w:r>
      <w:r w:rsidRPr="008874D3">
        <w:t>Informace pro dodavatele a podmínky pro uzavření smlouvy:</w:t>
      </w:r>
    </w:p>
    <w:p w14:paraId="044D72F0" w14:textId="77777777" w:rsidR="005D636E" w:rsidRPr="008874D3" w:rsidRDefault="005D636E" w:rsidP="00FE1347">
      <w:pPr>
        <w:pStyle w:val="Normlnodstavec"/>
        <w:rPr>
          <w:b/>
        </w:rPr>
      </w:pPr>
      <w:r w:rsidRPr="008874D3">
        <w:rPr>
          <w:rFonts w:cs="Times New Roman"/>
          <w:szCs w:val="18"/>
        </w:rPr>
        <w:t xml:space="preserve">Zadavatel si v souladu s </w:t>
      </w:r>
      <w:r w:rsidRPr="008874D3">
        <w:rPr>
          <w:rFonts w:cs="Times New Roman"/>
          <w:b/>
          <w:szCs w:val="18"/>
        </w:rPr>
        <w:t>§ 170 ZZVZ vyhrazuje právo zrušit zadávací řízení</w:t>
      </w:r>
      <w:r w:rsidRPr="008874D3">
        <w:rPr>
          <w:rFonts w:cs="Times New Roman"/>
          <w:szCs w:val="18"/>
        </w:rPr>
        <w:t xml:space="preserve">. </w:t>
      </w:r>
    </w:p>
    <w:p w14:paraId="2A3F0E12" w14:textId="77777777" w:rsidR="005D636E" w:rsidRPr="00C547B0" w:rsidRDefault="005D636E" w:rsidP="00FE1347">
      <w:pPr>
        <w:pStyle w:val="Normlnodstavec"/>
        <w:rPr>
          <w:b/>
        </w:rPr>
      </w:pPr>
      <w:r w:rsidRPr="00C547B0">
        <w:rPr>
          <w:b/>
        </w:rPr>
        <w:t>Požadavky Zadavatele pro uzavření smlouvy</w:t>
      </w:r>
    </w:p>
    <w:p w14:paraId="500B9ACF" w14:textId="77777777" w:rsidR="005D636E" w:rsidRPr="005D636E" w:rsidRDefault="005D636E" w:rsidP="00FE1347">
      <w:pPr>
        <w:pStyle w:val="podlnek"/>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2950B394" w14:textId="77777777" w:rsidR="00470A58" w:rsidRDefault="00470A58" w:rsidP="00470A58">
      <w:pPr>
        <w:pStyle w:val="Textbezslovn"/>
        <w:rPr>
          <w:rFonts w:ascii="Verdana" w:hAnsi="Verdana"/>
        </w:rPr>
      </w:pPr>
    </w:p>
    <w:p w14:paraId="75C90AAF" w14:textId="77777777" w:rsidR="00470A58" w:rsidRPr="00B0086F" w:rsidRDefault="00470A58" w:rsidP="00BE041C">
      <w:pPr>
        <w:pStyle w:val="podlnek"/>
      </w:pPr>
      <w:r w:rsidRPr="00B0086F">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CABD568" w14:textId="77777777" w:rsidR="00470A58" w:rsidRPr="00B0086F" w:rsidRDefault="00470A58" w:rsidP="00470A58">
      <w:pPr>
        <w:pStyle w:val="Textbezslovn"/>
        <w:rPr>
          <w:rFonts w:ascii="Verdana" w:hAnsi="Verdana"/>
        </w:rPr>
      </w:pPr>
      <w:r w:rsidRPr="00B0086F">
        <w:rPr>
          <w:rFonts w:ascii="Verdana" w:hAnsi="Verdana"/>
        </w:rPr>
        <w:t xml:space="preserve">a) ke sdělení identifikačních údajů všech osob, které jsou jeho skutečným majitelem, a </w:t>
      </w:r>
    </w:p>
    <w:p w14:paraId="2726DE1C" w14:textId="77777777" w:rsidR="00470A58" w:rsidRPr="00B0086F" w:rsidRDefault="00470A58" w:rsidP="00470A58">
      <w:pPr>
        <w:pStyle w:val="Textbezslovn"/>
        <w:rPr>
          <w:rFonts w:ascii="Verdana" w:hAnsi="Verdana"/>
        </w:rPr>
      </w:pPr>
      <w:r w:rsidRPr="00B0086F">
        <w:rPr>
          <w:rFonts w:ascii="Verdana" w:hAnsi="Verdana"/>
        </w:rPr>
        <w:t xml:space="preserve">b) k předložení dokladů, z nichž vyplývá vztah všech osob podle předchozího písmene a) k dodavateli; těmito doklady jsou zejména: </w:t>
      </w:r>
    </w:p>
    <w:p w14:paraId="19239E28" w14:textId="77777777" w:rsidR="00470A58" w:rsidRPr="00B0086F" w:rsidRDefault="00470A58" w:rsidP="00470A58">
      <w:pPr>
        <w:pStyle w:val="Odrka1-2-"/>
        <w:rPr>
          <w:rFonts w:ascii="Verdana" w:hAnsi="Verdana"/>
        </w:rPr>
      </w:pPr>
      <w:r w:rsidRPr="00B0086F">
        <w:rPr>
          <w:rFonts w:ascii="Verdana" w:hAnsi="Verdana"/>
        </w:rPr>
        <w:t xml:space="preserve">výpis ze zahraniční evidence obdobné veřejnému rejstříku, </w:t>
      </w:r>
    </w:p>
    <w:p w14:paraId="06773109" w14:textId="77777777" w:rsidR="00470A58" w:rsidRPr="00B0086F" w:rsidRDefault="00470A58" w:rsidP="00470A58">
      <w:pPr>
        <w:pStyle w:val="Odrka1-2-"/>
        <w:rPr>
          <w:rFonts w:ascii="Verdana" w:hAnsi="Verdana"/>
        </w:rPr>
      </w:pPr>
      <w:r w:rsidRPr="00B0086F">
        <w:rPr>
          <w:rFonts w:ascii="Verdana" w:hAnsi="Verdana"/>
        </w:rPr>
        <w:t xml:space="preserve">seznam akcionářů, </w:t>
      </w:r>
    </w:p>
    <w:p w14:paraId="25A0EB35" w14:textId="77777777" w:rsidR="00470A58" w:rsidRPr="00B0086F" w:rsidRDefault="00470A58" w:rsidP="00470A58">
      <w:pPr>
        <w:pStyle w:val="Odrka1-2-"/>
        <w:rPr>
          <w:rFonts w:ascii="Verdana" w:hAnsi="Verdana"/>
        </w:rPr>
      </w:pPr>
      <w:r w:rsidRPr="00B0086F">
        <w:rPr>
          <w:rFonts w:ascii="Verdana" w:hAnsi="Verdana"/>
        </w:rPr>
        <w:t xml:space="preserve">rozhodnutí statutárního orgánu o vyplacení podílu na zisku, </w:t>
      </w:r>
    </w:p>
    <w:p w14:paraId="296C07ED" w14:textId="77777777" w:rsidR="00470A58" w:rsidRPr="00B0086F" w:rsidRDefault="00470A58" w:rsidP="00470A58">
      <w:pPr>
        <w:pStyle w:val="Odrka1-2-"/>
        <w:rPr>
          <w:rFonts w:ascii="Verdana" w:hAnsi="Verdana"/>
        </w:rPr>
      </w:pPr>
      <w:r w:rsidRPr="00B0086F">
        <w:rPr>
          <w:rFonts w:ascii="Verdana" w:hAnsi="Verdana"/>
        </w:rPr>
        <w:t>společenská smlouva, zakladatelská listina nebo stanovy.</w:t>
      </w:r>
    </w:p>
    <w:p w14:paraId="3078E75D" w14:textId="0F60BB83" w:rsidR="00470A58" w:rsidRPr="00B0086F" w:rsidRDefault="00470A58" w:rsidP="00470A58">
      <w:pPr>
        <w:ind w:left="708"/>
        <w:jc w:val="both"/>
      </w:pPr>
      <w:r w:rsidRPr="00B0086F">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t>.</w:t>
      </w:r>
    </w:p>
    <w:p w14:paraId="2C7011D9" w14:textId="435625DD" w:rsidR="005D636E" w:rsidRPr="0010203F" w:rsidRDefault="002272E8" w:rsidP="00FE1347">
      <w:pPr>
        <w:pStyle w:val="Normlnodstavec"/>
        <w:rPr>
          <w:b/>
        </w:rPr>
      </w:pPr>
      <w:bookmarkStart w:id="13" w:name="_Ref51154216"/>
      <w:r w:rsidRPr="0010203F">
        <w:rPr>
          <w:b/>
        </w:rPr>
        <w:lastRenderedPageBreak/>
        <w:t>Obchodní a platební podmínky</w:t>
      </w:r>
      <w:bookmarkEnd w:id="13"/>
    </w:p>
    <w:p w14:paraId="5ACC7345" w14:textId="0CFCB1F4" w:rsidR="002272E8" w:rsidRDefault="002272E8" w:rsidP="004B333D">
      <w:pPr>
        <w:pStyle w:val="podlnek"/>
      </w:pPr>
      <w:r w:rsidRPr="0010203F">
        <w:t>Do návrhu pojistné smlouvy předložené dodavatelem</w:t>
      </w:r>
      <w:r w:rsidR="0010203F" w:rsidRPr="0010203F">
        <w:t>, která bude zpracována v souladu s přílohou</w:t>
      </w:r>
      <w:r w:rsidR="0010203F">
        <w:t xml:space="preserve"> č. 1 a 2 této Zadávací dokumentace,</w:t>
      </w:r>
      <w:r>
        <w:t xml:space="preserve"> musí dodavatel zapracovat a respektovat následující body:</w:t>
      </w:r>
    </w:p>
    <w:p w14:paraId="706EFAE6" w14:textId="4334A6A7" w:rsidR="002272E8" w:rsidRPr="00126D22" w:rsidRDefault="002272E8" w:rsidP="004B333D">
      <w:pPr>
        <w:pStyle w:val="podlnek"/>
      </w:pPr>
      <w:r w:rsidRPr="00126D22">
        <w:t>Pojistné období: uvedené v </w:t>
      </w:r>
      <w:proofErr w:type="gramStart"/>
      <w:r w:rsidRPr="00126D22">
        <w:t xml:space="preserve">článku </w:t>
      </w:r>
      <w:r w:rsidR="004B333D">
        <w:fldChar w:fldCharType="begin"/>
      </w:r>
      <w:r w:rsidR="004B333D">
        <w:instrText xml:space="preserve"> REF _Ref51149834 \r \h </w:instrText>
      </w:r>
      <w:r w:rsidR="004B333D">
        <w:fldChar w:fldCharType="separate"/>
      </w:r>
      <w:r w:rsidR="00BE6226">
        <w:t>5.1</w:t>
      </w:r>
      <w:r w:rsidR="004B333D">
        <w:fldChar w:fldCharType="end"/>
      </w:r>
      <w:r w:rsidR="00D54A72">
        <w:t>.</w:t>
      </w:r>
      <w:r w:rsidR="004B333D">
        <w:t xml:space="preserve"> a jeho</w:t>
      </w:r>
      <w:proofErr w:type="gramEnd"/>
      <w:r w:rsidR="004B333D">
        <w:t xml:space="preserve"> </w:t>
      </w:r>
      <w:proofErr w:type="spellStart"/>
      <w:r w:rsidR="004B333D">
        <w:t>podbodů</w:t>
      </w:r>
      <w:proofErr w:type="spellEnd"/>
      <w:r w:rsidR="004B333D">
        <w:t xml:space="preserve"> Zadávací dokumentace.</w:t>
      </w:r>
    </w:p>
    <w:p w14:paraId="6C9C4BC7" w14:textId="77777777" w:rsidR="002272E8" w:rsidRDefault="002272E8" w:rsidP="004B333D">
      <w:pPr>
        <w:pStyle w:val="podlnek"/>
      </w:pPr>
      <w:r w:rsidRPr="007225B4">
        <w:t>Zadavatel se zavazuje dodavateli zaplatit sjednanou cenu, pojistné, za sjednané pojistné období, a to na základě vyúčtování dodavatele. Tato cena, pojistné, stanovená v souladu s nabídkovou cenou dodavatele, zahrnuje veškeré náklady dodavatele spojené s poskytování služeb – plněním předmětu této veřejné zakázky.</w:t>
      </w:r>
    </w:p>
    <w:p w14:paraId="431405CE" w14:textId="77777777" w:rsidR="002272E8" w:rsidRDefault="002272E8" w:rsidP="004B333D">
      <w:pPr>
        <w:pStyle w:val="podlnek"/>
      </w:pPr>
      <w:r w:rsidRPr="00126D22">
        <w:t>Pojistné za pojistné období bude hrazeno ve dvou rovnoměrně rozložených splátkách. Pojistné nebude navýšeno z důvodu rozložení do splátek.</w:t>
      </w:r>
    </w:p>
    <w:p w14:paraId="722F9B0E" w14:textId="77777777" w:rsidR="002272E8" w:rsidRDefault="002272E8" w:rsidP="004B333D">
      <w:pPr>
        <w:pStyle w:val="podlnek"/>
      </w:pPr>
      <w:r w:rsidRPr="00126D22">
        <w:t xml:space="preserve">První splátka pojistného bude dodavatelem vyúčtována nejdéle do 30 dnů od počátku pojistného období, druhá splátka pojistného bude dodavatelem vyúčtována nejdéle do 30 dnů po uplynutí poloviny pojistného období. Splatnost vyúčtovaného pojistného činí 30 kalendářních dnů od doručení vyúčtování zadavateli. </w:t>
      </w:r>
    </w:p>
    <w:p w14:paraId="3E6FD7E8" w14:textId="2B95CD6C" w:rsidR="004B333D" w:rsidRDefault="004B333D" w:rsidP="004B333D">
      <w:pPr>
        <w:pStyle w:val="podlnek"/>
      </w:pPr>
      <w:r>
        <w:t xml:space="preserve">V úvodu pojistné smlouvy bude uvedena kolonka pro vyplnění </w:t>
      </w:r>
      <w:proofErr w:type="gramStart"/>
      <w:r>
        <w:t>č.j.</w:t>
      </w:r>
      <w:proofErr w:type="gramEnd"/>
      <w:r>
        <w:t xml:space="preserve"> pojistné smlouvy za zadavatele/pojistníka.</w:t>
      </w:r>
    </w:p>
    <w:p w14:paraId="275C6585" w14:textId="77777777" w:rsidR="002272E8" w:rsidRDefault="002272E8" w:rsidP="004B333D">
      <w:pPr>
        <w:pStyle w:val="podlnek"/>
      </w:pPr>
      <w:r w:rsidRPr="00126D22">
        <w:t>Vyúčtování pojistného musí obsahovat číslo pojistné smlouvy.</w:t>
      </w:r>
    </w:p>
    <w:p w14:paraId="1EAF557E" w14:textId="77777777" w:rsidR="002272E8" w:rsidRDefault="002272E8" w:rsidP="004B333D">
      <w:pPr>
        <w:pStyle w:val="podlnek"/>
      </w:pPr>
      <w:r w:rsidRPr="00126D22">
        <w:t>Pojistné bude uhrazeno na účet dodavatele. Platby budou probíhat výhradně v Kč. Rovněž veškeré cenové údaje budou uváděny v Kč.</w:t>
      </w:r>
    </w:p>
    <w:p w14:paraId="476F82C3" w14:textId="77777777" w:rsidR="002272E8" w:rsidRPr="00BE041C" w:rsidRDefault="002272E8" w:rsidP="004B333D">
      <w:pPr>
        <w:pStyle w:val="podlnek"/>
      </w:pPr>
      <w:r w:rsidRPr="00126D22">
        <w:t xml:space="preserve">Dodavatel se zavazuje nepostoupit své pohledávky z pojistné smlouvy třetím osobám bez předchozího písemného souhlasu zadavatele. Poruší-li dodavatel tuto svou </w:t>
      </w:r>
      <w:r w:rsidRPr="00BE041C">
        <w:t>povinnost, je zadavatel oprávněn vyúčtovat dodavateli smluvní pokutu ve výši 60 % z hodnoty postoupené pohledávky za každé takové porušení povinností.</w:t>
      </w:r>
    </w:p>
    <w:p w14:paraId="1BF85154" w14:textId="77777777" w:rsidR="002272E8" w:rsidRPr="00BE041C" w:rsidRDefault="002272E8" w:rsidP="004B333D">
      <w:pPr>
        <w:pStyle w:val="podlnek"/>
      </w:pPr>
      <w:r w:rsidRPr="00BE041C">
        <w:t>Dodavatel není oprávněn do návrhu pojistné smlouvy vkládat smluvní pokutu za prodlení se zaplacením pojistného.</w:t>
      </w:r>
    </w:p>
    <w:p w14:paraId="6D44DCB6" w14:textId="153FA78F" w:rsidR="002272E8" w:rsidRPr="00BE041C" w:rsidRDefault="002272E8" w:rsidP="004B333D">
      <w:pPr>
        <w:pStyle w:val="podlnek"/>
      </w:pPr>
      <w:r w:rsidRPr="00BE041C">
        <w:t>V úvodu pojistné smlouvy musí být uvedeno: „Tato smlouva je uzavřena na základě výsledků zadávacího řízení nadlimitní sektorové veřejné zakázky na služby s názvem „Pojištění odpovědnosti za újmu vzniklou jinému v souvislosti se zajištěním provozování železniční dopravní cesty a její provozuschopnosti, zajišťováním údržby, opravy, rozvoje, modernizace železniční dopravní cesty, prováděním staveb, provozováním drah a v souvislosti s činnostmi zadavatele vyplývajícími z obchodního r</w:t>
      </w:r>
      <w:r w:rsidR="004B333D" w:rsidRPr="00BE041C">
        <w:t>ejstříku, na období roku 202</w:t>
      </w:r>
      <w:r w:rsidR="00345B6C" w:rsidRPr="00BE041C">
        <w:t>2</w:t>
      </w:r>
      <w:r w:rsidRPr="00BE041C">
        <w:t xml:space="preserve">“, </w:t>
      </w:r>
      <w:proofErr w:type="gramStart"/>
      <w:r w:rsidRPr="00BE041C">
        <w:t>č.j.</w:t>
      </w:r>
      <w:proofErr w:type="gramEnd"/>
      <w:r w:rsidRPr="00BE041C">
        <w:t xml:space="preserve"> veřejné zakázky: </w:t>
      </w:r>
      <w:r w:rsidR="000E1C8D">
        <w:t>151654</w:t>
      </w:r>
      <w:r w:rsidR="004B333D" w:rsidRPr="00BE041C">
        <w:t>/202</w:t>
      </w:r>
      <w:r w:rsidR="00345B6C" w:rsidRPr="00BE041C">
        <w:t>1</w:t>
      </w:r>
      <w:r w:rsidR="004B333D" w:rsidRPr="00BE041C">
        <w:t>-SŽ</w:t>
      </w:r>
      <w:r w:rsidRPr="00BE041C">
        <w:t>-GŘ-O8 (dále jen „veřejná zakázka“). Jednotlivá ustanovení této smlouvy tak budou vykládána v souladu se zadávacími podmínkami veřejné zakázky.“</w:t>
      </w:r>
    </w:p>
    <w:p w14:paraId="05D41793" w14:textId="77777777" w:rsidR="002272E8" w:rsidRDefault="002272E8" w:rsidP="004B333D">
      <w:pPr>
        <w:pStyle w:val="podlnek"/>
      </w:pPr>
      <w:r w:rsidRPr="00126D22">
        <w:lastRenderedPageBreak/>
        <w:t xml:space="preserve">Případné sporné věci vyplývající z pojistné smlouvy se zavazují zadavatel s dodavatelem řešit přednostně dohodou. Nedojde-li k dohodě o sporné věci, dohodly se smluvní strany na tom, že je věcně a místně příslušným k projednání sporu obecný soud zadavatele. Pojistná smlouva se řídí českým právem. </w:t>
      </w:r>
    </w:p>
    <w:p w14:paraId="5775AD08" w14:textId="77777777" w:rsidR="00C868A0" w:rsidRPr="00D9782E" w:rsidRDefault="00C868A0" w:rsidP="00C868A0">
      <w:pPr>
        <w:pStyle w:val="podlnek"/>
      </w:pPr>
      <w:r w:rsidRPr="004E1498">
        <w:rPr>
          <w:rFonts w:eastAsia="Calibri"/>
        </w:rPr>
        <w:t>Smluvní s</w:t>
      </w:r>
      <w:r>
        <w:rPr>
          <w:rFonts w:eastAsia="Calibri"/>
        </w:rPr>
        <w:t>trany berou na vědomí, že tato S</w:t>
      </w:r>
      <w:r w:rsidRPr="004E1498">
        <w:rPr>
          <w:rFonts w:eastAsia="Calibri"/>
        </w:rPr>
        <w:t>mlouva podléhá uveřejnění v registru smluv podle zákona č. 340/2015 Sb., o zvláštních podmínkách účinnosti ně</w:t>
      </w:r>
      <w:r>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Pr>
          <w:rFonts w:eastAsia="Calibri"/>
        </w:rPr>
        <w:t>Sml</w:t>
      </w:r>
      <w:r w:rsidRPr="00D9782E">
        <w:rPr>
          <w:rFonts w:eastAsia="Calibri"/>
        </w:rPr>
        <w:t xml:space="preserve">uvních stran, předmětu </w:t>
      </w:r>
      <w:r>
        <w:rPr>
          <w:rFonts w:eastAsia="Calibri"/>
        </w:rPr>
        <w:t>Sml</w:t>
      </w:r>
      <w:r w:rsidRPr="00D9782E">
        <w:rPr>
          <w:rFonts w:eastAsia="Calibri"/>
        </w:rPr>
        <w:t>ouvy, jeho ceně č</w:t>
      </w:r>
      <w:r>
        <w:rPr>
          <w:rFonts w:eastAsia="Calibri"/>
        </w:rPr>
        <w:t>i hodnotě a datu uzavření této S</w:t>
      </w:r>
      <w:r w:rsidRPr="00D9782E">
        <w:rPr>
          <w:rFonts w:eastAsia="Calibri"/>
        </w:rPr>
        <w:t>mlouvy.</w:t>
      </w:r>
    </w:p>
    <w:p w14:paraId="587BF554" w14:textId="2EFB3E23" w:rsidR="00C868A0" w:rsidRPr="00C868A0" w:rsidRDefault="00C868A0" w:rsidP="00C868A0">
      <w:pPr>
        <w:pStyle w:val="podlnek"/>
        <w:rPr>
          <w:rFonts w:eastAsia="Calibri"/>
        </w:rPr>
      </w:pPr>
      <w:r w:rsidRPr="00C868A0">
        <w:rPr>
          <w:bCs w:val="0"/>
        </w:rPr>
        <w:t>Zaslání</w:t>
      </w:r>
      <w:r w:rsidRPr="00C868A0">
        <w:rPr>
          <w:b/>
          <w:bCs w:val="0"/>
        </w:rPr>
        <w:t xml:space="preserve"> </w:t>
      </w:r>
      <w:r>
        <w:rPr>
          <w:rFonts w:eastAsia="Calibri"/>
        </w:rPr>
        <w:t>S</w:t>
      </w:r>
      <w:r w:rsidRPr="00D9782E">
        <w:rPr>
          <w:rFonts w:eastAsia="Calibri"/>
        </w:rPr>
        <w:t xml:space="preserve">mlouvy správci registru smluv k uveřejnění v registru smluv zajišťuje </w:t>
      </w:r>
      <w:r w:rsidRPr="009B77AC">
        <w:rPr>
          <w:rFonts w:eastAsia="Calibri"/>
        </w:rPr>
        <w:t xml:space="preserve">obvykle </w:t>
      </w:r>
      <w:r w:rsidR="005848F4" w:rsidRPr="009B77AC">
        <w:rPr>
          <w:rFonts w:eastAsia="Calibri"/>
        </w:rPr>
        <w:t>z</w:t>
      </w:r>
      <w:r w:rsidR="002A16EF" w:rsidRPr="009B77AC">
        <w:rPr>
          <w:rFonts w:eastAsia="Calibri"/>
        </w:rPr>
        <w:t>adavatel/</w:t>
      </w:r>
      <w:r w:rsidR="009B77AC" w:rsidRPr="009B77AC">
        <w:rPr>
          <w:rFonts w:eastAsia="Calibri"/>
        </w:rPr>
        <w:t>pojistník</w:t>
      </w:r>
      <w:r w:rsidRPr="009B77AC">
        <w:rPr>
          <w:rFonts w:eastAsia="Calibri"/>
        </w:rPr>
        <w:t>. Nebude</w:t>
      </w:r>
      <w:r>
        <w:rPr>
          <w:rFonts w:eastAsia="Calibri"/>
        </w:rPr>
        <w:t>-li tato S</w:t>
      </w:r>
      <w:r w:rsidRPr="00D9782E">
        <w:rPr>
          <w:rFonts w:eastAsia="Calibri"/>
        </w:rPr>
        <w:t xml:space="preserve">mlouva zaslána k uveřejnění a/nebo uveřejněna prostřednictvím registru smluv, není žádná ze </w:t>
      </w:r>
      <w:r>
        <w:rPr>
          <w:rFonts w:eastAsia="Calibri"/>
        </w:rPr>
        <w:t>Sml</w:t>
      </w:r>
      <w:r w:rsidRPr="00D9782E">
        <w:rPr>
          <w:rFonts w:eastAsia="Calibri"/>
        </w:rPr>
        <w:t xml:space="preserve">uvních stran oprávněna požadovat po druhé </w:t>
      </w:r>
      <w:r>
        <w:rPr>
          <w:rFonts w:eastAsia="Calibri"/>
        </w:rPr>
        <w:t>Sml</w:t>
      </w:r>
      <w:r w:rsidRPr="00D9782E">
        <w:rPr>
          <w:rFonts w:eastAsia="Calibri"/>
        </w:rPr>
        <w:t>uvní straně náhradu škody ani jiné újmy, která by jí v této souvislosti vznikla nebo vzniknout mohla.</w:t>
      </w:r>
    </w:p>
    <w:p w14:paraId="267F8729" w14:textId="77777777" w:rsidR="00C868A0" w:rsidRPr="00C868A0" w:rsidRDefault="00C868A0" w:rsidP="00C868A0">
      <w:pPr>
        <w:pStyle w:val="podlnek"/>
        <w:rPr>
          <w:rFonts w:eastAsia="Calibri"/>
        </w:rPr>
      </w:pPr>
      <w:r w:rsidRPr="00C868A0">
        <w:rPr>
          <w:rFonts w:eastAsia="Calibri"/>
        </w:rPr>
        <w:t>S</w:t>
      </w:r>
      <w:r w:rsidRPr="00C868A0">
        <w:rPr>
          <w:bCs w:val="0"/>
        </w:rPr>
        <w:t>mluvn</w:t>
      </w:r>
      <w:r w:rsidRPr="00C868A0">
        <w:rPr>
          <w:rFonts w:eastAsia="Calibri"/>
        </w:rPr>
        <w:t>í</w:t>
      </w:r>
      <w:r w:rsidRPr="00D9782E">
        <w:rPr>
          <w:rFonts w:eastAsia="Calibri"/>
        </w:rPr>
        <w:t xml:space="preserve"> strany výslovně prohlašují, že údaje a další skutečnosti uvedené v této </w:t>
      </w:r>
      <w:r>
        <w:rPr>
          <w:rFonts w:eastAsia="Calibri"/>
        </w:rPr>
        <w:t>Sml</w:t>
      </w:r>
      <w:r w:rsidRPr="00D9782E">
        <w:rPr>
          <w:rFonts w:eastAsia="Calibri"/>
        </w:rPr>
        <w:t xml:space="preserve">ouvě, vyjma částí označených ve smyslu následujícího odstavce této </w:t>
      </w:r>
      <w:r>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0570FC1A" w14:textId="3F2FFBF5" w:rsidR="00C868A0" w:rsidRPr="00C868A0" w:rsidRDefault="00C868A0" w:rsidP="00C868A0">
      <w:pPr>
        <w:pStyle w:val="podlnek"/>
        <w:rPr>
          <w:rFonts w:eastAsia="Calibri"/>
        </w:rPr>
      </w:pPr>
      <w:r w:rsidRPr="00C868A0">
        <w:rPr>
          <w:rFonts w:eastAsia="Calibri"/>
        </w:rPr>
        <w:t>J</w:t>
      </w:r>
      <w:r w:rsidRPr="00C868A0">
        <w:rPr>
          <w:bCs w:val="0"/>
        </w:rPr>
        <w:t>estliže</w:t>
      </w:r>
      <w:r w:rsidRPr="00D9782E">
        <w:rPr>
          <w:rFonts w:eastAsia="Calibri"/>
        </w:rPr>
        <w:t xml:space="preserve"> </w:t>
      </w:r>
      <w:r>
        <w:rPr>
          <w:rFonts w:eastAsia="Calibri"/>
        </w:rPr>
        <w:t>Sml</w:t>
      </w:r>
      <w:r w:rsidRPr="00D9782E">
        <w:rPr>
          <w:rFonts w:eastAsia="Calibri"/>
        </w:rPr>
        <w:t xml:space="preserve">uvní strana označí za své obchodní tajemství část obsahu </w:t>
      </w:r>
      <w:r>
        <w:rPr>
          <w:rFonts w:eastAsia="Calibri"/>
        </w:rPr>
        <w:t>Sml</w:t>
      </w:r>
      <w:r w:rsidRPr="00D9782E">
        <w:rPr>
          <w:rFonts w:eastAsia="Calibri"/>
        </w:rPr>
        <w:t xml:space="preserve">ouvy, která v důsledku toho bude pro účely uveřejnění </w:t>
      </w:r>
      <w:r>
        <w:rPr>
          <w:rFonts w:eastAsia="Calibri"/>
        </w:rPr>
        <w:t>Sml</w:t>
      </w:r>
      <w:r w:rsidRPr="00D9782E">
        <w:rPr>
          <w:rFonts w:eastAsia="Calibri"/>
        </w:rPr>
        <w:t xml:space="preserve">ouvy v registru smluv znečitelněna, nese tato </w:t>
      </w:r>
      <w:r>
        <w:rPr>
          <w:rFonts w:eastAsia="Calibri"/>
        </w:rPr>
        <w:t>Sml</w:t>
      </w:r>
      <w:r w:rsidRPr="00D9782E">
        <w:rPr>
          <w:rFonts w:eastAsia="Calibri"/>
        </w:rPr>
        <w:t xml:space="preserve">uvní strana odpovědnost, pokud by </w:t>
      </w:r>
      <w:r>
        <w:rPr>
          <w:rFonts w:eastAsia="Calibri"/>
        </w:rPr>
        <w:t>Sml</w:t>
      </w:r>
      <w:r w:rsidRPr="00D9782E">
        <w:rPr>
          <w:rFonts w:eastAsia="Calibri"/>
        </w:rPr>
        <w:t xml:space="preserve">ouva v důsledku takového označení byla uveřejněna způsobem odporujícím ZRS, a to bez ohledu na to, která ze stran </w:t>
      </w:r>
      <w:r>
        <w:rPr>
          <w:rFonts w:eastAsia="Calibri"/>
        </w:rPr>
        <w:t>Sml</w:t>
      </w:r>
      <w:r w:rsidRPr="00D9782E">
        <w:rPr>
          <w:rFonts w:eastAsia="Calibri"/>
        </w:rPr>
        <w:t xml:space="preserve">ouvu v registru smluv uveřejnila. S částmi </w:t>
      </w:r>
      <w:r>
        <w:rPr>
          <w:rFonts w:eastAsia="Calibri"/>
        </w:rPr>
        <w:t>Sml</w:t>
      </w:r>
      <w:r w:rsidRPr="00D9782E">
        <w:rPr>
          <w:rFonts w:eastAsia="Calibri"/>
        </w:rPr>
        <w:t xml:space="preserve">ouvy, které druhá </w:t>
      </w:r>
      <w:r>
        <w:rPr>
          <w:rFonts w:eastAsia="Calibri"/>
        </w:rPr>
        <w:t>Sml</w:t>
      </w:r>
      <w:r w:rsidRPr="00D9782E">
        <w:rPr>
          <w:rFonts w:eastAsia="Calibri"/>
        </w:rPr>
        <w:t xml:space="preserve">uvní strana neoznačí za své obchodní tajemství před uzavřením této </w:t>
      </w:r>
      <w:r>
        <w:rPr>
          <w:rFonts w:eastAsia="Calibri"/>
        </w:rPr>
        <w:t>Sml</w:t>
      </w:r>
      <w:r w:rsidRPr="00D9782E">
        <w:rPr>
          <w:rFonts w:eastAsia="Calibri"/>
        </w:rPr>
        <w:t xml:space="preserve">ouvy, nebude </w:t>
      </w:r>
      <w:r w:rsidR="002A16EF">
        <w:rPr>
          <w:rFonts w:eastAsia="Calibri"/>
        </w:rPr>
        <w:t>zadavatel/</w:t>
      </w:r>
      <w:r w:rsidR="009B77AC">
        <w:rPr>
          <w:rFonts w:eastAsia="Calibri"/>
        </w:rPr>
        <w:t>pojistník</w:t>
      </w:r>
      <w:r w:rsidRPr="00D9782E">
        <w:rPr>
          <w:rFonts w:eastAsia="Calibri"/>
        </w:rPr>
        <w:t xml:space="preserve"> jako s obchodním tajemstvím nakládat a ani odpovídat za případnou škodu či jinou újmu takovým postupem vzniklou. Označením obchodního tajemství ve smyslu předchozí věty se rozumí doručení písemného oznámení druhé </w:t>
      </w:r>
      <w:r>
        <w:rPr>
          <w:rFonts w:eastAsia="Calibri"/>
        </w:rPr>
        <w:t>Sml</w:t>
      </w:r>
      <w:r w:rsidRPr="00D9782E">
        <w:rPr>
          <w:rFonts w:eastAsia="Calibri"/>
        </w:rPr>
        <w:t xml:space="preserve">uvní strany </w:t>
      </w:r>
      <w:r w:rsidR="002A16EF">
        <w:rPr>
          <w:rFonts w:eastAsia="Calibri"/>
        </w:rPr>
        <w:t>zadavateli/</w:t>
      </w:r>
      <w:r w:rsidR="009B77AC">
        <w:rPr>
          <w:rFonts w:eastAsia="Calibri"/>
        </w:rPr>
        <w:t>pojistníkovi</w:t>
      </w:r>
      <w:r w:rsidRPr="00D9782E">
        <w:rPr>
          <w:rFonts w:eastAsia="Calibri"/>
        </w:rPr>
        <w:t xml:space="preserve"> obsahujícího přesnou identifikaci dotčených částí </w:t>
      </w:r>
      <w:r>
        <w:rPr>
          <w:rFonts w:eastAsia="Calibri"/>
        </w:rPr>
        <w:t>Sml</w:t>
      </w:r>
      <w:r w:rsidRPr="00D9782E">
        <w:rPr>
          <w:rFonts w:eastAsia="Calibri"/>
        </w:rPr>
        <w:t xml:space="preserve">ouvy včetně odůvodnění, proč jsou za obchodní tajemství považovány. Druhá </w:t>
      </w:r>
      <w:r>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A16EF">
        <w:rPr>
          <w:rFonts w:eastAsia="Calibri"/>
        </w:rPr>
        <w:t>zadavateli/</w:t>
      </w:r>
      <w:r w:rsidR="009B77AC">
        <w:rPr>
          <w:rFonts w:eastAsia="Calibri"/>
        </w:rPr>
        <w:t>pojistníkovi</w:t>
      </w:r>
      <w:r w:rsidRPr="00D9782E">
        <w:rPr>
          <w:rFonts w:eastAsia="Calibri"/>
        </w:rPr>
        <w:t xml:space="preserve"> skutečnost, že takto označené informace přestaly naplňovat znaky obchodního tajemství.</w:t>
      </w:r>
    </w:p>
    <w:p w14:paraId="5A841A81" w14:textId="77777777" w:rsidR="00C868A0" w:rsidRDefault="00C868A0" w:rsidP="00C868A0">
      <w:pPr>
        <w:pStyle w:val="podlnek"/>
        <w:rPr>
          <w:rFonts w:eastAsia="Calibri"/>
        </w:rPr>
      </w:pPr>
      <w:r w:rsidRPr="00D9782E">
        <w:rPr>
          <w:rFonts w:eastAsia="Calibri"/>
        </w:rPr>
        <w:t xml:space="preserve">Osoby uzavírající tuto </w:t>
      </w:r>
      <w:r>
        <w:rPr>
          <w:rFonts w:eastAsia="Calibri"/>
        </w:rPr>
        <w:t>Sml</w:t>
      </w:r>
      <w:r w:rsidRPr="00D9782E">
        <w:rPr>
          <w:rFonts w:eastAsia="Calibri"/>
        </w:rPr>
        <w:t xml:space="preserve">ouvu za Smluvní strany souhlasí s uveřejněním svých osobních údajů, které jsou uvedeny v této </w:t>
      </w:r>
      <w:r>
        <w:rPr>
          <w:rFonts w:eastAsia="Calibri"/>
        </w:rPr>
        <w:t>Sml</w:t>
      </w:r>
      <w:r w:rsidRPr="00D9782E">
        <w:rPr>
          <w:rFonts w:eastAsia="Calibri"/>
        </w:rPr>
        <w:t xml:space="preserve">ouvě, spolu se </w:t>
      </w:r>
      <w:r>
        <w:rPr>
          <w:rFonts w:eastAsia="Calibri"/>
        </w:rPr>
        <w:t>Sml</w:t>
      </w:r>
      <w:r w:rsidRPr="00D9782E">
        <w:rPr>
          <w:rFonts w:eastAsia="Calibri"/>
        </w:rPr>
        <w:t>ouvou v registru smluv. Tento souhlas je udělen na dobu neurčitou.</w:t>
      </w:r>
    </w:p>
    <w:p w14:paraId="4B120DD3" w14:textId="225937DF" w:rsidR="00C868A0" w:rsidRPr="00C868A0" w:rsidRDefault="00C868A0" w:rsidP="00C868A0">
      <w:pPr>
        <w:pStyle w:val="podlnek"/>
        <w:rPr>
          <w:rFonts w:eastAsia="Calibri"/>
        </w:rPr>
      </w:pPr>
      <w:r w:rsidRPr="00C868A0">
        <w:rPr>
          <w:rFonts w:eastAsia="Calibri"/>
        </w:rPr>
        <w:lastRenderedPageBreak/>
        <w:t xml:space="preserve">V případě poskytnutí osobních údajů v rámci plnění Smluvního vztahu se </w:t>
      </w:r>
      <w:r>
        <w:rPr>
          <w:rFonts w:eastAsia="Calibri"/>
        </w:rPr>
        <w:t>dodavatel</w:t>
      </w:r>
      <w:r w:rsidRPr="00C868A0">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Pr>
          <w:rFonts w:eastAsia="Calibri"/>
        </w:rPr>
        <w:t>dodavatele</w:t>
      </w:r>
      <w:r w:rsidRPr="00C868A0">
        <w:rPr>
          <w:rFonts w:eastAsia="Calibri"/>
        </w:rPr>
        <w:t xml:space="preserve"> vztahují a plnění těchto povinností na vyžádání doložit </w:t>
      </w:r>
      <w:r>
        <w:rPr>
          <w:rFonts w:eastAsia="Calibri"/>
        </w:rPr>
        <w:t>zadavateli</w:t>
      </w:r>
      <w:r w:rsidR="002A16EF">
        <w:rPr>
          <w:rFonts w:eastAsia="Calibri"/>
        </w:rPr>
        <w:t>/</w:t>
      </w:r>
      <w:r w:rsidR="009B77AC">
        <w:rPr>
          <w:rFonts w:eastAsia="Calibri"/>
        </w:rPr>
        <w:t>pojistníkovi</w:t>
      </w:r>
      <w:r w:rsidRPr="00C868A0">
        <w:rPr>
          <w:rFonts w:eastAsia="Calibri"/>
        </w:rPr>
        <w:t>.</w:t>
      </w:r>
    </w:p>
    <w:p w14:paraId="466C49C0" w14:textId="4783AD82" w:rsidR="002272E8" w:rsidRPr="00C868A0" w:rsidRDefault="002272E8" w:rsidP="00C868A0">
      <w:pPr>
        <w:pStyle w:val="podlnek"/>
      </w:pPr>
      <w:r>
        <w:t xml:space="preserve">Pokud by při zpracování smlouvy dodavatelem došlo ke změně terminologie, označení smluvních stran či jiných změn, které nemají vliv na znění a význam konkrétního ustanovení, nepovažuje se tato změna za nesplnění zadávacích podmínek. </w:t>
      </w:r>
    </w:p>
    <w:p w14:paraId="5F161546" w14:textId="77777777" w:rsidR="005D636E" w:rsidRPr="005D636E" w:rsidRDefault="005D636E" w:rsidP="00FE1347">
      <w:pPr>
        <w:pStyle w:val="Normlnlnek"/>
      </w:pPr>
      <w:r w:rsidRPr="005D636E">
        <w:rPr>
          <w:rFonts w:eastAsia="Verdana"/>
          <w:noProof/>
        </w:rPr>
        <w:tab/>
      </w:r>
      <w:r w:rsidRPr="005D636E">
        <w:t>Registr smluv</w:t>
      </w:r>
    </w:p>
    <w:p w14:paraId="6D3B121E" w14:textId="77777777" w:rsidR="002F05D0" w:rsidRPr="002F05D0" w:rsidRDefault="002F05D0" w:rsidP="002F05D0">
      <w:pPr>
        <w:pStyle w:val="Normlnodstavec"/>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77777777" w:rsidR="002F05D0" w:rsidRPr="002F05D0" w:rsidRDefault="002F05D0" w:rsidP="002F05D0">
      <w:pPr>
        <w:pStyle w:val="Normlnodstavec"/>
      </w:pPr>
      <w:bookmarkStart w:id="14"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4888B0A5" w:rsidR="002F05D0" w:rsidRPr="002F05D0" w:rsidRDefault="002F05D0" w:rsidP="00FE1347">
      <w:pPr>
        <w:pStyle w:val="Normlnodstavec"/>
      </w:pPr>
      <w:bookmarkStart w:id="15" w:name="registry"/>
      <w:bookmarkEnd w:id="14"/>
      <w:r w:rsidRPr="002F05D0">
        <w:t>Pokud účastník ve smlouvě, která bude nedílnou součástí nabídky, označí její části nebo určité informace dle čl.</w:t>
      </w:r>
      <w:r w:rsidR="00FE1347">
        <w:t xml:space="preserve"> </w:t>
      </w:r>
      <w:r w:rsidR="00FE1347">
        <w:fldChar w:fldCharType="begin"/>
      </w:r>
      <w:r w:rsidR="00FE1347">
        <w:instrText xml:space="preserve"> REF registr \r </w:instrText>
      </w:r>
      <w:r w:rsidR="00FE1347">
        <w:fldChar w:fldCharType="separate"/>
      </w:r>
      <w:r w:rsidR="00BE6226">
        <w:t>23.2</w:t>
      </w:r>
      <w:r w:rsidR="00FE1347">
        <w:fldChar w:fldCharType="end"/>
      </w:r>
      <w:r w:rsidR="00FE1347">
        <w:t xml:space="preserve"> </w:t>
      </w:r>
      <w:r w:rsidRPr="002F05D0">
        <w:t xml:space="preserve">této </w:t>
      </w:r>
      <w:r w:rsidR="00FE1347">
        <w:t>Zadávací dokumentace</w:t>
      </w:r>
      <w:r w:rsidRPr="002F05D0">
        <w:t xml:space="preserve">, je účastník povinen předložit Čestné prohlášení, zpracované </w:t>
      </w:r>
      <w:r w:rsidRPr="006406DE">
        <w:t>v souladu s Př</w:t>
      </w:r>
      <w:r w:rsidR="00E4642C" w:rsidRPr="006406DE">
        <w:t>ílohou č. 7</w:t>
      </w:r>
      <w:r w:rsidRPr="006406DE">
        <w:t xml:space="preserve"> této</w:t>
      </w:r>
      <w:r w:rsidRPr="002F05D0">
        <w:t xml:space="preserve"> </w:t>
      </w:r>
      <w:r w:rsidR="00FE1347">
        <w:t>Zadávací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p>
    <w:bookmarkEnd w:id="15"/>
    <w:p w14:paraId="5903F2C6" w14:textId="77777777" w:rsidR="002F05D0" w:rsidRPr="002F05D0" w:rsidRDefault="002F05D0" w:rsidP="00FE1347">
      <w:pPr>
        <w:pStyle w:val="Normlnodstavec"/>
      </w:pPr>
      <w:r w:rsidRPr="002F05D0">
        <w:t xml:space="preserve">Výše uvedené čestné prohlášení dle čl. </w:t>
      </w:r>
      <w:fldSimple w:instr=" REF registry \r  \* MERGEFORMAT ">
        <w:r w:rsidR="00BE6226">
          <w:t>23.3</w:t>
        </w:r>
      </w:fldSimple>
      <w:r w:rsidR="00FE1347">
        <w:t xml:space="preserve"> </w:t>
      </w:r>
      <w:r w:rsidRPr="002F05D0">
        <w:t xml:space="preserve">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fldSimple w:instr=" REF registr \r  \* MERGEFORMAT ">
        <w:r w:rsidR="00BE6226">
          <w:t>23.2</w:t>
        </w:r>
      </w:fldSimple>
      <w:r w:rsidRPr="002F05D0">
        <w:t xml:space="preserve"> této </w:t>
      </w:r>
      <w:r w:rsidR="00FE1347">
        <w:t>Zadávací dokumentace</w:t>
      </w:r>
      <w:r w:rsidRPr="002F05D0">
        <w:t xml:space="preserve">.  </w:t>
      </w:r>
    </w:p>
    <w:p w14:paraId="07856A3A" w14:textId="77777777" w:rsidR="002F05D0" w:rsidRPr="002F05D0" w:rsidRDefault="002F05D0" w:rsidP="00FE1347">
      <w:pPr>
        <w:pStyle w:val="Normlnodstavec"/>
      </w:pPr>
      <w:r w:rsidRPr="002F05D0">
        <w:t xml:space="preserve">Účastník odpovídá za správnost a pravdivost veškerých údajů a skutečností, které jím budou uvedeny ve výše uvedeném čestném prohlášení. Zadavatel nebude přezkoumávat jejich pravdivost.  </w:t>
      </w:r>
    </w:p>
    <w:p w14:paraId="2448F3CF" w14:textId="551EEAC9" w:rsidR="005D636E" w:rsidRPr="005D636E" w:rsidRDefault="002F05D0" w:rsidP="00E4642C">
      <w:pPr>
        <w:pStyle w:val="Normlnodstavec"/>
        <w:keepNext w:val="0"/>
        <w:keepLines w:val="0"/>
        <w:widowControl w:val="0"/>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1DBE23A5" w14:textId="39CB86CC" w:rsidR="005D636E" w:rsidRDefault="005D636E" w:rsidP="00E4642C">
      <w:pPr>
        <w:widowControl w:val="0"/>
        <w:tabs>
          <w:tab w:val="left" w:pos="1361"/>
        </w:tabs>
        <w:spacing w:after="0" w:line="264" w:lineRule="auto"/>
        <w:rPr>
          <w:rFonts w:eastAsia="Verdana" w:cs="Times New Roman"/>
          <w:noProof/>
          <w:szCs w:val="18"/>
        </w:rPr>
      </w:pPr>
    </w:p>
    <w:p w14:paraId="5DBA14E2" w14:textId="77777777" w:rsidR="00743A5E" w:rsidRDefault="00743A5E" w:rsidP="00E4642C">
      <w:pPr>
        <w:widowControl w:val="0"/>
        <w:tabs>
          <w:tab w:val="left" w:pos="1361"/>
        </w:tabs>
        <w:spacing w:after="0" w:line="264" w:lineRule="auto"/>
        <w:rPr>
          <w:rFonts w:eastAsia="Verdana" w:cs="Times New Roman"/>
          <w:noProof/>
          <w:szCs w:val="18"/>
        </w:rPr>
      </w:pPr>
    </w:p>
    <w:p w14:paraId="46C01CE9" w14:textId="77777777" w:rsidR="00743A5E" w:rsidRDefault="00743A5E" w:rsidP="00E4642C">
      <w:pPr>
        <w:widowControl w:val="0"/>
        <w:tabs>
          <w:tab w:val="left" w:pos="1361"/>
        </w:tabs>
        <w:spacing w:after="0" w:line="264" w:lineRule="auto"/>
        <w:rPr>
          <w:rFonts w:eastAsia="Verdana" w:cs="Times New Roman"/>
          <w:noProof/>
          <w:szCs w:val="18"/>
        </w:rPr>
      </w:pPr>
    </w:p>
    <w:p w14:paraId="4FFF18E6" w14:textId="0EBB8933" w:rsidR="00986D84" w:rsidRPr="00BE041C" w:rsidRDefault="00986D84" w:rsidP="00E4642C">
      <w:pPr>
        <w:pStyle w:val="Normlnlnek"/>
        <w:keepNext w:val="0"/>
        <w:keepLines w:val="0"/>
        <w:widowControl w:val="0"/>
        <w:rPr>
          <w:rFonts w:eastAsia="Verdana"/>
          <w:noProof/>
        </w:rPr>
      </w:pPr>
      <w:bookmarkStart w:id="16" w:name="_Ref51242376"/>
      <w:r w:rsidRPr="00294CF2">
        <w:rPr>
          <w:rFonts w:eastAsia="Verdana"/>
          <w:noProof/>
        </w:rPr>
        <w:lastRenderedPageBreak/>
        <w:t>Předběžná tržní konzultace</w:t>
      </w:r>
      <w:bookmarkEnd w:id="16"/>
    </w:p>
    <w:p w14:paraId="545A155A" w14:textId="412D06C2" w:rsidR="009B77AC" w:rsidRDefault="009B77AC" w:rsidP="00E4642C">
      <w:pPr>
        <w:pStyle w:val="Normlnodstavec"/>
        <w:keepNext w:val="0"/>
        <w:keepLines w:val="0"/>
        <w:widowControl w:val="0"/>
      </w:pPr>
      <w:r w:rsidRPr="00A60D63">
        <w:t xml:space="preserve">Zadavatel v souladu s § </w:t>
      </w:r>
      <w:r>
        <w:t xml:space="preserve">33 a § </w:t>
      </w:r>
      <w:r w:rsidRPr="00A60D63">
        <w:t xml:space="preserve">36 odst. 4 </w:t>
      </w:r>
      <w:r>
        <w:t>zákona</w:t>
      </w:r>
      <w:r w:rsidRPr="00A60D63">
        <w:t xml:space="preserve"> uvádí, že před zahájením zadávacího řízení provedl předběžnou tržní konzultaci, jejímž předmětem bylo ověření nastavení zadávacích podmínek veřejné zakázky tak, aby byla zejména umožněna participace na zadávacím řízení co nejširšímu okruhu dodavatelů, kteří by byli objektivně schopni předmět veřejné zakázky realizovat, a zároveň aby byla vyloučena jiná rizika způsobující možný nesoulad se zásadami přiměřenosti, transparentnosti, rovného zacházení a zákazu diskriminace ze strany zadavatele. </w:t>
      </w:r>
    </w:p>
    <w:p w14:paraId="5588F738" w14:textId="6AF23081" w:rsidR="002068BF" w:rsidRDefault="00986D84" w:rsidP="00E4642C">
      <w:pPr>
        <w:pStyle w:val="Normlnodstavec"/>
        <w:keepNext w:val="0"/>
        <w:keepLines w:val="0"/>
        <w:widowControl w:val="0"/>
        <w:numPr>
          <w:ilvl w:val="0"/>
          <w:numId w:val="0"/>
        </w:numPr>
      </w:pPr>
      <w:r>
        <w:t>Zadavatel provedl předběžnou tržní konzultaci za účelem stanovení předpokládané hodnoty</w:t>
      </w:r>
      <w:r w:rsidR="00670F61">
        <w:t xml:space="preserve"> s délkou pojištění 12 měsíců. Zadavatel se dále prostřednitcvím předběžné tržní konzultace dotazoval, zda jsou navrhované změny/zjednodušení příloh zadávací dokumentace pro dodavatele srozumitelné a akceptovatelné</w:t>
      </w:r>
      <w:r>
        <w:t xml:space="preserve">. </w:t>
      </w:r>
      <w:r w:rsidR="00683A6E">
        <w:t>Dále se Zadavatel zaměřil na zjištění předpokládané hodnoty veřejné zakázky pro různé výše sublimitů plnění.</w:t>
      </w:r>
    </w:p>
    <w:p w14:paraId="702F1E67" w14:textId="3DF6AF51" w:rsidR="00986D84" w:rsidRDefault="00FC2D0C" w:rsidP="00E4642C">
      <w:pPr>
        <w:pStyle w:val="Normlnodstavec"/>
        <w:keepNext w:val="0"/>
        <w:keepLines w:val="0"/>
        <w:widowControl w:val="0"/>
      </w:pPr>
      <w:bookmarkStart w:id="17" w:name="_Ref51152970"/>
      <w:r>
        <w:t>Zadavatel v rámci přípravy zadávací dokumentace oslovil dodavatele za účelem konání předběžné tržní konzultace, a to písemnou formou. V návaznosti na uvedené se na předběžné tržní konzultaci podíleli dodavatelé</w:t>
      </w:r>
      <w:r w:rsidR="00683A6E">
        <w:t xml:space="preserve">: </w:t>
      </w:r>
      <w:bookmarkEnd w:id="17"/>
    </w:p>
    <w:p w14:paraId="45C6E150" w14:textId="43AA446C" w:rsidR="008D34F1" w:rsidRPr="00BE041C" w:rsidRDefault="008D34F1" w:rsidP="00E4642C">
      <w:pPr>
        <w:pStyle w:val="Normlnodstavec"/>
        <w:keepNext w:val="0"/>
        <w:keepLines w:val="0"/>
        <w:widowControl w:val="0"/>
        <w:numPr>
          <w:ilvl w:val="3"/>
          <w:numId w:val="29"/>
        </w:numPr>
        <w:spacing w:before="0"/>
        <w:ind w:left="851" w:hanging="284"/>
      </w:pPr>
      <w:r w:rsidRPr="00BE041C">
        <w:t>Generali Česká pojišťovna a.s.</w:t>
      </w:r>
      <w:r w:rsidR="00E4642C" w:rsidRPr="00BE041C">
        <w:t>, IČO: 452 72 956, sídlo: Spálená 75/16, Praha 1 – Nové Město, PSČ 110 00</w:t>
      </w:r>
    </w:p>
    <w:p w14:paraId="5DE1AD59" w14:textId="6E2B1A72" w:rsidR="008D34F1" w:rsidRPr="00BE041C" w:rsidRDefault="008D34F1" w:rsidP="00E4642C">
      <w:pPr>
        <w:pStyle w:val="Normlnodstavec"/>
        <w:keepNext w:val="0"/>
        <w:keepLines w:val="0"/>
        <w:widowControl w:val="0"/>
        <w:numPr>
          <w:ilvl w:val="3"/>
          <w:numId w:val="29"/>
        </w:numPr>
        <w:spacing w:before="0"/>
        <w:ind w:left="851" w:hanging="284"/>
      </w:pPr>
      <w:r w:rsidRPr="00BE041C">
        <w:t>Kooperativa pojišťovna, a. s.,  Vienna Insurance Group</w:t>
      </w:r>
      <w:r w:rsidR="00E4642C" w:rsidRPr="00BE041C">
        <w:t>, IČO: 471 16 617, sídlo: Pobřežní 665/21, Praha 8, PSČ 186 00</w:t>
      </w:r>
    </w:p>
    <w:p w14:paraId="2427C648" w14:textId="39647A22" w:rsidR="00986D84" w:rsidRPr="00BE041C" w:rsidRDefault="00986D84" w:rsidP="00B631EA">
      <w:pPr>
        <w:pStyle w:val="Normlnodstavec"/>
      </w:pPr>
      <w:r w:rsidRPr="00BE041C">
        <w:t xml:space="preserve">Na </w:t>
      </w:r>
      <w:r w:rsidR="00683A6E">
        <w:t xml:space="preserve">základě </w:t>
      </w:r>
      <w:r w:rsidR="009F7576">
        <w:t>informací vzešlých z předběžné tržní konzultace byl</w:t>
      </w:r>
      <w:r w:rsidR="00265C1F">
        <w:t>a</w:t>
      </w:r>
      <w:r w:rsidR="009F7576">
        <w:t xml:space="preserve"> zadávací dokumentace z</w:t>
      </w:r>
      <w:r w:rsidR="00265C1F">
        <w:t>pracována bez navýšení sublimitů plnění</w:t>
      </w:r>
      <w:r w:rsidR="00B631EA">
        <w:t xml:space="preserve"> pro jednotlivá p</w:t>
      </w:r>
      <w:r w:rsidR="00B631EA" w:rsidRPr="00B631EA">
        <w:t>ojištění odpovědnosti za újmu nebo škodu</w:t>
      </w:r>
      <w:r w:rsidR="00B631EA">
        <w:t xml:space="preserve"> uvedená v čl. 4.1 Zadávací dokumentace</w:t>
      </w:r>
      <w:r w:rsidR="00265C1F">
        <w:t>.</w:t>
      </w:r>
    </w:p>
    <w:p w14:paraId="75F74F28" w14:textId="3B63275E" w:rsidR="00E4642C" w:rsidRDefault="00E4642C" w:rsidP="00E4642C">
      <w:pPr>
        <w:widowControl w:val="0"/>
        <w:tabs>
          <w:tab w:val="left" w:pos="1361"/>
        </w:tabs>
        <w:spacing w:after="0" w:line="264" w:lineRule="auto"/>
        <w:ind w:left="0"/>
        <w:rPr>
          <w:rFonts w:eastAsia="Verdana" w:cs="Times New Roman"/>
          <w:noProof/>
          <w:szCs w:val="18"/>
        </w:rPr>
      </w:pPr>
      <w:r w:rsidRPr="00BE041C">
        <w:rPr>
          <w:rFonts w:eastAsia="Verdana" w:cs="Times New Roman"/>
          <w:noProof/>
          <w:szCs w:val="18"/>
        </w:rPr>
        <w:t xml:space="preserve">Pro tvorbu zadávací dokumentace k předmětnému zadávacímu řízení byly využity poznatky – zaslané reakce od </w:t>
      </w:r>
      <w:r w:rsidR="00265C1F">
        <w:rPr>
          <w:rFonts w:eastAsia="Verdana" w:cs="Times New Roman"/>
          <w:noProof/>
          <w:szCs w:val="18"/>
        </w:rPr>
        <w:t xml:space="preserve">dvou </w:t>
      </w:r>
      <w:r w:rsidRPr="00BE041C">
        <w:rPr>
          <w:rFonts w:eastAsia="Verdana" w:cs="Times New Roman"/>
          <w:noProof/>
          <w:szCs w:val="18"/>
        </w:rPr>
        <w:t>dodavatelů v rámci předběžné tržní konzultace,</w:t>
      </w:r>
      <w:r w:rsidR="00D27323">
        <w:rPr>
          <w:rFonts w:eastAsia="Verdana" w:cs="Times New Roman"/>
          <w:noProof/>
          <w:szCs w:val="18"/>
        </w:rPr>
        <w:t xml:space="preserve"> které ovlivnily předpokládanou hodnotu veřejné zakázky. </w:t>
      </w:r>
      <w:r>
        <w:rPr>
          <w:rFonts w:eastAsia="Verdana" w:cs="Times New Roman"/>
          <w:noProof/>
          <w:szCs w:val="18"/>
        </w:rPr>
        <w:t xml:space="preserve"> </w:t>
      </w:r>
    </w:p>
    <w:p w14:paraId="32EE9AAB" w14:textId="77777777" w:rsidR="00986D84" w:rsidRPr="005D636E" w:rsidRDefault="00986D84" w:rsidP="005D636E">
      <w:pPr>
        <w:tabs>
          <w:tab w:val="left" w:pos="1361"/>
        </w:tabs>
        <w:spacing w:after="0" w:line="264" w:lineRule="auto"/>
        <w:rPr>
          <w:rFonts w:eastAsia="Verdana" w:cs="Times New Roman"/>
          <w:noProof/>
          <w:szCs w:val="18"/>
        </w:rPr>
      </w:pPr>
    </w:p>
    <w:p w14:paraId="226A2372" w14:textId="77777777" w:rsidR="005D636E" w:rsidRPr="00FE1347" w:rsidRDefault="005D636E" w:rsidP="005D636E">
      <w:pPr>
        <w:tabs>
          <w:tab w:val="num" w:pos="709"/>
        </w:tabs>
        <w:spacing w:after="0" w:line="264" w:lineRule="auto"/>
        <w:ind w:left="482" w:hanging="340"/>
        <w:contextualSpacing/>
        <w:rPr>
          <w:rFonts w:eastAsia="Times New Roman" w:cs="Times New Roman"/>
          <w:b/>
          <w:iCs/>
          <w:szCs w:val="18"/>
          <w:highlight w:val="yellow"/>
        </w:rPr>
      </w:pPr>
      <w:r w:rsidRPr="005D636E">
        <w:rPr>
          <w:rFonts w:eastAsia="Times New Roman" w:cs="Times New Roman"/>
          <w:b/>
          <w:iCs/>
          <w:szCs w:val="18"/>
        </w:rPr>
        <w:t xml:space="preserve"> </w:t>
      </w:r>
      <w:r w:rsidRPr="00F5769C">
        <w:rPr>
          <w:rFonts w:eastAsia="Times New Roman" w:cs="Times New Roman"/>
          <w:b/>
          <w:iCs/>
          <w:szCs w:val="18"/>
        </w:rPr>
        <w:t>Přílohy zadávací dokumentace</w:t>
      </w:r>
    </w:p>
    <w:p w14:paraId="5CDE9039" w14:textId="77777777" w:rsidR="005D636E" w:rsidRPr="00FE1347" w:rsidRDefault="005D636E" w:rsidP="005D636E">
      <w:pPr>
        <w:spacing w:after="0" w:line="264" w:lineRule="auto"/>
        <w:ind w:left="624"/>
        <w:contextualSpacing/>
        <w:rPr>
          <w:rFonts w:eastAsia="Times New Roman" w:cs="Times New Roman"/>
          <w:b/>
          <w:iCs/>
          <w:szCs w:val="18"/>
          <w:highlight w:val="yellow"/>
        </w:rPr>
      </w:pPr>
    </w:p>
    <w:p w14:paraId="28FEE8CA" w14:textId="64830BEB" w:rsidR="0005742A" w:rsidRPr="003D3C74" w:rsidRDefault="0005742A"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Podmínky po</w:t>
      </w:r>
      <w:bookmarkStart w:id="18" w:name="_GoBack"/>
      <w:bookmarkEnd w:id="18"/>
      <w:r w:rsidRPr="003D3C74">
        <w:rPr>
          <w:rFonts w:eastAsia="Verdana" w:cs="Times New Roman"/>
          <w:noProof/>
          <w:szCs w:val="18"/>
        </w:rPr>
        <w:t>jištění</w:t>
      </w:r>
    </w:p>
    <w:p w14:paraId="58197AA6" w14:textId="62D36FB6" w:rsidR="0005742A" w:rsidRPr="003D3C74" w:rsidRDefault="0005742A"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Podklady ke kalkulaci pojistného</w:t>
      </w:r>
    </w:p>
    <w:p w14:paraId="7E782940" w14:textId="4BC0AF65" w:rsidR="0005742A" w:rsidRPr="003D3C74" w:rsidRDefault="00E4642C"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 xml:space="preserve">Čestné prohlášení ke splnění technické kvalifikace </w:t>
      </w:r>
    </w:p>
    <w:p w14:paraId="1F919025" w14:textId="502F15C0" w:rsidR="00971186" w:rsidRPr="003D3C74" w:rsidRDefault="004E64CE" w:rsidP="00CB488E">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 xml:space="preserve">a) </w:t>
      </w:r>
      <w:r w:rsidR="00CB488E" w:rsidRPr="003D3C74">
        <w:rPr>
          <w:rFonts w:eastAsia="Verdana" w:cs="Times New Roman"/>
          <w:noProof/>
          <w:szCs w:val="18"/>
        </w:rPr>
        <w:t>Povolení k provozování celostátní dráhy</w:t>
      </w:r>
    </w:p>
    <w:p w14:paraId="1B420E66" w14:textId="3974137D" w:rsidR="00CB488E" w:rsidRPr="003D3C74" w:rsidRDefault="00CB488E" w:rsidP="00CB488E">
      <w:pPr>
        <w:pStyle w:val="Odstavecseseznamem"/>
        <w:spacing w:after="240" w:line="264" w:lineRule="auto"/>
        <w:ind w:left="1416"/>
        <w:rPr>
          <w:rFonts w:eastAsia="Verdana" w:cs="Times New Roman"/>
          <w:noProof/>
          <w:szCs w:val="18"/>
        </w:rPr>
      </w:pPr>
      <w:r w:rsidRPr="003D3C74">
        <w:rPr>
          <w:rFonts w:eastAsia="Verdana" w:cs="Times New Roman"/>
          <w:noProof/>
          <w:szCs w:val="18"/>
        </w:rPr>
        <w:t>b) Povolení k provozování regionálních drah</w:t>
      </w:r>
    </w:p>
    <w:p w14:paraId="2268C872" w14:textId="77777777" w:rsidR="00E4642C" w:rsidRPr="003D3C74" w:rsidRDefault="00E4642C"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 xml:space="preserve">Výpis z obchodního rejstříku zadavatele </w:t>
      </w:r>
    </w:p>
    <w:p w14:paraId="6508B200" w14:textId="28DE948F" w:rsidR="006745C8" w:rsidRPr="003D3C74" w:rsidRDefault="006745C8"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Čestné prohlášení ve vztahu k zakázaným dohodám</w:t>
      </w:r>
    </w:p>
    <w:p w14:paraId="742D121C" w14:textId="320949EC" w:rsidR="00741DA9" w:rsidRPr="003D3C74" w:rsidRDefault="00741DA9"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Čestné prohlášení ve vztahu k zákonu o registru smluv</w:t>
      </w:r>
    </w:p>
    <w:p w14:paraId="54EF1CB4" w14:textId="39D20040" w:rsidR="00741DA9" w:rsidRDefault="00741DA9" w:rsidP="00741DA9">
      <w:pPr>
        <w:pStyle w:val="Odstavecseseznamem"/>
        <w:spacing w:after="240" w:line="264" w:lineRule="auto"/>
        <w:ind w:left="1287"/>
        <w:rPr>
          <w:rFonts w:eastAsia="Verdana" w:cs="Times New Roman"/>
          <w:noProof/>
          <w:szCs w:val="18"/>
          <w:highlight w:val="yellow"/>
        </w:rPr>
      </w:pPr>
    </w:p>
    <w:p w14:paraId="486070F0" w14:textId="77777777" w:rsidR="00BA5659" w:rsidRDefault="00BA5659" w:rsidP="00741DA9">
      <w:pPr>
        <w:pStyle w:val="Odstavecseseznamem"/>
        <w:spacing w:after="240" w:line="264" w:lineRule="auto"/>
        <w:ind w:left="1287"/>
        <w:rPr>
          <w:rFonts w:eastAsia="Verdana" w:cs="Times New Roman"/>
          <w:noProof/>
          <w:szCs w:val="18"/>
          <w:highlight w:val="yellow"/>
        </w:rPr>
      </w:pPr>
    </w:p>
    <w:p w14:paraId="637E217E" w14:textId="7AF74D7B" w:rsidR="00670F61" w:rsidRPr="00670F61" w:rsidRDefault="00BA5659" w:rsidP="00BA5659">
      <w:pPr>
        <w:spacing w:before="0" w:after="0" w:line="264" w:lineRule="auto"/>
        <w:rPr>
          <w:rFonts w:eastAsia="Verdana" w:cs="Times New Roman"/>
          <w:noProof/>
          <w:szCs w:val="18"/>
        </w:rPr>
      </w:pPr>
      <w:r>
        <w:rPr>
          <w:rFonts w:eastAsia="Verdana" w:cs="Times New Roman"/>
          <w:noProof/>
          <w:szCs w:val="18"/>
        </w:rPr>
        <w:t>elektronicky podepsal</w:t>
      </w:r>
    </w:p>
    <w:p w14:paraId="6AE6DA47" w14:textId="77777777" w:rsidR="005D636E" w:rsidRPr="005D636E" w:rsidRDefault="005D636E" w:rsidP="00BA5659">
      <w:pPr>
        <w:spacing w:before="0" w:after="0" w:line="264" w:lineRule="auto"/>
        <w:rPr>
          <w:rFonts w:eastAsia="Verdana" w:cs="Times New Roman"/>
          <w:noProof/>
          <w:szCs w:val="18"/>
        </w:rPr>
      </w:pPr>
      <w:r w:rsidRPr="005D636E">
        <w:rPr>
          <w:rFonts w:eastAsia="Verdana" w:cs="Times New Roman"/>
          <w:noProof/>
          <w:szCs w:val="18"/>
        </w:rPr>
        <w:t>----------------------------</w:t>
      </w:r>
    </w:p>
    <w:p w14:paraId="3550C4B0" w14:textId="099EDFE0" w:rsidR="005D636E" w:rsidRPr="005D636E" w:rsidRDefault="00670F61" w:rsidP="00BA5659">
      <w:pPr>
        <w:spacing w:before="0" w:after="0" w:line="264" w:lineRule="auto"/>
        <w:rPr>
          <w:rFonts w:eastAsia="Verdana" w:cs="Times New Roman"/>
          <w:b/>
          <w:noProof/>
          <w:szCs w:val="18"/>
        </w:rPr>
      </w:pPr>
      <w:r>
        <w:rPr>
          <w:rFonts w:eastAsia="Verdana" w:cs="Times New Roman"/>
          <w:b/>
          <w:noProof/>
          <w:szCs w:val="18"/>
        </w:rPr>
        <w:t>Bc. Jiří Svoboda, MBA</w:t>
      </w:r>
    </w:p>
    <w:p w14:paraId="634142E4" w14:textId="7752AE53" w:rsidR="003727EC" w:rsidRDefault="00670F61" w:rsidP="00BA5659">
      <w:pPr>
        <w:spacing w:before="0" w:after="240" w:line="264" w:lineRule="auto"/>
      </w:pPr>
      <w:r>
        <w:rPr>
          <w:rFonts w:eastAsia="Verdana" w:cs="Times New Roman"/>
          <w:noProof/>
          <w:szCs w:val="18"/>
        </w:rPr>
        <w:t>generální ředitel</w:t>
      </w:r>
    </w:p>
    <w:sectPr w:rsidR="003727EC" w:rsidSect="00334C8D">
      <w:headerReference w:type="default" r:id="rId18"/>
      <w:footerReference w:type="default" r:id="rId19"/>
      <w:headerReference w:type="first" r:id="rId20"/>
      <w:footerReference w:type="first" r:id="rId21"/>
      <w:pgSz w:w="11906" w:h="16838" w:code="9"/>
      <w:pgMar w:top="89" w:right="1134" w:bottom="1474" w:left="2070" w:header="1009" w:footer="663"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333708" w15:done="0"/>
  <w15:commentEx w15:paraId="050939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3C476" w14:textId="77777777" w:rsidR="004C3A63" w:rsidRDefault="004C3A63" w:rsidP="005D636E">
      <w:pPr>
        <w:spacing w:after="0" w:line="240" w:lineRule="auto"/>
      </w:pPr>
      <w:r>
        <w:separator/>
      </w:r>
    </w:p>
  </w:endnote>
  <w:endnote w:type="continuationSeparator" w:id="0">
    <w:p w14:paraId="4BB1E033" w14:textId="77777777" w:rsidR="004C3A63" w:rsidRDefault="004C3A63"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6A89" w14:paraId="7620DFD8" w14:textId="77777777" w:rsidTr="005D636E">
      <w:tc>
        <w:tcPr>
          <w:tcW w:w="1361" w:type="dxa"/>
          <w:tcMar>
            <w:left w:w="0" w:type="dxa"/>
            <w:right w:w="0" w:type="dxa"/>
          </w:tcMar>
          <w:vAlign w:val="bottom"/>
        </w:tcPr>
        <w:p w14:paraId="28A55569" w14:textId="26AE1FB0" w:rsidR="00EC6A89" w:rsidRPr="00B8518B" w:rsidRDefault="00EC6A89"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1A17BA">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1A17BA">
            <w:rPr>
              <w:rStyle w:val="slostrnky1"/>
              <w:noProof/>
            </w:rPr>
            <w:t>22</w:t>
          </w:r>
          <w:r w:rsidRPr="00B8518B">
            <w:rPr>
              <w:rStyle w:val="slostrnky1"/>
            </w:rPr>
            <w:fldChar w:fldCharType="end"/>
          </w:r>
        </w:p>
      </w:tc>
      <w:tc>
        <w:tcPr>
          <w:tcW w:w="3458" w:type="dxa"/>
          <w:shd w:val="clear" w:color="auto" w:fill="auto"/>
          <w:tcMar>
            <w:left w:w="0" w:type="dxa"/>
            <w:right w:w="0" w:type="dxa"/>
          </w:tcMar>
        </w:tcPr>
        <w:p w14:paraId="69CA59E9" w14:textId="77777777" w:rsidR="00EC6A89" w:rsidRDefault="00EC6A89" w:rsidP="005D636E">
          <w:pPr>
            <w:pStyle w:val="Zpat"/>
          </w:pPr>
        </w:p>
      </w:tc>
      <w:tc>
        <w:tcPr>
          <w:tcW w:w="2835" w:type="dxa"/>
          <w:shd w:val="clear" w:color="auto" w:fill="auto"/>
          <w:tcMar>
            <w:left w:w="0" w:type="dxa"/>
            <w:right w:w="0" w:type="dxa"/>
          </w:tcMar>
        </w:tcPr>
        <w:p w14:paraId="12E82566" w14:textId="77777777" w:rsidR="00EC6A89" w:rsidRDefault="00EC6A89" w:rsidP="005D636E">
          <w:pPr>
            <w:pStyle w:val="Zpat"/>
          </w:pPr>
        </w:p>
      </w:tc>
      <w:tc>
        <w:tcPr>
          <w:tcW w:w="2921" w:type="dxa"/>
        </w:tcPr>
        <w:p w14:paraId="6EEF8727" w14:textId="77777777" w:rsidR="00EC6A89" w:rsidRDefault="00EC6A89" w:rsidP="005D636E">
          <w:pPr>
            <w:pStyle w:val="Zpat"/>
          </w:pPr>
        </w:p>
      </w:tc>
    </w:tr>
  </w:tbl>
  <w:p w14:paraId="66386B43" w14:textId="77777777" w:rsidR="00EC6A89" w:rsidRPr="00B8518B" w:rsidRDefault="00EC6A89"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9C1304F"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BCCF3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EC6A89"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EC6A89" w14:paraId="7D806537" w14:textId="77777777" w:rsidTr="00334C8D">
            <w:trPr>
              <w:trHeight w:val="678"/>
            </w:trPr>
            <w:tc>
              <w:tcPr>
                <w:tcW w:w="1361" w:type="dxa"/>
                <w:tcMar>
                  <w:left w:w="0" w:type="dxa"/>
                  <w:right w:w="0" w:type="dxa"/>
                </w:tcMar>
                <w:vAlign w:val="bottom"/>
              </w:tcPr>
              <w:p w14:paraId="098C40C4" w14:textId="15DACE27" w:rsidR="00EC6A89" w:rsidRPr="00334C8D" w:rsidRDefault="00EC6A89"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1A17BA">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1A17BA">
                  <w:rPr>
                    <w:rStyle w:val="slostrnky"/>
                    <w:b/>
                    <w:noProof/>
                    <w:color w:val="FF5200"/>
                    <w:sz w:val="14"/>
                    <w:szCs w:val="14"/>
                  </w:rPr>
                  <w:t>22</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EC6A89" w:rsidRPr="00334C8D" w:rsidRDefault="00EC6A89" w:rsidP="00334C8D">
                <w:pPr>
                  <w:pStyle w:val="Zpat"/>
                  <w:spacing w:before="0"/>
                  <w:ind w:left="0"/>
                  <w:rPr>
                    <w:sz w:val="12"/>
                    <w:szCs w:val="12"/>
                  </w:rPr>
                </w:pPr>
                <w:r w:rsidRPr="00334C8D">
                  <w:rPr>
                    <w:sz w:val="12"/>
                    <w:szCs w:val="12"/>
                  </w:rPr>
                  <w:t>Správa železnic, státní organizace</w:t>
                </w:r>
              </w:p>
              <w:p w14:paraId="036B2406" w14:textId="77777777" w:rsidR="00EC6A89" w:rsidRPr="00334C8D" w:rsidRDefault="00EC6A89"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EC6A89" w:rsidRPr="00334C8D" w:rsidRDefault="00EC6A89"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EC6A89" w:rsidRPr="00334C8D" w:rsidRDefault="00EC6A89" w:rsidP="00334C8D">
                <w:pPr>
                  <w:pStyle w:val="Zpat"/>
                  <w:spacing w:before="0"/>
                  <w:ind w:left="0" w:right="-3487"/>
                  <w:rPr>
                    <w:sz w:val="12"/>
                    <w:szCs w:val="12"/>
                  </w:rPr>
                </w:pPr>
                <w:r w:rsidRPr="00334C8D">
                  <w:rPr>
                    <w:sz w:val="12"/>
                    <w:szCs w:val="12"/>
                  </w:rPr>
                  <w:t>Sídlo: Dlážděná 1003/7, 110 00 Praha 1</w:t>
                </w:r>
              </w:p>
              <w:p w14:paraId="3A8F7BC0" w14:textId="77777777" w:rsidR="00EC6A89" w:rsidRPr="00334C8D" w:rsidRDefault="00EC6A89" w:rsidP="00334C8D">
                <w:pPr>
                  <w:pStyle w:val="Zpat"/>
                  <w:spacing w:before="0"/>
                  <w:ind w:left="0"/>
                  <w:rPr>
                    <w:sz w:val="12"/>
                    <w:szCs w:val="12"/>
                  </w:rPr>
                </w:pPr>
                <w:r w:rsidRPr="00334C8D">
                  <w:rPr>
                    <w:sz w:val="12"/>
                    <w:szCs w:val="12"/>
                  </w:rPr>
                  <w:t>IČ: 709 94 234 DIČ: CZ 709 94 234</w:t>
                </w:r>
              </w:p>
              <w:p w14:paraId="2D8B3C3C" w14:textId="4C266FD7" w:rsidR="00EC6A89" w:rsidRPr="00334C8D" w:rsidRDefault="00EC6A89"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EC6A89" w:rsidRDefault="00EC6A89" w:rsidP="00334C8D">
                <w:pPr>
                  <w:pStyle w:val="Zpat"/>
                  <w:spacing w:before="0"/>
                </w:pPr>
              </w:p>
            </w:tc>
          </w:tr>
        </w:tbl>
        <w:p w14:paraId="41B7FADF" w14:textId="77777777" w:rsidR="00EC6A89" w:rsidRPr="00B8518B" w:rsidRDefault="00EC6A89" w:rsidP="005D636E">
          <w:pPr>
            <w:pStyle w:val="Zpat"/>
            <w:rPr>
              <w:rStyle w:val="slostrnky1"/>
            </w:rPr>
          </w:pPr>
        </w:p>
      </w:tc>
      <w:tc>
        <w:tcPr>
          <w:tcW w:w="3458" w:type="dxa"/>
          <w:shd w:val="clear" w:color="auto" w:fill="auto"/>
          <w:tcMar>
            <w:left w:w="0" w:type="dxa"/>
            <w:right w:w="0" w:type="dxa"/>
          </w:tcMar>
        </w:tcPr>
        <w:p w14:paraId="4A201BA5" w14:textId="77777777" w:rsidR="00EC6A89" w:rsidRDefault="00EC6A89" w:rsidP="005D636E">
          <w:pPr>
            <w:pStyle w:val="Zpat"/>
          </w:pPr>
        </w:p>
      </w:tc>
      <w:tc>
        <w:tcPr>
          <w:tcW w:w="2835" w:type="dxa"/>
          <w:shd w:val="clear" w:color="auto" w:fill="auto"/>
          <w:tcMar>
            <w:left w:w="0" w:type="dxa"/>
            <w:right w:w="0" w:type="dxa"/>
          </w:tcMar>
        </w:tcPr>
        <w:p w14:paraId="4CD17297" w14:textId="77777777" w:rsidR="00EC6A89" w:rsidRDefault="00EC6A89" w:rsidP="005D636E">
          <w:pPr>
            <w:pStyle w:val="Zpat"/>
          </w:pPr>
        </w:p>
      </w:tc>
      <w:tc>
        <w:tcPr>
          <w:tcW w:w="2921" w:type="dxa"/>
        </w:tcPr>
        <w:p w14:paraId="1A25E90B" w14:textId="77777777" w:rsidR="00EC6A89" w:rsidRDefault="00EC6A89" w:rsidP="005D636E">
          <w:pPr>
            <w:pStyle w:val="Zpat"/>
          </w:pPr>
        </w:p>
      </w:tc>
    </w:tr>
  </w:tbl>
  <w:p w14:paraId="6E2E844A" w14:textId="77777777" w:rsidR="00EC6A89" w:rsidRPr="00B8518B" w:rsidRDefault="00EC6A89"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F743D82"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774657"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EC6A89" w:rsidRPr="00460660" w:rsidRDefault="00EC6A8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0288E" w14:textId="77777777" w:rsidR="004C3A63" w:rsidRDefault="004C3A63" w:rsidP="005D636E">
      <w:pPr>
        <w:spacing w:after="0" w:line="240" w:lineRule="auto"/>
      </w:pPr>
      <w:r>
        <w:separator/>
      </w:r>
    </w:p>
  </w:footnote>
  <w:footnote w:type="continuationSeparator" w:id="0">
    <w:p w14:paraId="005AFE32" w14:textId="77777777" w:rsidR="004C3A63" w:rsidRDefault="004C3A63" w:rsidP="005D6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6A89" w14:paraId="1198341F" w14:textId="77777777" w:rsidTr="005D636E">
      <w:trPr>
        <w:trHeight w:hRule="exact" w:val="454"/>
      </w:trPr>
      <w:tc>
        <w:tcPr>
          <w:tcW w:w="1361" w:type="dxa"/>
          <w:tcMar>
            <w:top w:w="57" w:type="dxa"/>
            <w:left w:w="0" w:type="dxa"/>
            <w:right w:w="0" w:type="dxa"/>
          </w:tcMar>
        </w:tcPr>
        <w:p w14:paraId="609A2E66" w14:textId="77777777" w:rsidR="00EC6A89" w:rsidRPr="00B8518B" w:rsidRDefault="00EC6A89" w:rsidP="005D636E">
          <w:pPr>
            <w:pStyle w:val="Zpat"/>
            <w:rPr>
              <w:rStyle w:val="slostrnky1"/>
            </w:rPr>
          </w:pPr>
        </w:p>
      </w:tc>
      <w:tc>
        <w:tcPr>
          <w:tcW w:w="3458" w:type="dxa"/>
          <w:shd w:val="clear" w:color="auto" w:fill="auto"/>
          <w:tcMar>
            <w:top w:w="57" w:type="dxa"/>
            <w:left w:w="0" w:type="dxa"/>
            <w:right w:w="0" w:type="dxa"/>
          </w:tcMar>
        </w:tcPr>
        <w:p w14:paraId="15F2E230" w14:textId="77777777" w:rsidR="00EC6A89" w:rsidRDefault="00EC6A89" w:rsidP="005D636E">
          <w:pPr>
            <w:pStyle w:val="Zpat"/>
          </w:pPr>
        </w:p>
      </w:tc>
      <w:tc>
        <w:tcPr>
          <w:tcW w:w="5698" w:type="dxa"/>
          <w:shd w:val="clear" w:color="auto" w:fill="auto"/>
          <w:tcMar>
            <w:top w:w="57" w:type="dxa"/>
            <w:left w:w="0" w:type="dxa"/>
            <w:right w:w="0" w:type="dxa"/>
          </w:tcMar>
        </w:tcPr>
        <w:p w14:paraId="21DC0AD4" w14:textId="77777777" w:rsidR="00EC6A89" w:rsidRPr="00D6163D" w:rsidRDefault="00EC6A89" w:rsidP="005D636E">
          <w:pPr>
            <w:pStyle w:val="Druhdokumentu"/>
          </w:pPr>
        </w:p>
      </w:tc>
    </w:tr>
  </w:tbl>
  <w:p w14:paraId="17143938" w14:textId="77777777" w:rsidR="00EC6A89" w:rsidRPr="00D6163D" w:rsidRDefault="00EC6A89">
    <w:pPr>
      <w:pStyle w:val="Zhlav1"/>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EC6A89"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6A89" w:rsidRPr="006E7A39" w14:paraId="2FF2FCA2" w14:textId="77777777" w:rsidTr="00D41F04">
            <w:trPr>
              <w:trHeight w:hRule="exact" w:val="936"/>
            </w:trPr>
            <w:tc>
              <w:tcPr>
                <w:tcW w:w="1361" w:type="dxa"/>
                <w:tcMar>
                  <w:left w:w="0" w:type="dxa"/>
                  <w:right w:w="0" w:type="dxa"/>
                </w:tcMar>
              </w:tcPr>
              <w:p w14:paraId="16C10ACD" w14:textId="77777777" w:rsidR="00EC6A89" w:rsidRPr="006E7A39" w:rsidRDefault="00EC6A89"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EC6A89" w:rsidRPr="006E7A39" w:rsidRDefault="00EC6A89" w:rsidP="00D41F04">
                <w:pPr>
                  <w:pStyle w:val="Zpat"/>
                </w:pPr>
              </w:p>
            </w:tc>
            <w:tc>
              <w:tcPr>
                <w:tcW w:w="5698" w:type="dxa"/>
                <w:shd w:val="clear" w:color="auto" w:fill="auto"/>
                <w:tcMar>
                  <w:left w:w="0" w:type="dxa"/>
                  <w:right w:w="0" w:type="dxa"/>
                </w:tcMar>
              </w:tcPr>
              <w:p w14:paraId="42E03F8E" w14:textId="77777777" w:rsidR="00EC6A89" w:rsidRPr="006E7A39" w:rsidRDefault="00EC6A89" w:rsidP="00D41F04">
                <w:pPr>
                  <w:pStyle w:val="Druhdokumentu"/>
                </w:pPr>
              </w:p>
            </w:tc>
          </w:tr>
          <w:tr w:rsidR="00EC6A89" w:rsidRPr="006E7A39" w14:paraId="574B484F" w14:textId="77777777" w:rsidTr="00D41F04">
            <w:trPr>
              <w:trHeight w:hRule="exact" w:val="452"/>
            </w:trPr>
            <w:tc>
              <w:tcPr>
                <w:tcW w:w="1361" w:type="dxa"/>
                <w:tcMar>
                  <w:left w:w="0" w:type="dxa"/>
                  <w:right w:w="0" w:type="dxa"/>
                </w:tcMar>
              </w:tcPr>
              <w:p w14:paraId="17D2A8B9" w14:textId="77777777" w:rsidR="00EC6A89" w:rsidRPr="006E7A39" w:rsidRDefault="00EC6A89" w:rsidP="00D41F04">
                <w:pPr>
                  <w:pStyle w:val="Zpat"/>
                  <w:rPr>
                    <w:rStyle w:val="slostrnky"/>
                  </w:rPr>
                </w:pPr>
              </w:p>
            </w:tc>
            <w:tc>
              <w:tcPr>
                <w:tcW w:w="3458" w:type="dxa"/>
                <w:shd w:val="clear" w:color="auto" w:fill="auto"/>
                <w:tcMar>
                  <w:left w:w="0" w:type="dxa"/>
                  <w:right w:w="0" w:type="dxa"/>
                </w:tcMar>
              </w:tcPr>
              <w:p w14:paraId="079F7AD5" w14:textId="77777777" w:rsidR="00EC6A89" w:rsidRPr="006E7A39" w:rsidRDefault="00EC6A89" w:rsidP="00D41F04">
                <w:pPr>
                  <w:pStyle w:val="Zpat"/>
                </w:pPr>
              </w:p>
            </w:tc>
            <w:tc>
              <w:tcPr>
                <w:tcW w:w="5698" w:type="dxa"/>
                <w:shd w:val="clear" w:color="auto" w:fill="auto"/>
                <w:tcMar>
                  <w:left w:w="0" w:type="dxa"/>
                  <w:right w:w="0" w:type="dxa"/>
                </w:tcMar>
              </w:tcPr>
              <w:p w14:paraId="0C37E4A5" w14:textId="77777777" w:rsidR="00EC6A89" w:rsidRPr="006E7A39" w:rsidRDefault="00EC6A89" w:rsidP="00D41F04">
                <w:pPr>
                  <w:pStyle w:val="Druhdokumentu"/>
                  <w:rPr>
                    <w:noProof/>
                  </w:rPr>
                </w:pPr>
              </w:p>
            </w:tc>
          </w:tr>
        </w:tbl>
        <w:p w14:paraId="7E21EBA4" w14:textId="77777777" w:rsidR="00EC6A89" w:rsidRPr="006E7A39" w:rsidRDefault="00EC6A89"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6A89" w:rsidRPr="006E7A39" w14:paraId="06D56E4C" w14:textId="77777777" w:rsidTr="00D41F04">
            <w:trPr>
              <w:trHeight w:hRule="exact" w:val="936"/>
            </w:trPr>
            <w:tc>
              <w:tcPr>
                <w:tcW w:w="1361" w:type="dxa"/>
                <w:tcMar>
                  <w:left w:w="0" w:type="dxa"/>
                  <w:right w:w="0" w:type="dxa"/>
                </w:tcMar>
              </w:tcPr>
              <w:p w14:paraId="7659F6D3" w14:textId="77777777" w:rsidR="00EC6A89" w:rsidRPr="006E7A39" w:rsidRDefault="00EC6A89" w:rsidP="00D41F04">
                <w:pPr>
                  <w:pStyle w:val="Zpat"/>
                  <w:rPr>
                    <w:rStyle w:val="slostrnky"/>
                  </w:rPr>
                </w:pPr>
              </w:p>
            </w:tc>
            <w:tc>
              <w:tcPr>
                <w:tcW w:w="3458" w:type="dxa"/>
                <w:shd w:val="clear" w:color="auto" w:fill="auto"/>
                <w:tcMar>
                  <w:left w:w="0" w:type="dxa"/>
                  <w:right w:w="0" w:type="dxa"/>
                </w:tcMar>
              </w:tcPr>
              <w:p w14:paraId="745EED6B" w14:textId="77777777" w:rsidR="00EC6A89" w:rsidRPr="006E7A39" w:rsidRDefault="00EC6A89" w:rsidP="00D41F04">
                <w:pPr>
                  <w:pStyle w:val="Zpat"/>
                </w:pPr>
              </w:p>
            </w:tc>
            <w:tc>
              <w:tcPr>
                <w:tcW w:w="5698" w:type="dxa"/>
                <w:shd w:val="clear" w:color="auto" w:fill="auto"/>
                <w:tcMar>
                  <w:left w:w="0" w:type="dxa"/>
                  <w:right w:w="0" w:type="dxa"/>
                </w:tcMar>
              </w:tcPr>
              <w:p w14:paraId="78C709F1" w14:textId="77777777" w:rsidR="00EC6A89" w:rsidRPr="006E7A39" w:rsidRDefault="00EC6A89" w:rsidP="00D41F04">
                <w:pPr>
                  <w:pStyle w:val="Druhdokumentu"/>
                </w:pPr>
              </w:p>
            </w:tc>
          </w:tr>
          <w:tr w:rsidR="00EC6A89" w:rsidRPr="006E7A39" w14:paraId="5FF3744A" w14:textId="77777777" w:rsidTr="00D41F04">
            <w:trPr>
              <w:trHeight w:hRule="exact" w:val="452"/>
            </w:trPr>
            <w:tc>
              <w:tcPr>
                <w:tcW w:w="1361" w:type="dxa"/>
                <w:tcMar>
                  <w:left w:w="0" w:type="dxa"/>
                  <w:right w:w="0" w:type="dxa"/>
                </w:tcMar>
              </w:tcPr>
              <w:p w14:paraId="44F503F2" w14:textId="77777777" w:rsidR="00EC6A89" w:rsidRPr="006E7A39" w:rsidRDefault="00EC6A89" w:rsidP="00D41F04">
                <w:pPr>
                  <w:pStyle w:val="Zpat"/>
                  <w:rPr>
                    <w:rStyle w:val="slostrnky"/>
                  </w:rPr>
                </w:pPr>
              </w:p>
            </w:tc>
            <w:tc>
              <w:tcPr>
                <w:tcW w:w="3458" w:type="dxa"/>
                <w:shd w:val="clear" w:color="auto" w:fill="auto"/>
                <w:tcMar>
                  <w:left w:w="0" w:type="dxa"/>
                  <w:right w:w="0" w:type="dxa"/>
                </w:tcMar>
              </w:tcPr>
              <w:p w14:paraId="06A52672" w14:textId="77777777" w:rsidR="00EC6A89" w:rsidRPr="006E7A39" w:rsidRDefault="00EC6A89" w:rsidP="00D41F04">
                <w:pPr>
                  <w:pStyle w:val="Zpat"/>
                </w:pPr>
              </w:p>
            </w:tc>
            <w:tc>
              <w:tcPr>
                <w:tcW w:w="5698" w:type="dxa"/>
                <w:shd w:val="clear" w:color="auto" w:fill="auto"/>
                <w:tcMar>
                  <w:left w:w="0" w:type="dxa"/>
                  <w:right w:w="0" w:type="dxa"/>
                </w:tcMar>
              </w:tcPr>
              <w:p w14:paraId="08C09A7D" w14:textId="77777777" w:rsidR="00EC6A89" w:rsidRPr="006E7A39" w:rsidRDefault="00EC6A89" w:rsidP="00D41F04">
                <w:pPr>
                  <w:pStyle w:val="Druhdokumentu"/>
                  <w:rPr>
                    <w:noProof/>
                  </w:rPr>
                </w:pPr>
              </w:p>
            </w:tc>
          </w:tr>
        </w:tbl>
        <w:p w14:paraId="19C134A5" w14:textId="77777777" w:rsidR="00EC6A89" w:rsidRPr="006E7A39" w:rsidRDefault="00EC6A89"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6A89" w:rsidRPr="006E7A39" w14:paraId="29930BED" w14:textId="77777777" w:rsidTr="00D41F04">
            <w:trPr>
              <w:trHeight w:hRule="exact" w:val="936"/>
            </w:trPr>
            <w:tc>
              <w:tcPr>
                <w:tcW w:w="1361" w:type="dxa"/>
                <w:tcMar>
                  <w:left w:w="0" w:type="dxa"/>
                  <w:right w:w="0" w:type="dxa"/>
                </w:tcMar>
              </w:tcPr>
              <w:p w14:paraId="240D57CA" w14:textId="77777777" w:rsidR="00EC6A89" w:rsidRPr="006E7A39" w:rsidRDefault="00EC6A89"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EC6A89" w:rsidRPr="006E7A39" w:rsidRDefault="00EC6A89" w:rsidP="00D41F04">
                <w:pPr>
                  <w:pStyle w:val="Zpat"/>
                </w:pPr>
              </w:p>
            </w:tc>
            <w:tc>
              <w:tcPr>
                <w:tcW w:w="5698" w:type="dxa"/>
                <w:shd w:val="clear" w:color="auto" w:fill="auto"/>
                <w:tcMar>
                  <w:left w:w="0" w:type="dxa"/>
                  <w:right w:w="0" w:type="dxa"/>
                </w:tcMar>
              </w:tcPr>
              <w:p w14:paraId="6C9BA197" w14:textId="77777777" w:rsidR="00EC6A89" w:rsidRPr="006E7A39" w:rsidRDefault="00EC6A89" w:rsidP="00D41F04">
                <w:pPr>
                  <w:pStyle w:val="Druhdokumentu"/>
                </w:pPr>
              </w:p>
            </w:tc>
          </w:tr>
          <w:tr w:rsidR="00EC6A89" w:rsidRPr="006E7A39" w14:paraId="33289ADA" w14:textId="77777777" w:rsidTr="00D41F04">
            <w:trPr>
              <w:trHeight w:hRule="exact" w:val="452"/>
            </w:trPr>
            <w:tc>
              <w:tcPr>
                <w:tcW w:w="1361" w:type="dxa"/>
                <w:tcMar>
                  <w:left w:w="0" w:type="dxa"/>
                  <w:right w:w="0" w:type="dxa"/>
                </w:tcMar>
              </w:tcPr>
              <w:p w14:paraId="093D567F" w14:textId="77777777" w:rsidR="00EC6A89" w:rsidRPr="006E7A39" w:rsidRDefault="00EC6A89" w:rsidP="00D41F04">
                <w:pPr>
                  <w:pStyle w:val="Zpat"/>
                  <w:rPr>
                    <w:rStyle w:val="slostrnky"/>
                  </w:rPr>
                </w:pPr>
              </w:p>
            </w:tc>
            <w:tc>
              <w:tcPr>
                <w:tcW w:w="3458" w:type="dxa"/>
                <w:shd w:val="clear" w:color="auto" w:fill="auto"/>
                <w:tcMar>
                  <w:left w:w="0" w:type="dxa"/>
                  <w:right w:w="0" w:type="dxa"/>
                </w:tcMar>
              </w:tcPr>
              <w:p w14:paraId="112BFFFC" w14:textId="77777777" w:rsidR="00EC6A89" w:rsidRPr="006E7A39" w:rsidRDefault="00EC6A89" w:rsidP="00D41F04">
                <w:pPr>
                  <w:pStyle w:val="Zpat"/>
                </w:pPr>
              </w:p>
            </w:tc>
            <w:tc>
              <w:tcPr>
                <w:tcW w:w="5698" w:type="dxa"/>
                <w:shd w:val="clear" w:color="auto" w:fill="auto"/>
                <w:tcMar>
                  <w:left w:w="0" w:type="dxa"/>
                  <w:right w:w="0" w:type="dxa"/>
                </w:tcMar>
              </w:tcPr>
              <w:p w14:paraId="600822B6" w14:textId="77777777" w:rsidR="00EC6A89" w:rsidRPr="006E7A39" w:rsidRDefault="00EC6A89" w:rsidP="00D41F04">
                <w:pPr>
                  <w:pStyle w:val="Druhdokumentu"/>
                  <w:rPr>
                    <w:noProof/>
                  </w:rPr>
                </w:pPr>
              </w:p>
            </w:tc>
          </w:tr>
        </w:tbl>
        <w:p w14:paraId="37C964E7" w14:textId="77777777" w:rsidR="00EC6A89" w:rsidRPr="006E7A39" w:rsidRDefault="00EC6A89" w:rsidP="00D41F04">
          <w:pPr>
            <w:pStyle w:val="Zhlav"/>
            <w:rPr>
              <w:sz w:val="8"/>
              <w:szCs w:val="8"/>
            </w:rPr>
          </w:pPr>
        </w:p>
      </w:tc>
    </w:tr>
    <w:tr w:rsidR="00EC6A89" w14:paraId="36BC84FB" w14:textId="77777777" w:rsidTr="005D636E">
      <w:trPr>
        <w:trHeight w:hRule="exact" w:val="1077"/>
      </w:trPr>
      <w:tc>
        <w:tcPr>
          <w:tcW w:w="1361" w:type="dxa"/>
          <w:tcMar>
            <w:left w:w="0" w:type="dxa"/>
            <w:right w:w="0" w:type="dxa"/>
          </w:tcMar>
        </w:tcPr>
        <w:p w14:paraId="1E0B8E67" w14:textId="77777777" w:rsidR="00EC6A89" w:rsidRPr="006E7A39" w:rsidRDefault="00EC6A89" w:rsidP="00D41F04">
          <w:pPr>
            <w:rPr>
              <w:sz w:val="2"/>
              <w:szCs w:val="2"/>
            </w:rPr>
          </w:pPr>
        </w:p>
      </w:tc>
      <w:tc>
        <w:tcPr>
          <w:tcW w:w="3458" w:type="dxa"/>
          <w:shd w:val="clear" w:color="auto" w:fill="auto"/>
          <w:tcMar>
            <w:left w:w="0" w:type="dxa"/>
            <w:right w:w="0" w:type="dxa"/>
          </w:tcMar>
        </w:tcPr>
        <w:p w14:paraId="3C62C5B5" w14:textId="77777777" w:rsidR="00EC6A89" w:rsidRPr="006E7A39" w:rsidRDefault="00EC6A89" w:rsidP="00D41F04">
          <w:pPr>
            <w:rPr>
              <w:sz w:val="2"/>
              <w:szCs w:val="2"/>
            </w:rPr>
          </w:pPr>
        </w:p>
      </w:tc>
      <w:tc>
        <w:tcPr>
          <w:tcW w:w="5698" w:type="dxa"/>
          <w:shd w:val="clear" w:color="auto" w:fill="auto"/>
          <w:tcMar>
            <w:left w:w="0" w:type="dxa"/>
            <w:right w:w="0" w:type="dxa"/>
          </w:tcMar>
        </w:tcPr>
        <w:p w14:paraId="344784C0" w14:textId="77777777" w:rsidR="00EC6A89" w:rsidRPr="006E7A39" w:rsidRDefault="00EC6A89" w:rsidP="00D41F04">
          <w:pPr>
            <w:pStyle w:val="Zhlav"/>
            <w:rPr>
              <w:sz w:val="2"/>
              <w:szCs w:val="2"/>
            </w:rPr>
          </w:pPr>
        </w:p>
      </w:tc>
    </w:tr>
  </w:tbl>
  <w:p w14:paraId="794652BE" w14:textId="77777777" w:rsidR="00EC6A89" w:rsidRPr="00D6163D" w:rsidRDefault="00EC6A89" w:rsidP="005D636E">
    <w:pPr>
      <w:pStyle w:val="Zhlav1"/>
      <w:rPr>
        <w:sz w:val="8"/>
        <w:szCs w:val="8"/>
      </w:rPr>
    </w:pPr>
  </w:p>
  <w:p w14:paraId="19E140C1" w14:textId="77777777" w:rsidR="00EC6A89" w:rsidRPr="00460660" w:rsidRDefault="00EC6A89">
    <w:pPr>
      <w:pStyle w:val="Zhlav1"/>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648"/>
    <w:multiLevelType w:val="hybridMultilevel"/>
    <w:tmpl w:val="02386D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nsid w:val="0B3F186C"/>
    <w:multiLevelType w:val="hybridMultilevel"/>
    <w:tmpl w:val="F6B637C2"/>
    <w:lvl w:ilvl="0" w:tplc="08DC5E38">
      <w:start w:val="1"/>
      <w:numFmt w:val="lowerLetter"/>
      <w:lvlText w:val="%1)"/>
      <w:lvlJc w:val="left"/>
      <w:pPr>
        <w:ind w:left="2662" w:hanging="360"/>
      </w:pPr>
      <w:rPr>
        <w:rFonts w:hint="default"/>
      </w:rPr>
    </w:lvl>
    <w:lvl w:ilvl="1" w:tplc="04050019" w:tentative="1">
      <w:start w:val="1"/>
      <w:numFmt w:val="lowerLetter"/>
      <w:lvlText w:val="%2."/>
      <w:lvlJc w:val="left"/>
      <w:pPr>
        <w:ind w:left="3382" w:hanging="360"/>
      </w:pPr>
    </w:lvl>
    <w:lvl w:ilvl="2" w:tplc="0405001B" w:tentative="1">
      <w:start w:val="1"/>
      <w:numFmt w:val="lowerRoman"/>
      <w:lvlText w:val="%3."/>
      <w:lvlJc w:val="right"/>
      <w:pPr>
        <w:ind w:left="4102" w:hanging="180"/>
      </w:pPr>
    </w:lvl>
    <w:lvl w:ilvl="3" w:tplc="0405000F" w:tentative="1">
      <w:start w:val="1"/>
      <w:numFmt w:val="decimal"/>
      <w:lvlText w:val="%4."/>
      <w:lvlJc w:val="left"/>
      <w:pPr>
        <w:ind w:left="4822" w:hanging="360"/>
      </w:pPr>
    </w:lvl>
    <w:lvl w:ilvl="4" w:tplc="04050019" w:tentative="1">
      <w:start w:val="1"/>
      <w:numFmt w:val="lowerLetter"/>
      <w:lvlText w:val="%5."/>
      <w:lvlJc w:val="left"/>
      <w:pPr>
        <w:ind w:left="5542" w:hanging="360"/>
      </w:pPr>
    </w:lvl>
    <w:lvl w:ilvl="5" w:tplc="0405001B" w:tentative="1">
      <w:start w:val="1"/>
      <w:numFmt w:val="lowerRoman"/>
      <w:lvlText w:val="%6."/>
      <w:lvlJc w:val="right"/>
      <w:pPr>
        <w:ind w:left="6262" w:hanging="180"/>
      </w:pPr>
    </w:lvl>
    <w:lvl w:ilvl="6" w:tplc="0405000F" w:tentative="1">
      <w:start w:val="1"/>
      <w:numFmt w:val="decimal"/>
      <w:lvlText w:val="%7."/>
      <w:lvlJc w:val="left"/>
      <w:pPr>
        <w:ind w:left="6982" w:hanging="360"/>
      </w:pPr>
    </w:lvl>
    <w:lvl w:ilvl="7" w:tplc="04050019" w:tentative="1">
      <w:start w:val="1"/>
      <w:numFmt w:val="lowerLetter"/>
      <w:lvlText w:val="%8."/>
      <w:lvlJc w:val="left"/>
      <w:pPr>
        <w:ind w:left="7702" w:hanging="360"/>
      </w:pPr>
    </w:lvl>
    <w:lvl w:ilvl="8" w:tplc="0405001B" w:tentative="1">
      <w:start w:val="1"/>
      <w:numFmt w:val="lowerRoman"/>
      <w:lvlText w:val="%9."/>
      <w:lvlJc w:val="right"/>
      <w:pPr>
        <w:ind w:left="8422" w:hanging="180"/>
      </w:pPr>
    </w:lvl>
  </w:abstractNum>
  <w:abstractNum w:abstractNumId="4">
    <w:nsid w:val="0B975FE6"/>
    <w:multiLevelType w:val="multilevel"/>
    <w:tmpl w:val="5BA07A1A"/>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7">
    <w:nsid w:val="185527F6"/>
    <w:multiLevelType w:val="hybridMultilevel"/>
    <w:tmpl w:val="609826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756E92"/>
    <w:multiLevelType w:val="hybridMultilevel"/>
    <w:tmpl w:val="3FCCD4B2"/>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nsid w:val="1D38119B"/>
    <w:multiLevelType w:val="multilevel"/>
    <w:tmpl w:val="DA6299BA"/>
    <w:lvl w:ilvl="0">
      <w:start w:val="1"/>
      <w:numFmt w:val="decimal"/>
      <w:lvlText w:val="%1."/>
      <w:lvlJc w:val="left"/>
      <w:pPr>
        <w:ind w:left="862" w:hanging="360"/>
      </w:pPr>
      <w:rPr>
        <w:rFonts w:hint="default"/>
      </w:rPr>
    </w:lvl>
    <w:lvl w:ilvl="1">
      <w:start w:val="1"/>
      <w:numFmt w:val="decimal"/>
      <w:suff w:val="space"/>
      <w:lvlText w:val="%1.%2"/>
      <w:lvlJc w:val="left"/>
      <w:pPr>
        <w:ind w:left="121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1">
    <w:nsid w:val="218C207B"/>
    <w:multiLevelType w:val="hybridMultilevel"/>
    <w:tmpl w:val="F0A0EEFC"/>
    <w:lvl w:ilvl="0" w:tplc="D82A64BA">
      <w:start w:val="1"/>
      <w:numFmt w:val="lowerLetter"/>
      <w:lvlText w:val="%1)"/>
      <w:lvlJc w:val="left"/>
      <w:pPr>
        <w:ind w:left="900" w:hanging="360"/>
      </w:pPr>
      <w:rPr>
        <w:rFonts w:ascii="Times New Roman" w:hAnsi="Times New Roman" w:cs="Times New Roman" w:hint="default"/>
        <w:sz w:val="23"/>
        <w:szCs w:val="23"/>
      </w:rPr>
    </w:lvl>
    <w:lvl w:ilvl="1" w:tplc="04050019" w:tentative="1">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nsid w:val="289D3EF5"/>
    <w:multiLevelType w:val="hybridMultilevel"/>
    <w:tmpl w:val="12162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401F35"/>
    <w:multiLevelType w:val="hybridMultilevel"/>
    <w:tmpl w:val="0584F4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F232323E">
      <w:start w:val="1"/>
      <w:numFmt w:val="lowerLetter"/>
      <w:lvlText w:val="%3)"/>
      <w:lvlJc w:val="left"/>
      <w:pPr>
        <w:ind w:left="1985" w:hanging="5"/>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56947CA"/>
    <w:multiLevelType w:val="hybridMultilevel"/>
    <w:tmpl w:val="FC668090"/>
    <w:lvl w:ilvl="0" w:tplc="7298CD1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3" w:firstLine="0"/>
      </w:pPr>
      <w:rPr>
        <w:rFonts w:hint="default"/>
      </w:rPr>
    </w:lvl>
    <w:lvl w:ilvl="2">
      <w:start w:val="1"/>
      <w:numFmt w:val="decimal"/>
      <w:pStyle w:val="podlnek"/>
      <w:suff w:val="space"/>
      <w:lvlText w:val="%1.%2.%3."/>
      <w:lvlJc w:val="right"/>
      <w:pPr>
        <w:ind w:left="0"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nsid w:val="3D785B14"/>
    <w:multiLevelType w:val="multilevel"/>
    <w:tmpl w:val="87FC77CE"/>
    <w:lvl w:ilvl="0">
      <w:start w:val="7"/>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sz w:val="18"/>
        <w:szCs w:val="18"/>
      </w:rPr>
    </w:lvl>
    <w:lvl w:ilvl="2">
      <w:start w:val="1"/>
      <w:numFmt w:val="decimal"/>
      <w:isLgl/>
      <w:lvlText w:val="%1.%2.%3"/>
      <w:lvlJc w:val="left"/>
      <w:pPr>
        <w:ind w:left="720" w:hanging="720"/>
      </w:pPr>
      <w:rPr>
        <w:rFonts w:hint="default"/>
        <w:b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9">
    <w:nsid w:val="3DF802B4"/>
    <w:multiLevelType w:val="hybridMultilevel"/>
    <w:tmpl w:val="E4B0ED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2A86093"/>
    <w:multiLevelType w:val="hybridMultilevel"/>
    <w:tmpl w:val="516037B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2">
    <w:nsid w:val="4DA85975"/>
    <w:multiLevelType w:val="hybridMultilevel"/>
    <w:tmpl w:val="63B80872"/>
    <w:lvl w:ilvl="0" w:tplc="198A30E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3">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4">
    <w:nsid w:val="64EF6ECC"/>
    <w:multiLevelType w:val="hybridMultilevel"/>
    <w:tmpl w:val="8D0230BC"/>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E314F4C2">
      <w:start w:val="1"/>
      <w:numFmt w:val="lowerLetter"/>
      <w:lvlText w:val="%5)"/>
      <w:lvlJc w:val="left"/>
      <w:pPr>
        <w:tabs>
          <w:tab w:val="num" w:pos="3600"/>
        </w:tabs>
        <w:ind w:left="3600" w:hanging="360"/>
      </w:pPr>
      <w:rPr>
        <w:rFonts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nsid w:val="657634F4"/>
    <w:multiLevelType w:val="hybridMultilevel"/>
    <w:tmpl w:val="8F8E9E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7">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8">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14F3EDC"/>
    <w:multiLevelType w:val="multilevel"/>
    <w:tmpl w:val="CF42C452"/>
    <w:lvl w:ilvl="0">
      <w:start w:val="1"/>
      <w:numFmt w:val="ordinal"/>
      <w:lvlText w:val="1.%1"/>
      <w:lvlJc w:val="left"/>
      <w:pPr>
        <w:ind w:left="1344" w:hanging="360"/>
      </w:pPr>
      <w:rPr>
        <w:rFonts w:hint="default"/>
      </w:r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30">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27"/>
  </w:num>
  <w:num w:numId="2">
    <w:abstractNumId w:val="24"/>
  </w:num>
  <w:num w:numId="3">
    <w:abstractNumId w:val="26"/>
  </w:num>
  <w:num w:numId="4">
    <w:abstractNumId w:val="23"/>
  </w:num>
  <w:num w:numId="5">
    <w:abstractNumId w:val="18"/>
  </w:num>
  <w:num w:numId="6">
    <w:abstractNumId w:val="30"/>
  </w:num>
  <w:num w:numId="7">
    <w:abstractNumId w:val="1"/>
  </w:num>
  <w:num w:numId="8">
    <w:abstractNumId w:val="12"/>
  </w:num>
  <w:num w:numId="9">
    <w:abstractNumId w:val="7"/>
  </w:num>
  <w:num w:numId="10">
    <w:abstractNumId w:val="19"/>
  </w:num>
  <w:num w:numId="11">
    <w:abstractNumId w:val="25"/>
  </w:num>
  <w:num w:numId="12">
    <w:abstractNumId w:val="11"/>
  </w:num>
  <w:num w:numId="13">
    <w:abstractNumId w:val="31"/>
  </w:num>
  <w:num w:numId="14">
    <w:abstractNumId w:val="9"/>
  </w:num>
  <w:num w:numId="15">
    <w:abstractNumId w:val="28"/>
  </w:num>
  <w:num w:numId="16">
    <w:abstractNumId w:val="8"/>
  </w:num>
  <w:num w:numId="17">
    <w:abstractNumId w:val="10"/>
  </w:num>
  <w:num w:numId="18">
    <w:abstractNumId w:val="2"/>
  </w:num>
  <w:num w:numId="19">
    <w:abstractNumId w:val="29"/>
  </w:num>
  <w:num w:numId="20">
    <w:abstractNumId w:val="10"/>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6"/>
  </w:num>
  <w:num w:numId="25">
    <w:abstractNumId w:val="0"/>
  </w:num>
  <w:num w:numId="26">
    <w:abstractNumId w:val="13"/>
  </w:num>
  <w:num w:numId="27">
    <w:abstractNumId w:val="32"/>
  </w:num>
  <w:num w:numId="28">
    <w:abstractNumId w:val="20"/>
  </w:num>
  <w:num w:numId="29">
    <w:abstractNumId w:val="16"/>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
  </w:num>
  <w:num w:numId="34">
    <w:abstractNumId w:val="21"/>
  </w:num>
  <w:num w:numId="35">
    <w:abstractNumId w:val="22"/>
  </w:num>
  <w:num w:numId="36">
    <w:abstractNumId w:val="16"/>
  </w:num>
  <w:num w:numId="37">
    <w:abstractNumId w:val="16"/>
  </w:num>
  <w:num w:numId="38">
    <w:abstractNumId w:val="16"/>
  </w:num>
  <w:num w:numId="39">
    <w:abstractNumId w:val="16"/>
  </w:num>
  <w:num w:numId="40">
    <w:abstractNumId w:val="3"/>
  </w:num>
  <w:num w:numId="41">
    <w:abstractNumId w:val="16"/>
  </w:num>
  <w:num w:numId="42">
    <w:abstractNumId w:val="16"/>
  </w:num>
  <w:num w:numId="43">
    <w:abstractNumId w:val="16"/>
  </w:num>
  <w:num w:numId="44">
    <w:abstractNumId w:val="16"/>
  </w:num>
  <w:num w:numId="45">
    <w:abstractNumId w:val="17"/>
  </w:num>
  <w:num w:numId="46">
    <w:abstractNumId w:val="16"/>
  </w:num>
  <w:num w:numId="47">
    <w:abstractNumId w:val="16"/>
  </w:num>
  <w:num w:numId="48">
    <w:abstractNumId w:val="15"/>
  </w:num>
  <w:num w:numId="49">
    <w:abstractNumId w:val="14"/>
  </w:num>
  <w:num w:numId="5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eš Petr, Ing.">
    <w15:presenceInfo w15:providerId="None" w15:userId="Mareš Petr, 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6E"/>
    <w:rsid w:val="00000593"/>
    <w:rsid w:val="0001151F"/>
    <w:rsid w:val="00033CA5"/>
    <w:rsid w:val="00034A0E"/>
    <w:rsid w:val="000431AE"/>
    <w:rsid w:val="000455B9"/>
    <w:rsid w:val="00053D1F"/>
    <w:rsid w:val="0005742A"/>
    <w:rsid w:val="000700B0"/>
    <w:rsid w:val="0008244A"/>
    <w:rsid w:val="000A53EA"/>
    <w:rsid w:val="000B426B"/>
    <w:rsid w:val="000C3743"/>
    <w:rsid w:val="000E1C8D"/>
    <w:rsid w:val="000F200E"/>
    <w:rsid w:val="0010203F"/>
    <w:rsid w:val="00106DBF"/>
    <w:rsid w:val="00116F26"/>
    <w:rsid w:val="00116F90"/>
    <w:rsid w:val="00127826"/>
    <w:rsid w:val="001402FD"/>
    <w:rsid w:val="0014091F"/>
    <w:rsid w:val="001604CB"/>
    <w:rsid w:val="00163A7D"/>
    <w:rsid w:val="00164537"/>
    <w:rsid w:val="00170002"/>
    <w:rsid w:val="001874F6"/>
    <w:rsid w:val="001913CC"/>
    <w:rsid w:val="001A17BA"/>
    <w:rsid w:val="001A3665"/>
    <w:rsid w:val="001D7656"/>
    <w:rsid w:val="001D7718"/>
    <w:rsid w:val="001E0E81"/>
    <w:rsid w:val="001F29DC"/>
    <w:rsid w:val="001F7BE8"/>
    <w:rsid w:val="002068BF"/>
    <w:rsid w:val="00215014"/>
    <w:rsid w:val="00220CAC"/>
    <w:rsid w:val="002272E8"/>
    <w:rsid w:val="00227CEC"/>
    <w:rsid w:val="00231183"/>
    <w:rsid w:val="00231D6B"/>
    <w:rsid w:val="00234969"/>
    <w:rsid w:val="002640FD"/>
    <w:rsid w:val="00265C1F"/>
    <w:rsid w:val="00273A60"/>
    <w:rsid w:val="00292B67"/>
    <w:rsid w:val="00294CF2"/>
    <w:rsid w:val="002A16EF"/>
    <w:rsid w:val="002B62F2"/>
    <w:rsid w:val="002C59C4"/>
    <w:rsid w:val="002D2685"/>
    <w:rsid w:val="002D353D"/>
    <w:rsid w:val="002F05D0"/>
    <w:rsid w:val="00304D86"/>
    <w:rsid w:val="0030588A"/>
    <w:rsid w:val="00307AD1"/>
    <w:rsid w:val="00334C8D"/>
    <w:rsid w:val="00345B6C"/>
    <w:rsid w:val="003727EC"/>
    <w:rsid w:val="0037303F"/>
    <w:rsid w:val="0039656E"/>
    <w:rsid w:val="003B114D"/>
    <w:rsid w:val="003B2F03"/>
    <w:rsid w:val="003B577E"/>
    <w:rsid w:val="003C4A28"/>
    <w:rsid w:val="003C5468"/>
    <w:rsid w:val="003D3C74"/>
    <w:rsid w:val="003E138B"/>
    <w:rsid w:val="003E64BD"/>
    <w:rsid w:val="004026C9"/>
    <w:rsid w:val="00416327"/>
    <w:rsid w:val="00426F28"/>
    <w:rsid w:val="00464FC5"/>
    <w:rsid w:val="004677CB"/>
    <w:rsid w:val="00470A58"/>
    <w:rsid w:val="00471F12"/>
    <w:rsid w:val="004778B2"/>
    <w:rsid w:val="00480838"/>
    <w:rsid w:val="00481F18"/>
    <w:rsid w:val="00490A65"/>
    <w:rsid w:val="00494D00"/>
    <w:rsid w:val="004B333D"/>
    <w:rsid w:val="004C3A63"/>
    <w:rsid w:val="004D222F"/>
    <w:rsid w:val="004E64CE"/>
    <w:rsid w:val="00502830"/>
    <w:rsid w:val="00513522"/>
    <w:rsid w:val="0051719B"/>
    <w:rsid w:val="00521772"/>
    <w:rsid w:val="00530A60"/>
    <w:rsid w:val="005344A7"/>
    <w:rsid w:val="005563BE"/>
    <w:rsid w:val="00560879"/>
    <w:rsid w:val="00560ACB"/>
    <w:rsid w:val="00567890"/>
    <w:rsid w:val="0057492E"/>
    <w:rsid w:val="005757DF"/>
    <w:rsid w:val="005848F4"/>
    <w:rsid w:val="0058559B"/>
    <w:rsid w:val="00594B3B"/>
    <w:rsid w:val="00597FC5"/>
    <w:rsid w:val="005B4747"/>
    <w:rsid w:val="005B51B1"/>
    <w:rsid w:val="005B55AB"/>
    <w:rsid w:val="005D636E"/>
    <w:rsid w:val="005F2F4B"/>
    <w:rsid w:val="0061400A"/>
    <w:rsid w:val="006161E2"/>
    <w:rsid w:val="006257F8"/>
    <w:rsid w:val="00631EBF"/>
    <w:rsid w:val="006406DE"/>
    <w:rsid w:val="00660941"/>
    <w:rsid w:val="0066558D"/>
    <w:rsid w:val="006675B4"/>
    <w:rsid w:val="00670F61"/>
    <w:rsid w:val="006745C8"/>
    <w:rsid w:val="00676976"/>
    <w:rsid w:val="00683A6E"/>
    <w:rsid w:val="0069376B"/>
    <w:rsid w:val="00696A15"/>
    <w:rsid w:val="00697947"/>
    <w:rsid w:val="006A1D29"/>
    <w:rsid w:val="006C4B99"/>
    <w:rsid w:val="006D5C4E"/>
    <w:rsid w:val="006E136A"/>
    <w:rsid w:val="006E31F5"/>
    <w:rsid w:val="006E54B9"/>
    <w:rsid w:val="006E6A12"/>
    <w:rsid w:val="00741DA9"/>
    <w:rsid w:val="00743A5E"/>
    <w:rsid w:val="00761FEE"/>
    <w:rsid w:val="007712B3"/>
    <w:rsid w:val="0079224E"/>
    <w:rsid w:val="00792318"/>
    <w:rsid w:val="00795A22"/>
    <w:rsid w:val="007A0B2B"/>
    <w:rsid w:val="007C557D"/>
    <w:rsid w:val="007D3B26"/>
    <w:rsid w:val="007F553D"/>
    <w:rsid w:val="008140B6"/>
    <w:rsid w:val="00814EE9"/>
    <w:rsid w:val="00817511"/>
    <w:rsid w:val="00822BCA"/>
    <w:rsid w:val="00822CB2"/>
    <w:rsid w:val="008405FD"/>
    <w:rsid w:val="008805D1"/>
    <w:rsid w:val="008874D3"/>
    <w:rsid w:val="00887D46"/>
    <w:rsid w:val="008971C8"/>
    <w:rsid w:val="008B0E8E"/>
    <w:rsid w:val="008C0847"/>
    <w:rsid w:val="008C3C84"/>
    <w:rsid w:val="008D34F1"/>
    <w:rsid w:val="008E56C0"/>
    <w:rsid w:val="009031FA"/>
    <w:rsid w:val="00912DAF"/>
    <w:rsid w:val="0094403C"/>
    <w:rsid w:val="00971186"/>
    <w:rsid w:val="00976A59"/>
    <w:rsid w:val="00977DA9"/>
    <w:rsid w:val="009808BE"/>
    <w:rsid w:val="00986D84"/>
    <w:rsid w:val="009B77AC"/>
    <w:rsid w:val="009D138A"/>
    <w:rsid w:val="009F7576"/>
    <w:rsid w:val="00A047FF"/>
    <w:rsid w:val="00A0644E"/>
    <w:rsid w:val="00A06924"/>
    <w:rsid w:val="00A10D6D"/>
    <w:rsid w:val="00A13F22"/>
    <w:rsid w:val="00A202C3"/>
    <w:rsid w:val="00A368B1"/>
    <w:rsid w:val="00A373AA"/>
    <w:rsid w:val="00A406C2"/>
    <w:rsid w:val="00A4797C"/>
    <w:rsid w:val="00A51805"/>
    <w:rsid w:val="00A60FCD"/>
    <w:rsid w:val="00A62638"/>
    <w:rsid w:val="00A70EC5"/>
    <w:rsid w:val="00AB55A5"/>
    <w:rsid w:val="00AD0D25"/>
    <w:rsid w:val="00AD76C3"/>
    <w:rsid w:val="00AE22F5"/>
    <w:rsid w:val="00AE329D"/>
    <w:rsid w:val="00AF1710"/>
    <w:rsid w:val="00B04A98"/>
    <w:rsid w:val="00B2239B"/>
    <w:rsid w:val="00B3372A"/>
    <w:rsid w:val="00B431A4"/>
    <w:rsid w:val="00B617A7"/>
    <w:rsid w:val="00B631EA"/>
    <w:rsid w:val="00B76568"/>
    <w:rsid w:val="00B82405"/>
    <w:rsid w:val="00BA5659"/>
    <w:rsid w:val="00BC194A"/>
    <w:rsid w:val="00BD04AF"/>
    <w:rsid w:val="00BE041C"/>
    <w:rsid w:val="00BE6226"/>
    <w:rsid w:val="00BF35C5"/>
    <w:rsid w:val="00BF6A6B"/>
    <w:rsid w:val="00C02150"/>
    <w:rsid w:val="00C1030F"/>
    <w:rsid w:val="00C10A96"/>
    <w:rsid w:val="00C11988"/>
    <w:rsid w:val="00C14192"/>
    <w:rsid w:val="00C54082"/>
    <w:rsid w:val="00C547B0"/>
    <w:rsid w:val="00C67B06"/>
    <w:rsid w:val="00C72847"/>
    <w:rsid w:val="00C75D1D"/>
    <w:rsid w:val="00C81074"/>
    <w:rsid w:val="00C868A0"/>
    <w:rsid w:val="00C87C2B"/>
    <w:rsid w:val="00CA0FE1"/>
    <w:rsid w:val="00CB488E"/>
    <w:rsid w:val="00CF0810"/>
    <w:rsid w:val="00D05EF7"/>
    <w:rsid w:val="00D07C74"/>
    <w:rsid w:val="00D107DC"/>
    <w:rsid w:val="00D240E8"/>
    <w:rsid w:val="00D26FCB"/>
    <w:rsid w:val="00D2724D"/>
    <w:rsid w:val="00D27323"/>
    <w:rsid w:val="00D31616"/>
    <w:rsid w:val="00D41F04"/>
    <w:rsid w:val="00D42866"/>
    <w:rsid w:val="00D54A72"/>
    <w:rsid w:val="00D61EF6"/>
    <w:rsid w:val="00D8631B"/>
    <w:rsid w:val="00DA0700"/>
    <w:rsid w:val="00DB38EE"/>
    <w:rsid w:val="00DB7D10"/>
    <w:rsid w:val="00DC6642"/>
    <w:rsid w:val="00DE2D2B"/>
    <w:rsid w:val="00E016CE"/>
    <w:rsid w:val="00E03881"/>
    <w:rsid w:val="00E06B17"/>
    <w:rsid w:val="00E133B1"/>
    <w:rsid w:val="00E21402"/>
    <w:rsid w:val="00E23E79"/>
    <w:rsid w:val="00E2404B"/>
    <w:rsid w:val="00E4642C"/>
    <w:rsid w:val="00E663CF"/>
    <w:rsid w:val="00E70907"/>
    <w:rsid w:val="00E70949"/>
    <w:rsid w:val="00E868E8"/>
    <w:rsid w:val="00EB0374"/>
    <w:rsid w:val="00EB7535"/>
    <w:rsid w:val="00EC006C"/>
    <w:rsid w:val="00EC4E85"/>
    <w:rsid w:val="00EC6A89"/>
    <w:rsid w:val="00EC7831"/>
    <w:rsid w:val="00F016D1"/>
    <w:rsid w:val="00F01DD2"/>
    <w:rsid w:val="00F17F40"/>
    <w:rsid w:val="00F23D8E"/>
    <w:rsid w:val="00F34491"/>
    <w:rsid w:val="00F41043"/>
    <w:rsid w:val="00F54716"/>
    <w:rsid w:val="00F5611F"/>
    <w:rsid w:val="00F5769C"/>
    <w:rsid w:val="00F711A2"/>
    <w:rsid w:val="00F87121"/>
    <w:rsid w:val="00F9338D"/>
    <w:rsid w:val="00F93F03"/>
    <w:rsid w:val="00F94199"/>
    <w:rsid w:val="00FB47A4"/>
    <w:rsid w:val="00FC2D0C"/>
    <w:rsid w:val="00FD41F6"/>
    <w:rsid w:val="00FE1347"/>
    <w:rsid w:val="00FE1A61"/>
    <w:rsid w:val="00FE38F5"/>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Heading 2 - Nadpis 2. úrovně,PA Major Section,Podkapitola1,V_Head2,V_Head21,V_Head22,hlavicka,ASAPHeading 2,h2,F2,F21,2,sub-sect,21,sub-sect1,22,sub-sect2,211,sub-sect11,Běžného textu,Nadpis 2T,Nadpis kapitoly,0Überschrift 2,1Überschrift 2,T"/>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Heading 2 - Nadpis 2. úrovně Char,PA Major Section Char,Podkapitola1 Char,V_Head2 Char,V_Head21 Char,V_Head22 Char,hlavicka Char,ASAPHeading 2 Char,h2 Char,F2 Char,F21 Char,2 Char,sub-sect Char,21 Char,sub-sect1 Char,22 Char,sub-sect2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ind w:left="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ind w:left="1702"/>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Bezmezer1">
    <w:name w:val="Bez mezer1"/>
    <w:link w:val="NoSpacingChar"/>
    <w:rsid w:val="00C14192"/>
    <w:pPr>
      <w:spacing w:after="0" w:line="240" w:lineRule="auto"/>
    </w:pPr>
    <w:rPr>
      <w:rFonts w:ascii="Calibri" w:eastAsia="Calibri" w:hAnsi="Calibri" w:cs="Times New Roman"/>
      <w:sz w:val="22"/>
    </w:rPr>
  </w:style>
  <w:style w:type="character" w:customStyle="1" w:styleId="NoSpacingChar">
    <w:name w:val="No Spacing Char"/>
    <w:link w:val="Bezmezer1"/>
    <w:locked/>
    <w:rsid w:val="00C14192"/>
    <w:rPr>
      <w:rFonts w:ascii="Calibri" w:eastAsia="Calibri" w:hAnsi="Calibri" w:cs="Times New Roman"/>
      <w:sz w:val="22"/>
    </w:rPr>
  </w:style>
  <w:style w:type="paragraph" w:customStyle="1" w:styleId="Stylodstavecslovan">
    <w:name w:val="Styl odstavec číslovaný"/>
    <w:basedOn w:val="Nadpis2"/>
    <w:link w:val="StylodstavecslovanChar"/>
    <w:rsid w:val="009B77AC"/>
    <w:pPr>
      <w:keepNext w:val="0"/>
      <w:keepLines w:val="0"/>
      <w:tabs>
        <w:tab w:val="left" w:pos="539"/>
      </w:tabs>
      <w:autoSpaceDE w:val="0"/>
      <w:autoSpaceDN w:val="0"/>
      <w:adjustRightInd w:val="0"/>
      <w:spacing w:before="240" w:after="240" w:line="360" w:lineRule="auto"/>
      <w:ind w:left="714" w:hanging="357"/>
      <w:jc w:val="both"/>
    </w:pPr>
    <w:rPr>
      <w:rFonts w:ascii="Arial" w:eastAsia="Times New Roman" w:hAnsi="Arial" w:cstheme="minorHAnsi"/>
      <w:b w:val="0"/>
      <w:bCs w:val="0"/>
      <w:color w:val="auto"/>
      <w:kern w:val="32"/>
      <w:sz w:val="20"/>
      <w:szCs w:val="20"/>
      <w:lang w:eastAsia="cs-CZ"/>
    </w:rPr>
  </w:style>
  <w:style w:type="character" w:customStyle="1" w:styleId="StylodstavecslovanChar">
    <w:name w:val="Styl odstavec číslovaný Char"/>
    <w:link w:val="Stylodstavecslovan"/>
    <w:locked/>
    <w:rsid w:val="009B77AC"/>
    <w:rPr>
      <w:rFonts w:ascii="Arial" w:eastAsia="Times New Roman" w:hAnsi="Arial" w:cstheme="minorHAnsi"/>
      <w:kern w:val="32"/>
      <w:szCs w:val="20"/>
      <w:lang w:eastAsia="cs-CZ"/>
    </w:rPr>
  </w:style>
  <w:style w:type="paragraph" w:customStyle="1" w:styleId="5">
    <w:name w:val="5"/>
    <w:basedOn w:val="Normln"/>
    <w:autoRedefine/>
    <w:uiPriority w:val="99"/>
    <w:rsid w:val="009B77AC"/>
    <w:pPr>
      <w:tabs>
        <w:tab w:val="num" w:pos="432"/>
        <w:tab w:val="left" w:pos="539"/>
        <w:tab w:val="left" w:pos="900"/>
        <w:tab w:val="num" w:pos="1304"/>
        <w:tab w:val="num" w:pos="1440"/>
        <w:tab w:val="num" w:pos="2160"/>
        <w:tab w:val="num" w:pos="2509"/>
      </w:tabs>
      <w:spacing w:before="240" w:after="60" w:line="360" w:lineRule="auto"/>
      <w:ind w:left="2509" w:hanging="360"/>
      <w:jc w:val="both"/>
      <w:outlineLvl w:val="1"/>
    </w:pPr>
    <w:rPr>
      <w:rFonts w:ascii="Arial" w:eastAsia="Times New Roman" w:hAnsi="Arial" w:cstheme="minorHAnsi"/>
      <w:bCs/>
      <w:sz w:val="20"/>
      <w:lang w:eastAsia="cs-CZ"/>
    </w:rPr>
  </w:style>
  <w:style w:type="paragraph" w:customStyle="1" w:styleId="Odrka1-1">
    <w:name w:val="_Odrážka_1-1_•"/>
    <w:basedOn w:val="Normln"/>
    <w:qFormat/>
    <w:rsid w:val="00470A58"/>
    <w:pPr>
      <w:numPr>
        <w:numId w:val="49"/>
      </w:numPr>
      <w:spacing w:before="0" w:line="264" w:lineRule="auto"/>
      <w:jc w:val="both"/>
    </w:pPr>
    <w:rPr>
      <w:rFonts w:asciiTheme="minorHAnsi" w:hAnsiTheme="minorHAnsi"/>
      <w:szCs w:val="18"/>
    </w:rPr>
  </w:style>
  <w:style w:type="paragraph" w:customStyle="1" w:styleId="Odrka1-2-">
    <w:name w:val="_Odrážka_1-2_-"/>
    <w:basedOn w:val="Odrka1-1"/>
    <w:qFormat/>
    <w:rsid w:val="00470A58"/>
    <w:pPr>
      <w:numPr>
        <w:ilvl w:val="1"/>
      </w:numPr>
      <w:spacing w:after="60"/>
    </w:pPr>
  </w:style>
  <w:style w:type="paragraph" w:customStyle="1" w:styleId="Odrka1-3">
    <w:name w:val="_Odrážka_1-3_·"/>
    <w:basedOn w:val="Odrka1-2-"/>
    <w:qFormat/>
    <w:rsid w:val="00470A58"/>
    <w:pPr>
      <w:numPr>
        <w:ilvl w:val="2"/>
      </w:numPr>
    </w:pPr>
  </w:style>
  <w:style w:type="paragraph" w:customStyle="1" w:styleId="Textbezslovn">
    <w:name w:val="_Text_bez_číslování"/>
    <w:basedOn w:val="Normln"/>
    <w:link w:val="TextbezslovnChar"/>
    <w:qFormat/>
    <w:rsid w:val="00470A58"/>
    <w:pPr>
      <w:spacing w:before="0" w:line="264" w:lineRule="auto"/>
      <w:ind w:left="737"/>
      <w:jc w:val="both"/>
    </w:pPr>
    <w:rPr>
      <w:rFonts w:asciiTheme="minorHAnsi" w:hAnsiTheme="minorHAnsi"/>
      <w:szCs w:val="18"/>
    </w:rPr>
  </w:style>
  <w:style w:type="character" w:customStyle="1" w:styleId="TextbezslovnChar">
    <w:name w:val="_Text_bez_číslování Char"/>
    <w:basedOn w:val="Standardnpsmoodstavce"/>
    <w:link w:val="Textbezslovn"/>
    <w:rsid w:val="00470A58"/>
    <w:rPr>
      <w:rFonts w:asciiTheme="minorHAnsi" w:hAnsi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Heading 2 - Nadpis 2. úrovně,PA Major Section,Podkapitola1,V_Head2,V_Head21,V_Head22,hlavicka,ASAPHeading 2,h2,F2,F21,2,sub-sect,21,sub-sect1,22,sub-sect2,211,sub-sect11,Běžného textu,Nadpis 2T,Nadpis kapitoly,0Überschrift 2,1Überschrift 2,T"/>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Heading 2 - Nadpis 2. úrovně Char,PA Major Section Char,Podkapitola1 Char,V_Head2 Char,V_Head21 Char,V_Head22 Char,hlavicka Char,ASAPHeading 2 Char,h2 Char,F2 Char,F21 Char,2 Char,sub-sect Char,21 Char,sub-sect1 Char,22 Char,sub-sect2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ind w:left="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ind w:left="1702"/>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Bezmezer1">
    <w:name w:val="Bez mezer1"/>
    <w:link w:val="NoSpacingChar"/>
    <w:rsid w:val="00C14192"/>
    <w:pPr>
      <w:spacing w:after="0" w:line="240" w:lineRule="auto"/>
    </w:pPr>
    <w:rPr>
      <w:rFonts w:ascii="Calibri" w:eastAsia="Calibri" w:hAnsi="Calibri" w:cs="Times New Roman"/>
      <w:sz w:val="22"/>
    </w:rPr>
  </w:style>
  <w:style w:type="character" w:customStyle="1" w:styleId="NoSpacingChar">
    <w:name w:val="No Spacing Char"/>
    <w:link w:val="Bezmezer1"/>
    <w:locked/>
    <w:rsid w:val="00C14192"/>
    <w:rPr>
      <w:rFonts w:ascii="Calibri" w:eastAsia="Calibri" w:hAnsi="Calibri" w:cs="Times New Roman"/>
      <w:sz w:val="22"/>
    </w:rPr>
  </w:style>
  <w:style w:type="paragraph" w:customStyle="1" w:styleId="Stylodstavecslovan">
    <w:name w:val="Styl odstavec číslovaný"/>
    <w:basedOn w:val="Nadpis2"/>
    <w:link w:val="StylodstavecslovanChar"/>
    <w:rsid w:val="009B77AC"/>
    <w:pPr>
      <w:keepNext w:val="0"/>
      <w:keepLines w:val="0"/>
      <w:tabs>
        <w:tab w:val="left" w:pos="539"/>
      </w:tabs>
      <w:autoSpaceDE w:val="0"/>
      <w:autoSpaceDN w:val="0"/>
      <w:adjustRightInd w:val="0"/>
      <w:spacing w:before="240" w:after="240" w:line="360" w:lineRule="auto"/>
      <w:ind w:left="714" w:hanging="357"/>
      <w:jc w:val="both"/>
    </w:pPr>
    <w:rPr>
      <w:rFonts w:ascii="Arial" w:eastAsia="Times New Roman" w:hAnsi="Arial" w:cstheme="minorHAnsi"/>
      <w:b w:val="0"/>
      <w:bCs w:val="0"/>
      <w:color w:val="auto"/>
      <w:kern w:val="32"/>
      <w:sz w:val="20"/>
      <w:szCs w:val="20"/>
      <w:lang w:eastAsia="cs-CZ"/>
    </w:rPr>
  </w:style>
  <w:style w:type="character" w:customStyle="1" w:styleId="StylodstavecslovanChar">
    <w:name w:val="Styl odstavec číslovaný Char"/>
    <w:link w:val="Stylodstavecslovan"/>
    <w:locked/>
    <w:rsid w:val="009B77AC"/>
    <w:rPr>
      <w:rFonts w:ascii="Arial" w:eastAsia="Times New Roman" w:hAnsi="Arial" w:cstheme="minorHAnsi"/>
      <w:kern w:val="32"/>
      <w:szCs w:val="20"/>
      <w:lang w:eastAsia="cs-CZ"/>
    </w:rPr>
  </w:style>
  <w:style w:type="paragraph" w:customStyle="1" w:styleId="5">
    <w:name w:val="5"/>
    <w:basedOn w:val="Normln"/>
    <w:autoRedefine/>
    <w:uiPriority w:val="99"/>
    <w:rsid w:val="009B77AC"/>
    <w:pPr>
      <w:tabs>
        <w:tab w:val="num" w:pos="432"/>
        <w:tab w:val="left" w:pos="539"/>
        <w:tab w:val="left" w:pos="900"/>
        <w:tab w:val="num" w:pos="1304"/>
        <w:tab w:val="num" w:pos="1440"/>
        <w:tab w:val="num" w:pos="2160"/>
        <w:tab w:val="num" w:pos="2509"/>
      </w:tabs>
      <w:spacing w:before="240" w:after="60" w:line="360" w:lineRule="auto"/>
      <w:ind w:left="2509" w:hanging="360"/>
      <w:jc w:val="both"/>
      <w:outlineLvl w:val="1"/>
    </w:pPr>
    <w:rPr>
      <w:rFonts w:ascii="Arial" w:eastAsia="Times New Roman" w:hAnsi="Arial" w:cstheme="minorHAnsi"/>
      <w:bCs/>
      <w:sz w:val="20"/>
      <w:lang w:eastAsia="cs-CZ"/>
    </w:rPr>
  </w:style>
  <w:style w:type="paragraph" w:customStyle="1" w:styleId="Odrka1-1">
    <w:name w:val="_Odrážka_1-1_•"/>
    <w:basedOn w:val="Normln"/>
    <w:qFormat/>
    <w:rsid w:val="00470A58"/>
    <w:pPr>
      <w:numPr>
        <w:numId w:val="49"/>
      </w:numPr>
      <w:spacing w:before="0" w:line="264" w:lineRule="auto"/>
      <w:jc w:val="both"/>
    </w:pPr>
    <w:rPr>
      <w:rFonts w:asciiTheme="minorHAnsi" w:hAnsiTheme="minorHAnsi"/>
      <w:szCs w:val="18"/>
    </w:rPr>
  </w:style>
  <w:style w:type="paragraph" w:customStyle="1" w:styleId="Odrka1-2-">
    <w:name w:val="_Odrážka_1-2_-"/>
    <w:basedOn w:val="Odrka1-1"/>
    <w:qFormat/>
    <w:rsid w:val="00470A58"/>
    <w:pPr>
      <w:numPr>
        <w:ilvl w:val="1"/>
      </w:numPr>
      <w:spacing w:after="60"/>
    </w:pPr>
  </w:style>
  <w:style w:type="paragraph" w:customStyle="1" w:styleId="Odrka1-3">
    <w:name w:val="_Odrážka_1-3_·"/>
    <w:basedOn w:val="Odrka1-2-"/>
    <w:qFormat/>
    <w:rsid w:val="00470A58"/>
    <w:pPr>
      <w:numPr>
        <w:ilvl w:val="2"/>
      </w:numPr>
    </w:pPr>
  </w:style>
  <w:style w:type="paragraph" w:customStyle="1" w:styleId="Textbezslovn">
    <w:name w:val="_Text_bez_číslování"/>
    <w:basedOn w:val="Normln"/>
    <w:link w:val="TextbezslovnChar"/>
    <w:qFormat/>
    <w:rsid w:val="00470A58"/>
    <w:pPr>
      <w:spacing w:before="0" w:line="264" w:lineRule="auto"/>
      <w:ind w:left="737"/>
      <w:jc w:val="both"/>
    </w:pPr>
    <w:rPr>
      <w:rFonts w:asciiTheme="minorHAnsi" w:hAnsiTheme="minorHAnsi"/>
      <w:szCs w:val="18"/>
    </w:rPr>
  </w:style>
  <w:style w:type="character" w:customStyle="1" w:styleId="TextbezslovnChar">
    <w:name w:val="_Text_bez_číslování Char"/>
    <w:basedOn w:val="Standardnpsmoodstavce"/>
    <w:link w:val="Textbezslovn"/>
    <w:rsid w:val="00470A58"/>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gal-content/CS/TXT/?uri=uriserv%3AOJ.L_.2016.003.01.0016.01.%20CES" TargetMode="External"/><Relationship Id="rId18" Type="http://schemas.openxmlformats.org/officeDocument/2006/relationships/header" Target="header1.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fontTable" Target="fontTable.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
      <w:docPartPr>
        <w:name w:val="1F4E547E8C934A9281BD6BAA8D64E737"/>
        <w:category>
          <w:name w:val="Obecné"/>
          <w:gallery w:val="placeholder"/>
        </w:category>
        <w:types>
          <w:type w:val="bbPlcHdr"/>
        </w:types>
        <w:behaviors>
          <w:behavior w:val="content"/>
        </w:behaviors>
        <w:guid w:val="{D15519BC-2861-410A-98AE-748D280F1A35}"/>
      </w:docPartPr>
      <w:docPartBody>
        <w:p w:rsidR="006B76E0" w:rsidRDefault="006B76E0" w:rsidP="006B76E0">
          <w:pPr>
            <w:pStyle w:val="1F4E547E8C934A9281BD6BAA8D64E737"/>
          </w:pPr>
          <w:r w:rsidRPr="00AC3A26">
            <w:rPr>
              <w:rStyle w:val="Zstupntext"/>
            </w:rPr>
            <w:t>[Klíčová slova]</w:t>
          </w:r>
        </w:p>
      </w:docPartBody>
    </w:docPart>
    <w:docPart>
      <w:docPartPr>
        <w:name w:val="9DBAEB239FC9439DA079B4B0200830AC"/>
        <w:category>
          <w:name w:val="Obecné"/>
          <w:gallery w:val="placeholder"/>
        </w:category>
        <w:types>
          <w:type w:val="bbPlcHdr"/>
        </w:types>
        <w:behaviors>
          <w:behavior w:val="content"/>
        </w:behaviors>
        <w:guid w:val="{85596339-146B-4C4E-8B8B-68B5ACE28645}"/>
      </w:docPartPr>
      <w:docPartBody>
        <w:p w:rsidR="006B76E0" w:rsidRDefault="006B76E0" w:rsidP="006B76E0">
          <w:pPr>
            <w:pStyle w:val="9DBAEB239FC9439DA079B4B0200830AC"/>
          </w:pPr>
          <w:r w:rsidRPr="00AC3A26">
            <w:rPr>
              <w:rStyle w:val="Zstupntext"/>
            </w:rPr>
            <w:t>[Klíčová slova]</w:t>
          </w:r>
        </w:p>
      </w:docPartBody>
    </w:docPart>
    <w:docPart>
      <w:docPartPr>
        <w:name w:val="2ADA3ACEA0F141D6AA881F444BB10D82"/>
        <w:category>
          <w:name w:val="Obecné"/>
          <w:gallery w:val="placeholder"/>
        </w:category>
        <w:types>
          <w:type w:val="bbPlcHdr"/>
        </w:types>
        <w:behaviors>
          <w:behavior w:val="content"/>
        </w:behaviors>
        <w:guid w:val="{59F6289F-E58B-4885-BCFD-B84F3A7F1EA1}"/>
      </w:docPartPr>
      <w:docPartBody>
        <w:p w:rsidR="006B76E0" w:rsidRDefault="006B76E0" w:rsidP="006B76E0">
          <w:pPr>
            <w:pStyle w:val="2ADA3ACEA0F141D6AA881F444BB10D82"/>
          </w:pPr>
          <w:r w:rsidRPr="00AC3A26">
            <w:rPr>
              <w:rStyle w:val="Zstupntext"/>
            </w:rPr>
            <w:t>[Klíčová slova]</w:t>
          </w:r>
        </w:p>
      </w:docPartBody>
    </w:docPart>
    <w:docPart>
      <w:docPartPr>
        <w:name w:val="4E495977BF764CF69D971097999AA828"/>
        <w:category>
          <w:name w:val="Obecné"/>
          <w:gallery w:val="placeholder"/>
        </w:category>
        <w:types>
          <w:type w:val="bbPlcHdr"/>
        </w:types>
        <w:behaviors>
          <w:behavior w:val="content"/>
        </w:behaviors>
        <w:guid w:val="{863AEAD4-5960-4EBF-A00E-ED96442D1F08}"/>
      </w:docPartPr>
      <w:docPartBody>
        <w:p w:rsidR="006B76E0" w:rsidRDefault="006B76E0" w:rsidP="006B76E0">
          <w:pPr>
            <w:pStyle w:val="4E495977BF764CF69D971097999AA828"/>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573FA"/>
    <w:rsid w:val="000706EC"/>
    <w:rsid w:val="0008302D"/>
    <w:rsid w:val="00091189"/>
    <w:rsid w:val="00091236"/>
    <w:rsid w:val="000E2694"/>
    <w:rsid w:val="00100C3A"/>
    <w:rsid w:val="00113E9D"/>
    <w:rsid w:val="001654C2"/>
    <w:rsid w:val="00195615"/>
    <w:rsid w:val="001F3C89"/>
    <w:rsid w:val="00216DBD"/>
    <w:rsid w:val="002213B3"/>
    <w:rsid w:val="00245A38"/>
    <w:rsid w:val="002E24B1"/>
    <w:rsid w:val="002F66C4"/>
    <w:rsid w:val="0033164A"/>
    <w:rsid w:val="00421E05"/>
    <w:rsid w:val="004E05B3"/>
    <w:rsid w:val="00515EB6"/>
    <w:rsid w:val="005D5578"/>
    <w:rsid w:val="00606E07"/>
    <w:rsid w:val="006B1B1D"/>
    <w:rsid w:val="006B76E0"/>
    <w:rsid w:val="006E6AFD"/>
    <w:rsid w:val="007844DB"/>
    <w:rsid w:val="0078745C"/>
    <w:rsid w:val="008013B5"/>
    <w:rsid w:val="0086479E"/>
    <w:rsid w:val="0087605C"/>
    <w:rsid w:val="008762AC"/>
    <w:rsid w:val="0094046F"/>
    <w:rsid w:val="00993790"/>
    <w:rsid w:val="009B6661"/>
    <w:rsid w:val="009C2BAC"/>
    <w:rsid w:val="009C2C22"/>
    <w:rsid w:val="009D03D3"/>
    <w:rsid w:val="009F7466"/>
    <w:rsid w:val="00A365C3"/>
    <w:rsid w:val="00AA38D9"/>
    <w:rsid w:val="00AD6938"/>
    <w:rsid w:val="00C246C5"/>
    <w:rsid w:val="00C80D85"/>
    <w:rsid w:val="00D2669C"/>
    <w:rsid w:val="00D746B3"/>
    <w:rsid w:val="00DC2D54"/>
    <w:rsid w:val="00E07726"/>
    <w:rsid w:val="00E1009C"/>
    <w:rsid w:val="00E17A34"/>
    <w:rsid w:val="00E512AA"/>
    <w:rsid w:val="00E9590A"/>
    <w:rsid w:val="00F1204D"/>
    <w:rsid w:val="00F325C9"/>
    <w:rsid w:val="00F36C1B"/>
    <w:rsid w:val="00FA5FD6"/>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2.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3.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6EFCA8-A5EF-4A99-9C21-B80500FFC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22</Pages>
  <Words>7679</Words>
  <Characters>45310</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Šilerová Pavla, Mgr.</cp:lastModifiedBy>
  <cp:revision>6</cp:revision>
  <dcterms:created xsi:type="dcterms:W3CDTF">2021-10-19T08:38:00Z</dcterms:created>
  <dcterms:modified xsi:type="dcterms:W3CDTF">2021-10-19T10:46:00Z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