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ABF5" w14:textId="77777777" w:rsidR="00146372" w:rsidRPr="00D171F8" w:rsidRDefault="00D95DC5" w:rsidP="005933FB">
      <w:pPr>
        <w:rPr>
          <w:rFonts w:cs="Arial"/>
          <w:b/>
          <w:caps/>
          <w:color w:val="000000"/>
          <w:sz w:val="32"/>
        </w:rPr>
      </w:pPr>
      <w:r w:rsidRPr="00D171F8">
        <w:rPr>
          <w:rFonts w:cs="Arial"/>
          <w:b/>
          <w:caps/>
          <w:color w:val="000000"/>
          <w:sz w:val="32"/>
        </w:rPr>
        <w:t>OBSAH:</w:t>
      </w:r>
    </w:p>
    <w:p w14:paraId="56019910" w14:textId="77777777" w:rsidR="00146372" w:rsidRPr="00D171F8" w:rsidRDefault="00146372">
      <w:pPr>
        <w:ind w:left="1500"/>
        <w:jc w:val="both"/>
        <w:rPr>
          <w:rFonts w:cs="Arial"/>
          <w:b/>
          <w:caps/>
          <w:color w:val="000000"/>
          <w:sz w:val="32"/>
        </w:rPr>
      </w:pPr>
      <w:r w:rsidRPr="00D171F8">
        <w:rPr>
          <w:rFonts w:cs="Arial"/>
          <w:b/>
          <w:caps/>
          <w:color w:val="000000"/>
          <w:sz w:val="32"/>
        </w:rPr>
        <w:t xml:space="preserve">Technická zpráva </w:t>
      </w:r>
    </w:p>
    <w:p w14:paraId="1659EA75" w14:textId="77777777" w:rsidR="00146372" w:rsidRPr="00D171F8" w:rsidRDefault="00146372">
      <w:pPr>
        <w:ind w:left="1500"/>
        <w:jc w:val="both"/>
        <w:rPr>
          <w:rFonts w:cs="Arial"/>
          <w:b/>
          <w:color w:val="000000"/>
          <w:sz w:val="24"/>
        </w:rPr>
      </w:pPr>
    </w:p>
    <w:p w14:paraId="6891F428" w14:textId="1FE45700" w:rsidR="001A5EF3" w:rsidRDefault="00083F6F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171F8">
        <w:rPr>
          <w:noProof/>
          <w:color w:val="000000"/>
        </w:rPr>
        <w:fldChar w:fldCharType="begin"/>
      </w:r>
      <w:r w:rsidRPr="00D171F8">
        <w:rPr>
          <w:color w:val="000000"/>
        </w:rPr>
        <w:instrText xml:space="preserve"> TOC \o "1-3" \u </w:instrText>
      </w:r>
      <w:r w:rsidRPr="00D171F8">
        <w:rPr>
          <w:noProof/>
          <w:color w:val="000000"/>
        </w:rPr>
        <w:fldChar w:fldCharType="separate"/>
      </w:r>
      <w:r w:rsidR="001A5EF3" w:rsidRPr="00D037EA">
        <w:rPr>
          <w:rFonts w:cs="Arial"/>
          <w:noProof/>
        </w:rPr>
        <w:t>A.1</w:t>
      </w:r>
      <w:r w:rsidR="001A5EF3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1A5EF3" w:rsidRPr="00D037EA">
        <w:rPr>
          <w:rFonts w:cs="Arial"/>
          <w:noProof/>
        </w:rPr>
        <w:t>Všeobecně</w:t>
      </w:r>
      <w:r w:rsidR="001A5EF3">
        <w:rPr>
          <w:noProof/>
        </w:rPr>
        <w:tab/>
      </w:r>
      <w:r w:rsidR="001A5EF3">
        <w:rPr>
          <w:noProof/>
        </w:rPr>
        <w:fldChar w:fldCharType="begin"/>
      </w:r>
      <w:r w:rsidR="001A5EF3">
        <w:rPr>
          <w:noProof/>
        </w:rPr>
        <w:instrText xml:space="preserve"> PAGEREF _Toc84584097 \h </w:instrText>
      </w:r>
      <w:r w:rsidR="001A5EF3">
        <w:rPr>
          <w:noProof/>
        </w:rPr>
      </w:r>
      <w:r w:rsidR="001A5EF3">
        <w:rPr>
          <w:noProof/>
        </w:rPr>
        <w:fldChar w:fldCharType="separate"/>
      </w:r>
      <w:r w:rsidR="001A5EF3">
        <w:rPr>
          <w:noProof/>
        </w:rPr>
        <w:t>2</w:t>
      </w:r>
      <w:r w:rsidR="001A5EF3">
        <w:rPr>
          <w:noProof/>
        </w:rPr>
        <w:fldChar w:fldCharType="end"/>
      </w:r>
    </w:p>
    <w:p w14:paraId="42507F25" w14:textId="589DB252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Úvod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_Toc84584098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52A7567" w14:textId="7C407054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Množství odpadních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_Toc84584099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8E6A46B" w14:textId="72A37FB5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Dešťová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33E78F5" w14:textId="628C84B0" w:rsidR="001A5EF3" w:rsidRDefault="001A5EF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A.4.1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Retence dešťových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EB331E9" w14:textId="66098D0E" w:rsidR="001A5EF3" w:rsidRDefault="001A5EF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A.4.2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Výpočet retence dešťových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B8E887D" w14:textId="0998216E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Zkoušky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617233D" w14:textId="43779FBA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Požadavky SČVK a.s.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0AFB080" w14:textId="6FC36D45" w:rsidR="001A5EF3" w:rsidRDefault="001A5EF3">
      <w:pPr>
        <w:pStyle w:val="Obsah2"/>
        <w:tabs>
          <w:tab w:val="left" w:pos="880"/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037EA">
        <w:rPr>
          <w:rFonts w:cs="Arial"/>
          <w:noProof/>
        </w:rPr>
        <w:t>A.7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D037EA">
        <w:rPr>
          <w:rFonts w:cs="Arial"/>
          <w:noProof/>
        </w:rPr>
        <w:t>Poznámka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_Toc84584105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EB0E08E" w14:textId="4F131A6E" w:rsidR="00146372" w:rsidRPr="00D171F8" w:rsidRDefault="00083F6F" w:rsidP="00011F0B">
      <w:pPr>
        <w:tabs>
          <w:tab w:val="right" w:leader="dot" w:pos="8647"/>
        </w:tabs>
        <w:ind w:left="2130" w:firstLine="993"/>
        <w:jc w:val="both"/>
        <w:rPr>
          <w:rFonts w:cs="Arial"/>
          <w:b/>
          <w:color w:val="000000"/>
          <w:sz w:val="32"/>
        </w:rPr>
      </w:pPr>
      <w:r w:rsidRPr="00D171F8">
        <w:rPr>
          <w:rFonts w:cs="Arial"/>
          <w:b/>
          <w:color w:val="000000"/>
          <w:sz w:val="24"/>
          <w:szCs w:val="24"/>
        </w:rPr>
        <w:fldChar w:fldCharType="end"/>
      </w:r>
    </w:p>
    <w:p w14:paraId="02A37B49" w14:textId="77777777" w:rsidR="00146372" w:rsidRPr="00D171F8" w:rsidRDefault="00146372" w:rsidP="00054DF4">
      <w:pPr>
        <w:ind w:left="1701"/>
        <w:jc w:val="both"/>
        <w:rPr>
          <w:rFonts w:cs="Arial"/>
          <w:b/>
          <w:caps/>
          <w:color w:val="000000"/>
          <w:sz w:val="32"/>
        </w:rPr>
      </w:pPr>
      <w:r w:rsidRPr="00D171F8">
        <w:rPr>
          <w:rFonts w:cs="Arial"/>
          <w:b/>
          <w:caps/>
          <w:color w:val="000000"/>
          <w:sz w:val="32"/>
        </w:rPr>
        <w:t xml:space="preserve">Výkresová část </w:t>
      </w:r>
    </w:p>
    <w:p w14:paraId="54BD4EE0" w14:textId="77777777" w:rsidR="00146372" w:rsidRPr="00011F0B" w:rsidRDefault="00146372" w:rsidP="00054DF4">
      <w:pPr>
        <w:ind w:left="1701"/>
        <w:jc w:val="both"/>
        <w:rPr>
          <w:rFonts w:cs="Arial"/>
          <w:color w:val="000000"/>
          <w:sz w:val="16"/>
          <w:szCs w:val="16"/>
        </w:rPr>
      </w:pPr>
    </w:p>
    <w:p w14:paraId="7D87B96C" w14:textId="546BA835" w:rsidR="007D5BF1" w:rsidRPr="00F87E89" w:rsidRDefault="007D5BF1" w:rsidP="00E50BF1">
      <w:pPr>
        <w:numPr>
          <w:ilvl w:val="0"/>
          <w:numId w:val="1"/>
        </w:numPr>
        <w:ind w:left="142" w:firstLine="0"/>
        <w:jc w:val="both"/>
        <w:rPr>
          <w:rFonts w:cs="Arial"/>
          <w:sz w:val="22"/>
          <w:szCs w:val="22"/>
        </w:rPr>
      </w:pPr>
      <w:r w:rsidRPr="00F87E89">
        <w:rPr>
          <w:rFonts w:cs="Arial"/>
          <w:sz w:val="22"/>
          <w:szCs w:val="22"/>
        </w:rPr>
        <w:t xml:space="preserve">VÝKRES </w:t>
      </w:r>
      <w:r w:rsidR="00D126A6" w:rsidRPr="00F87E89">
        <w:rPr>
          <w:rFonts w:cs="Arial"/>
          <w:color w:val="000000"/>
          <w:sz w:val="22"/>
          <w:szCs w:val="22"/>
        </w:rPr>
        <w:t>–</w:t>
      </w:r>
      <w:r w:rsidR="00D126A6" w:rsidRPr="00F87E89">
        <w:rPr>
          <w:rFonts w:cs="Arial"/>
          <w:sz w:val="22"/>
          <w:szCs w:val="22"/>
        </w:rPr>
        <w:t xml:space="preserve"> E.1.6. 1.02 </w:t>
      </w:r>
      <w:r w:rsidRPr="00F87E89">
        <w:rPr>
          <w:rFonts w:cs="Arial"/>
          <w:sz w:val="22"/>
          <w:szCs w:val="22"/>
        </w:rPr>
        <w:t>– SITUACE</w:t>
      </w:r>
    </w:p>
    <w:p w14:paraId="5AE1511B" w14:textId="2349E542" w:rsidR="007D5BF1" w:rsidRPr="00F87E89" w:rsidRDefault="00870087" w:rsidP="00E50BF1">
      <w:pPr>
        <w:numPr>
          <w:ilvl w:val="0"/>
          <w:numId w:val="1"/>
        </w:numPr>
        <w:ind w:left="142" w:firstLine="0"/>
        <w:jc w:val="both"/>
        <w:rPr>
          <w:rFonts w:cs="Arial"/>
          <w:sz w:val="22"/>
          <w:szCs w:val="22"/>
        </w:rPr>
      </w:pPr>
      <w:r w:rsidRPr="00F87E89">
        <w:rPr>
          <w:rFonts w:cs="Arial"/>
          <w:sz w:val="22"/>
          <w:szCs w:val="22"/>
        </w:rPr>
        <w:t xml:space="preserve">VÝKRES </w:t>
      </w:r>
      <w:r w:rsidRPr="00F87E89">
        <w:rPr>
          <w:rFonts w:cs="Arial"/>
          <w:color w:val="000000"/>
          <w:sz w:val="22"/>
          <w:szCs w:val="22"/>
        </w:rPr>
        <w:t>–</w:t>
      </w:r>
      <w:r w:rsidRPr="00F87E89">
        <w:rPr>
          <w:rFonts w:cs="Arial"/>
          <w:sz w:val="22"/>
          <w:szCs w:val="22"/>
        </w:rPr>
        <w:t xml:space="preserve"> E.1.6. 1.03 – DEŠŤOVÁ </w:t>
      </w:r>
      <w:r w:rsidRPr="00F87E89">
        <w:rPr>
          <w:rFonts w:cs="Arial"/>
          <w:color w:val="000000"/>
          <w:sz w:val="22"/>
          <w:szCs w:val="22"/>
        </w:rPr>
        <w:t>KANALIZACE – PŮDORYS</w:t>
      </w:r>
    </w:p>
    <w:p w14:paraId="059B15CD" w14:textId="3817D58A" w:rsidR="00411C01" w:rsidRPr="00F87E89" w:rsidRDefault="00870087" w:rsidP="00E50BF1">
      <w:pPr>
        <w:numPr>
          <w:ilvl w:val="0"/>
          <w:numId w:val="1"/>
        </w:numPr>
        <w:ind w:left="142" w:firstLine="0"/>
        <w:jc w:val="both"/>
        <w:rPr>
          <w:rFonts w:cs="Arial"/>
          <w:sz w:val="22"/>
          <w:szCs w:val="22"/>
        </w:rPr>
      </w:pPr>
      <w:r w:rsidRPr="00F87E89">
        <w:rPr>
          <w:rFonts w:cs="Arial"/>
          <w:sz w:val="22"/>
          <w:szCs w:val="22"/>
        </w:rPr>
        <w:t xml:space="preserve">VÝKRES </w:t>
      </w:r>
      <w:r w:rsidRPr="00F87E89">
        <w:rPr>
          <w:rFonts w:cs="Arial"/>
          <w:color w:val="000000"/>
          <w:sz w:val="22"/>
          <w:szCs w:val="22"/>
        </w:rPr>
        <w:t xml:space="preserve">– </w:t>
      </w:r>
      <w:r w:rsidRPr="00F87E89">
        <w:rPr>
          <w:rFonts w:cs="Arial"/>
          <w:sz w:val="22"/>
          <w:szCs w:val="22"/>
        </w:rPr>
        <w:t xml:space="preserve">E.1.6. 1.04 – DEŠŤOVÁ </w:t>
      </w:r>
      <w:r w:rsidRPr="00F87E89">
        <w:rPr>
          <w:rFonts w:cs="Arial"/>
          <w:color w:val="000000"/>
          <w:sz w:val="22"/>
          <w:szCs w:val="22"/>
        </w:rPr>
        <w:t>KANALIZACE – ŘEZY – VÝCHOD</w:t>
      </w:r>
    </w:p>
    <w:p w14:paraId="39D0D131" w14:textId="5D338B65" w:rsidR="00D126A6" w:rsidRDefault="00870087" w:rsidP="00E50BF1">
      <w:pPr>
        <w:numPr>
          <w:ilvl w:val="0"/>
          <w:numId w:val="1"/>
        </w:numPr>
        <w:ind w:left="142" w:firstLine="0"/>
        <w:jc w:val="both"/>
        <w:rPr>
          <w:rFonts w:cs="Arial"/>
          <w:color w:val="000000"/>
          <w:sz w:val="22"/>
          <w:szCs w:val="22"/>
        </w:rPr>
      </w:pPr>
      <w:r w:rsidRPr="00F87E89">
        <w:rPr>
          <w:rFonts w:cs="Arial"/>
          <w:sz w:val="22"/>
          <w:szCs w:val="22"/>
        </w:rPr>
        <w:t xml:space="preserve">VÝKRES </w:t>
      </w:r>
      <w:r w:rsidRPr="00F87E89">
        <w:rPr>
          <w:rFonts w:cs="Arial"/>
          <w:color w:val="000000"/>
          <w:sz w:val="22"/>
          <w:szCs w:val="22"/>
        </w:rPr>
        <w:t>–</w:t>
      </w:r>
      <w:r w:rsidRPr="00F87E89">
        <w:rPr>
          <w:rFonts w:cs="Arial"/>
          <w:sz w:val="22"/>
          <w:szCs w:val="22"/>
        </w:rPr>
        <w:t xml:space="preserve"> E.1.6. 1.05 – DEŠŤOVÁ </w:t>
      </w:r>
      <w:r w:rsidRPr="00F87E89">
        <w:rPr>
          <w:rFonts w:cs="Arial"/>
          <w:color w:val="000000"/>
          <w:sz w:val="22"/>
          <w:szCs w:val="22"/>
        </w:rPr>
        <w:t>KANALIZACE – ŘEZY – ZÁPAD</w:t>
      </w:r>
    </w:p>
    <w:p w14:paraId="5296C279" w14:textId="3C030015" w:rsidR="00D6312B" w:rsidRDefault="00F87E89" w:rsidP="00F87E89">
      <w:pPr>
        <w:numPr>
          <w:ilvl w:val="0"/>
          <w:numId w:val="1"/>
        </w:numPr>
        <w:ind w:left="142" w:firstLine="0"/>
        <w:jc w:val="both"/>
        <w:rPr>
          <w:rFonts w:cs="Arial"/>
          <w:sz w:val="22"/>
          <w:szCs w:val="22"/>
        </w:rPr>
      </w:pPr>
      <w:r w:rsidRPr="00F87E89">
        <w:rPr>
          <w:rFonts w:cs="Arial"/>
          <w:sz w:val="22"/>
          <w:szCs w:val="22"/>
        </w:rPr>
        <w:t xml:space="preserve">VÝKRES – E.1.6. </w:t>
      </w:r>
      <w:r>
        <w:rPr>
          <w:rFonts w:cs="Arial"/>
          <w:sz w:val="22"/>
          <w:szCs w:val="22"/>
        </w:rPr>
        <w:t>1</w:t>
      </w:r>
      <w:r w:rsidRPr="00F87E89">
        <w:rPr>
          <w:rFonts w:cs="Arial"/>
          <w:sz w:val="22"/>
          <w:szCs w:val="22"/>
        </w:rPr>
        <w:t xml:space="preserve">.06 – DEŠŤOVÁ </w:t>
      </w:r>
      <w:r w:rsidRPr="00F87E89">
        <w:rPr>
          <w:rFonts w:cs="Arial"/>
          <w:color w:val="000000"/>
          <w:sz w:val="22"/>
          <w:szCs w:val="22"/>
        </w:rPr>
        <w:t>KANALIZACE</w:t>
      </w:r>
      <w:r>
        <w:rPr>
          <w:rFonts w:cs="Arial"/>
          <w:color w:val="000000"/>
          <w:sz w:val="22"/>
          <w:szCs w:val="22"/>
        </w:rPr>
        <w:t xml:space="preserve"> </w:t>
      </w:r>
      <w:r w:rsidRPr="00F87E89">
        <w:rPr>
          <w:rFonts w:cs="Arial"/>
          <w:sz w:val="22"/>
          <w:szCs w:val="22"/>
        </w:rPr>
        <w:t>– VZOROVÝ PŘÍČNÝ ŘEZ</w:t>
      </w:r>
    </w:p>
    <w:p w14:paraId="20717785" w14:textId="271799C4" w:rsidR="00F87E89" w:rsidRPr="00F87E89" w:rsidRDefault="00D6312B" w:rsidP="00D6312B">
      <w:pPr>
        <w:overflowPunct/>
        <w:autoSpaceDE/>
        <w:autoSpaceDN/>
        <w:adjustRightInd/>
        <w:textAlignment w:val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759A5A7" w14:textId="77777777" w:rsidR="00146372" w:rsidRPr="00D171F8" w:rsidRDefault="00146372" w:rsidP="000C2B7E">
      <w:pPr>
        <w:pStyle w:val="Nadpis2"/>
        <w:rPr>
          <w:rFonts w:cs="Arial"/>
        </w:rPr>
      </w:pPr>
      <w:bookmarkStart w:id="0" w:name="_Toc84584097"/>
      <w:r w:rsidRPr="00D171F8">
        <w:rPr>
          <w:rFonts w:cs="Arial"/>
        </w:rPr>
        <w:lastRenderedPageBreak/>
        <w:t>Všeobecně</w:t>
      </w:r>
      <w:bookmarkEnd w:id="0"/>
    </w:p>
    <w:p w14:paraId="7534EA01" w14:textId="01459CE4" w:rsidR="00146372" w:rsidRPr="00D171F8" w:rsidRDefault="002944E1" w:rsidP="00C70740">
      <w:pPr>
        <w:numPr>
          <w:ilvl w:val="12"/>
          <w:numId w:val="0"/>
        </w:numPr>
        <w:jc w:val="both"/>
        <w:rPr>
          <w:rFonts w:cs="Arial"/>
          <w:color w:val="000000"/>
        </w:rPr>
      </w:pPr>
      <w:r w:rsidRPr="00D171F8">
        <w:rPr>
          <w:rFonts w:cs="Arial"/>
          <w:color w:val="000000"/>
        </w:rPr>
        <w:t>Dokumentace pro provádění stavby</w:t>
      </w:r>
      <w:r w:rsidR="006B21A4">
        <w:rPr>
          <w:rFonts w:cs="Arial"/>
          <w:color w:val="000000"/>
        </w:rPr>
        <w:t xml:space="preserve"> </w:t>
      </w:r>
      <w:r w:rsidRPr="00D171F8">
        <w:rPr>
          <w:rFonts w:cs="Arial"/>
          <w:color w:val="000000"/>
        </w:rPr>
        <w:t xml:space="preserve">řeší </w:t>
      </w:r>
      <w:r w:rsidR="00146372" w:rsidRPr="00D171F8">
        <w:rPr>
          <w:rFonts w:cs="Arial"/>
          <w:color w:val="000000"/>
        </w:rPr>
        <w:t xml:space="preserve">odvod </w:t>
      </w:r>
      <w:r w:rsidR="00C70740">
        <w:rPr>
          <w:rFonts w:cs="Arial"/>
          <w:color w:val="000000"/>
        </w:rPr>
        <w:t xml:space="preserve">dešťových vod z cca poloviny střech </w:t>
      </w:r>
      <w:r w:rsidR="0023360C">
        <w:rPr>
          <w:rFonts w:cs="Arial"/>
          <w:color w:val="000000"/>
        </w:rPr>
        <w:t xml:space="preserve">(severní část) </w:t>
      </w:r>
      <w:r w:rsidR="00C70740">
        <w:rPr>
          <w:rFonts w:cs="Arial"/>
          <w:color w:val="000000"/>
        </w:rPr>
        <w:t xml:space="preserve">rekonstruované výpravní budovy </w:t>
      </w:r>
      <w:r w:rsidR="00C70740" w:rsidRPr="00C70740">
        <w:rPr>
          <w:rFonts w:cs="Arial"/>
          <w:color w:val="000000"/>
        </w:rPr>
        <w:t>ŽST Teplice v</w:t>
      </w:r>
      <w:r w:rsidR="0023360C">
        <w:rPr>
          <w:rFonts w:cs="Arial"/>
          <w:color w:val="000000"/>
        </w:rPr>
        <w:t> </w:t>
      </w:r>
      <w:r w:rsidR="00C70740" w:rsidRPr="00C70740">
        <w:rPr>
          <w:rFonts w:cs="Arial"/>
          <w:color w:val="000000"/>
        </w:rPr>
        <w:t>Čechách</w:t>
      </w:r>
      <w:r w:rsidR="0023360C">
        <w:rPr>
          <w:rFonts w:cs="Arial"/>
          <w:color w:val="000000"/>
        </w:rPr>
        <w:t>.</w:t>
      </w:r>
    </w:p>
    <w:p w14:paraId="0A022F9D" w14:textId="7B65E815" w:rsidR="00146372" w:rsidRPr="00C70740" w:rsidRDefault="00C70740" w:rsidP="00EE36BF">
      <w:pPr>
        <w:numPr>
          <w:ilvl w:val="12"/>
          <w:numId w:val="0"/>
        </w:numPr>
        <w:jc w:val="both"/>
        <w:rPr>
          <w:rFonts w:cs="Arial"/>
        </w:rPr>
      </w:pPr>
      <w:r>
        <w:rPr>
          <w:rFonts w:cs="Arial"/>
          <w:color w:val="000000"/>
        </w:rPr>
        <w:t xml:space="preserve">Rekonstruovaný objekt </w:t>
      </w:r>
      <w:r w:rsidR="00AA3873" w:rsidRPr="00D171F8">
        <w:rPr>
          <w:rFonts w:cs="Arial"/>
          <w:color w:val="000000"/>
        </w:rPr>
        <w:t xml:space="preserve">bude </w:t>
      </w:r>
      <w:r w:rsidR="00146372" w:rsidRPr="00D171F8">
        <w:rPr>
          <w:rFonts w:cs="Arial"/>
          <w:color w:val="000000"/>
        </w:rPr>
        <w:t xml:space="preserve">napojen na veřejnou síť gravitační </w:t>
      </w:r>
      <w:r>
        <w:rPr>
          <w:rFonts w:cs="Arial"/>
          <w:color w:val="000000"/>
        </w:rPr>
        <w:t xml:space="preserve">dešťové </w:t>
      </w:r>
      <w:r w:rsidR="00146372" w:rsidRPr="00D171F8">
        <w:rPr>
          <w:rFonts w:cs="Arial"/>
          <w:color w:val="000000"/>
        </w:rPr>
        <w:t xml:space="preserve">kanalizace a </w:t>
      </w:r>
      <w:r w:rsidR="00AA3873" w:rsidRPr="00D171F8">
        <w:rPr>
          <w:rFonts w:cs="Arial"/>
          <w:color w:val="000000"/>
        </w:rPr>
        <w:t>bude mít</w:t>
      </w:r>
      <w:r w:rsidR="00146372" w:rsidRPr="00D171F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dvě (západní </w:t>
      </w:r>
      <w:r w:rsidRPr="00C70740">
        <w:rPr>
          <w:rFonts w:cs="Arial"/>
          <w:color w:val="000000"/>
        </w:rPr>
        <w:t xml:space="preserve">a východní) </w:t>
      </w:r>
      <w:r w:rsidR="00146372" w:rsidRPr="00C70740">
        <w:rPr>
          <w:rFonts w:cs="Arial"/>
          <w:color w:val="000000"/>
        </w:rPr>
        <w:t xml:space="preserve">vlastní </w:t>
      </w:r>
      <w:r w:rsidR="00B04F71">
        <w:rPr>
          <w:rFonts w:cs="Arial"/>
          <w:color w:val="000000"/>
        </w:rPr>
        <w:t xml:space="preserve">nové </w:t>
      </w:r>
      <w:r w:rsidR="00146372" w:rsidRPr="00C70740">
        <w:rPr>
          <w:rFonts w:cs="Arial"/>
          <w:color w:val="000000"/>
        </w:rPr>
        <w:t>přípojk</w:t>
      </w:r>
      <w:r w:rsidRPr="00C70740">
        <w:rPr>
          <w:rFonts w:cs="Arial"/>
          <w:color w:val="000000"/>
        </w:rPr>
        <w:t xml:space="preserve">y dešťové </w:t>
      </w:r>
      <w:r w:rsidR="00146372" w:rsidRPr="00C70740">
        <w:rPr>
          <w:rFonts w:cs="Arial"/>
          <w:color w:val="000000"/>
        </w:rPr>
        <w:t>kanalizace</w:t>
      </w:r>
      <w:r w:rsidR="00146372" w:rsidRPr="00C70740">
        <w:rPr>
          <w:rFonts w:cs="Arial"/>
        </w:rPr>
        <w:t xml:space="preserve">. Dešťová voda ze střech </w:t>
      </w:r>
      <w:r w:rsidR="00AA3873" w:rsidRPr="00C70740">
        <w:rPr>
          <w:rFonts w:cs="Arial"/>
        </w:rPr>
        <w:t xml:space="preserve">bude </w:t>
      </w:r>
      <w:r w:rsidR="00146372" w:rsidRPr="00C70740">
        <w:rPr>
          <w:rFonts w:cs="Arial"/>
        </w:rPr>
        <w:t>svedena svislými dešťovými svody.</w:t>
      </w:r>
    </w:p>
    <w:p w14:paraId="10E94845" w14:textId="77777777" w:rsidR="00146372" w:rsidRPr="00C70740" w:rsidRDefault="00146372" w:rsidP="00EE36BF">
      <w:pPr>
        <w:numPr>
          <w:ilvl w:val="12"/>
          <w:numId w:val="0"/>
        </w:numPr>
        <w:jc w:val="both"/>
        <w:rPr>
          <w:rFonts w:cs="Arial"/>
        </w:rPr>
      </w:pPr>
      <w:r w:rsidRPr="00C70740">
        <w:rPr>
          <w:rFonts w:cs="Arial"/>
        </w:rPr>
        <w:t xml:space="preserve">Projekt byl zpracován na základě stavebních podkladů (stavební výkresy M </w:t>
      </w:r>
      <w:r w:rsidR="00D95DC5" w:rsidRPr="00C70740">
        <w:rPr>
          <w:rFonts w:cs="Arial"/>
        </w:rPr>
        <w:t>1:50) a na</w:t>
      </w:r>
      <w:r w:rsidRPr="00C70740">
        <w:rPr>
          <w:rFonts w:cs="Arial"/>
        </w:rPr>
        <w:t xml:space="preserve"> základě konzultací s investorem a projektantem.</w:t>
      </w:r>
    </w:p>
    <w:p w14:paraId="60863550" w14:textId="77777777" w:rsidR="003C1360" w:rsidRPr="00C70740" w:rsidRDefault="003C1360" w:rsidP="003C1360">
      <w:pPr>
        <w:pStyle w:val="Zkladntext27"/>
        <w:rPr>
          <w:rFonts w:cs="Arial"/>
          <w:sz w:val="20"/>
        </w:rPr>
      </w:pPr>
      <w:r w:rsidRPr="00C70740">
        <w:rPr>
          <w:rFonts w:cs="Arial"/>
          <w:sz w:val="20"/>
        </w:rPr>
        <w:t>Navržené vnitřní rozvody budou napojeny na venkovní kanalizační řad.</w:t>
      </w:r>
    </w:p>
    <w:p w14:paraId="17B82B63" w14:textId="77777777" w:rsidR="003C1360" w:rsidRPr="00C70740" w:rsidRDefault="003C1360" w:rsidP="003C1360">
      <w:pPr>
        <w:pStyle w:val="Zhlav"/>
        <w:tabs>
          <w:tab w:val="clear" w:pos="4536"/>
          <w:tab w:val="clear" w:pos="9072"/>
        </w:tabs>
        <w:rPr>
          <w:rFonts w:cs="Arial"/>
        </w:rPr>
      </w:pPr>
      <w:r w:rsidRPr="00C70740">
        <w:rPr>
          <w:rFonts w:cs="Arial"/>
        </w:rPr>
        <w:t>Projekt byl zpracován na základě následujících podkladů:</w:t>
      </w:r>
    </w:p>
    <w:p w14:paraId="0F6528F8" w14:textId="77777777" w:rsidR="003C1360" w:rsidRPr="00C70740" w:rsidRDefault="003C1360" w:rsidP="003C1360">
      <w:pPr>
        <w:pStyle w:val="Odstavecseseznamem"/>
        <w:numPr>
          <w:ilvl w:val="0"/>
          <w:numId w:val="30"/>
        </w:numPr>
        <w:jc w:val="left"/>
        <w:rPr>
          <w:rFonts w:ascii="Arial" w:hAnsi="Arial" w:cs="Arial"/>
        </w:rPr>
      </w:pPr>
      <w:r w:rsidRPr="00C70740">
        <w:rPr>
          <w:rFonts w:ascii="Arial" w:hAnsi="Arial" w:cs="Arial"/>
        </w:rPr>
        <w:t>Stavební a architektonické podklady budovy předané zpracovatelem stavební části</w:t>
      </w:r>
    </w:p>
    <w:p w14:paraId="36E167D1" w14:textId="77777777" w:rsidR="003C1360" w:rsidRPr="00C70740" w:rsidRDefault="003C1360" w:rsidP="003C1360">
      <w:pPr>
        <w:pStyle w:val="Odstavecseseznamem"/>
        <w:numPr>
          <w:ilvl w:val="0"/>
          <w:numId w:val="30"/>
        </w:numPr>
        <w:jc w:val="left"/>
        <w:rPr>
          <w:rFonts w:ascii="Arial" w:hAnsi="Arial" w:cs="Arial"/>
        </w:rPr>
      </w:pPr>
      <w:r w:rsidRPr="00C70740">
        <w:rPr>
          <w:rFonts w:ascii="Arial" w:hAnsi="Arial" w:cs="Arial"/>
        </w:rPr>
        <w:t>Konzultace s dalšími profesemi</w:t>
      </w:r>
    </w:p>
    <w:p w14:paraId="00589FD6" w14:textId="77777777" w:rsidR="003C1360" w:rsidRPr="00C70740" w:rsidRDefault="003C1360" w:rsidP="003C1360">
      <w:pPr>
        <w:pStyle w:val="Odstavecseseznamem"/>
        <w:numPr>
          <w:ilvl w:val="0"/>
          <w:numId w:val="30"/>
        </w:numPr>
        <w:jc w:val="left"/>
        <w:rPr>
          <w:rFonts w:ascii="Arial" w:hAnsi="Arial" w:cs="Arial"/>
        </w:rPr>
      </w:pPr>
      <w:r w:rsidRPr="00C70740">
        <w:rPr>
          <w:rFonts w:ascii="Arial" w:hAnsi="Arial" w:cs="Arial"/>
        </w:rPr>
        <w:t>Požadavky investora</w:t>
      </w:r>
    </w:p>
    <w:p w14:paraId="62F87F3A" w14:textId="77777777" w:rsidR="003C1360" w:rsidRPr="00C70740" w:rsidRDefault="003C1360" w:rsidP="003C1360">
      <w:pPr>
        <w:pStyle w:val="Odstavecseseznamem"/>
        <w:numPr>
          <w:ilvl w:val="0"/>
          <w:numId w:val="30"/>
        </w:numPr>
        <w:jc w:val="left"/>
        <w:rPr>
          <w:rFonts w:ascii="Arial" w:hAnsi="Arial" w:cs="Arial"/>
        </w:rPr>
      </w:pPr>
      <w:r w:rsidRPr="00C70740">
        <w:rPr>
          <w:rFonts w:ascii="Arial" w:hAnsi="Arial" w:cs="Arial"/>
        </w:rPr>
        <w:t>Použité normy a související legislativa, které je při realizaci nutné dodržet:</w:t>
      </w:r>
    </w:p>
    <w:p w14:paraId="7235AD89" w14:textId="5D4B8AF9" w:rsidR="009F78BB" w:rsidRPr="00C70740" w:rsidRDefault="009F78BB" w:rsidP="009F78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</w:rPr>
      </w:pPr>
      <w:r w:rsidRPr="00C70740">
        <w:rPr>
          <w:rFonts w:ascii="Arial" w:hAnsi="Arial" w:cs="Arial"/>
        </w:rPr>
        <w:t xml:space="preserve">ČSN 01 3450: 2006 Technické </w:t>
      </w:r>
      <w:r w:rsidR="00B62F09" w:rsidRPr="00C70740">
        <w:rPr>
          <w:rFonts w:ascii="Arial" w:hAnsi="Arial" w:cs="Arial"/>
        </w:rPr>
        <w:t>výkresy – Instalace</w:t>
      </w:r>
      <w:r w:rsidRPr="00C70740">
        <w:rPr>
          <w:rFonts w:ascii="Arial" w:hAnsi="Arial" w:cs="Arial"/>
        </w:rPr>
        <w:t xml:space="preserve"> – Zdravotnětechnické a plynovodní instalace</w:t>
      </w:r>
    </w:p>
    <w:p w14:paraId="104F445A" w14:textId="77777777" w:rsidR="00A71FBB" w:rsidRPr="00C70740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</w:rPr>
      </w:pPr>
      <w:r w:rsidRPr="00C70740">
        <w:rPr>
          <w:rFonts w:ascii="Arial" w:hAnsi="Arial" w:cs="Arial"/>
        </w:rPr>
        <w:t>ČSN 73 6005: 1994 Prostorové uspořádání sítí technického vybavení</w:t>
      </w:r>
    </w:p>
    <w:p w14:paraId="4BFDF39B" w14:textId="77777777" w:rsidR="00A71FBB" w:rsidRPr="00C70740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</w:rPr>
      </w:pPr>
      <w:r w:rsidRPr="00C70740">
        <w:rPr>
          <w:rFonts w:ascii="Arial" w:hAnsi="Arial" w:cs="Arial"/>
        </w:rPr>
        <w:t>ČSN 75 0905: 2014 Zkoušky vodotěsnosti vodárenských a kanalizačních nadrží</w:t>
      </w:r>
    </w:p>
    <w:p w14:paraId="471E64E6" w14:textId="77777777" w:rsidR="00A71FBB" w:rsidRPr="00C70740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</w:rPr>
      </w:pPr>
      <w:r w:rsidRPr="00C70740">
        <w:rPr>
          <w:rFonts w:ascii="Arial" w:hAnsi="Arial" w:cs="Arial"/>
        </w:rPr>
        <w:t>ČSN 75 6101: 2012 Stokové sítě a kanalizační přípojky</w:t>
      </w:r>
    </w:p>
    <w:p w14:paraId="0693903C" w14:textId="77777777" w:rsidR="00A71FBB" w:rsidRPr="00C70740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</w:rPr>
      </w:pPr>
      <w:r w:rsidRPr="00C70740">
        <w:rPr>
          <w:rFonts w:ascii="Arial" w:hAnsi="Arial" w:cs="Arial"/>
        </w:rPr>
        <w:t>ČSN 75 6760: 2014 Vnitřní kanalizace</w:t>
      </w:r>
    </w:p>
    <w:p w14:paraId="36959EA7" w14:textId="77777777" w:rsidR="00A71FBB" w:rsidRPr="00D171F8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  <w:color w:val="000000"/>
        </w:rPr>
      </w:pPr>
      <w:r w:rsidRPr="00D171F8">
        <w:rPr>
          <w:rFonts w:ascii="Arial" w:hAnsi="Arial" w:cs="Arial"/>
          <w:color w:val="000000"/>
        </w:rPr>
        <w:t>ČSN 75 6909: 2004 Zkoušky vodotěsnosti stok a kanalizačních přípojek</w:t>
      </w:r>
    </w:p>
    <w:p w14:paraId="24F43F77" w14:textId="77777777" w:rsidR="00A71FBB" w:rsidRPr="00D171F8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  <w:color w:val="000000"/>
        </w:rPr>
      </w:pPr>
      <w:r w:rsidRPr="00D171F8">
        <w:rPr>
          <w:rFonts w:ascii="Arial" w:hAnsi="Arial" w:cs="Arial"/>
          <w:color w:val="000000"/>
        </w:rPr>
        <w:t>ČSN EN 476 (75 6301): 2011 Všeobecné požadavky na stavební dílce stok a přípojek gravitačních systémů</w:t>
      </w:r>
    </w:p>
    <w:p w14:paraId="4933870E" w14:textId="462DB774" w:rsidR="00A71FBB" w:rsidRPr="00D171F8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  <w:color w:val="000000"/>
        </w:rPr>
      </w:pPr>
      <w:r w:rsidRPr="00D171F8">
        <w:rPr>
          <w:rFonts w:ascii="Arial" w:hAnsi="Arial" w:cs="Arial"/>
          <w:color w:val="000000"/>
        </w:rPr>
        <w:t xml:space="preserve">ČSN EN 752 (75 6110): 2017 Odvodňovací systémy vně </w:t>
      </w:r>
      <w:r w:rsidR="00B62F09" w:rsidRPr="00D171F8">
        <w:rPr>
          <w:rFonts w:ascii="Arial" w:hAnsi="Arial" w:cs="Arial"/>
          <w:color w:val="000000"/>
        </w:rPr>
        <w:t>budov – Vedení</w:t>
      </w:r>
      <w:r w:rsidRPr="00D171F8">
        <w:rPr>
          <w:rFonts w:ascii="Arial" w:hAnsi="Arial" w:cs="Arial"/>
          <w:color w:val="000000"/>
        </w:rPr>
        <w:t xml:space="preserve"> kanalizace</w:t>
      </w:r>
    </w:p>
    <w:p w14:paraId="6528B914" w14:textId="77777777" w:rsidR="00A71FBB" w:rsidRPr="00D171F8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  <w:color w:val="000000"/>
        </w:rPr>
      </w:pPr>
      <w:r w:rsidRPr="00D171F8">
        <w:rPr>
          <w:rFonts w:ascii="Arial" w:hAnsi="Arial" w:cs="Arial"/>
          <w:color w:val="000000"/>
        </w:rPr>
        <w:t>ČSN EN 1610 (75 6114): 2017 Provádění stok a kanalizačních přípojek a jejich zkoušení</w:t>
      </w:r>
    </w:p>
    <w:p w14:paraId="50182226" w14:textId="77777777" w:rsidR="00A71FBB" w:rsidRPr="00D171F8" w:rsidRDefault="00A71FBB" w:rsidP="00A71FBB">
      <w:pPr>
        <w:pStyle w:val="Odstavecseseznamem"/>
        <w:numPr>
          <w:ilvl w:val="0"/>
          <w:numId w:val="30"/>
        </w:numPr>
        <w:ind w:left="142" w:hanging="142"/>
        <w:rPr>
          <w:rFonts w:ascii="Arial" w:hAnsi="Arial" w:cs="Arial"/>
          <w:color w:val="000000"/>
        </w:rPr>
      </w:pPr>
      <w:r w:rsidRPr="00D171F8">
        <w:rPr>
          <w:rFonts w:ascii="Arial" w:hAnsi="Arial" w:cs="Arial"/>
          <w:color w:val="000000"/>
        </w:rPr>
        <w:t xml:space="preserve">ČSN EN 12056-1 až 5 (75 6760): 2001 Vnitřní kanalizace </w:t>
      </w:r>
      <w:r w:rsidR="00DF6C64" w:rsidRPr="00D171F8">
        <w:rPr>
          <w:rFonts w:ascii="Arial" w:hAnsi="Arial" w:cs="Arial"/>
          <w:color w:val="000000"/>
        </w:rPr>
        <w:t>–</w:t>
      </w:r>
      <w:r w:rsidRPr="00D171F8">
        <w:rPr>
          <w:rFonts w:ascii="Arial" w:hAnsi="Arial" w:cs="Arial"/>
          <w:color w:val="000000"/>
        </w:rPr>
        <w:t xml:space="preserve"> Gravitační systémy</w:t>
      </w:r>
    </w:p>
    <w:p w14:paraId="163E6B30" w14:textId="77777777" w:rsidR="00146372" w:rsidRPr="00D171F8" w:rsidRDefault="00146372" w:rsidP="000C2B7E">
      <w:pPr>
        <w:pStyle w:val="Nadpis2"/>
        <w:rPr>
          <w:rFonts w:cs="Arial"/>
        </w:rPr>
      </w:pPr>
      <w:bookmarkStart w:id="1" w:name="_Toc84584098"/>
      <w:r w:rsidRPr="00D171F8">
        <w:rPr>
          <w:rFonts w:cs="Arial"/>
        </w:rPr>
        <w:t>Úvod</w:t>
      </w:r>
      <w:bookmarkEnd w:id="1"/>
    </w:p>
    <w:p w14:paraId="67A73CEE" w14:textId="7FBB77F9" w:rsidR="00146372" w:rsidRDefault="00146372">
      <w:pPr>
        <w:jc w:val="both"/>
        <w:rPr>
          <w:rFonts w:cs="Arial"/>
          <w:color w:val="000000"/>
        </w:rPr>
      </w:pPr>
      <w:r w:rsidRPr="00D171F8">
        <w:rPr>
          <w:rFonts w:cs="Arial"/>
          <w:color w:val="000000"/>
        </w:rPr>
        <w:t xml:space="preserve">Projekt </w:t>
      </w:r>
      <w:r w:rsidR="0023360C">
        <w:rPr>
          <w:rFonts w:cs="Arial"/>
          <w:color w:val="000000"/>
        </w:rPr>
        <w:t xml:space="preserve">dešťové </w:t>
      </w:r>
      <w:r w:rsidRPr="00D171F8">
        <w:rPr>
          <w:rFonts w:cs="Arial"/>
          <w:color w:val="000000"/>
        </w:rPr>
        <w:t>kanalizace řeší kompletní rozvody potrubí </w:t>
      </w:r>
      <w:r w:rsidR="0023360C">
        <w:rPr>
          <w:rFonts w:cs="Arial"/>
          <w:color w:val="000000"/>
        </w:rPr>
        <w:t xml:space="preserve">od napojení lapačů střešních splavenin, </w:t>
      </w:r>
      <w:r w:rsidRPr="00D171F8">
        <w:rPr>
          <w:rFonts w:cs="Arial"/>
          <w:color w:val="000000"/>
        </w:rPr>
        <w:t>ležaté svody kanalizace</w:t>
      </w:r>
      <w:r w:rsidR="0023360C">
        <w:rPr>
          <w:rFonts w:cs="Arial"/>
          <w:color w:val="000000"/>
        </w:rPr>
        <w:t xml:space="preserve"> a </w:t>
      </w:r>
      <w:r w:rsidRPr="00D171F8">
        <w:rPr>
          <w:rFonts w:cs="Arial"/>
          <w:color w:val="000000"/>
        </w:rPr>
        <w:t xml:space="preserve">potrubí připojené na přípojku </w:t>
      </w:r>
      <w:r w:rsidR="0023360C">
        <w:rPr>
          <w:rFonts w:cs="Arial"/>
          <w:color w:val="000000"/>
        </w:rPr>
        <w:t xml:space="preserve">dešťové </w:t>
      </w:r>
      <w:r w:rsidRPr="00D171F8">
        <w:rPr>
          <w:rFonts w:cs="Arial"/>
          <w:color w:val="000000"/>
        </w:rPr>
        <w:t>kanalizace.</w:t>
      </w:r>
    </w:p>
    <w:p w14:paraId="15D97671" w14:textId="65B68912" w:rsidR="00146372" w:rsidRDefault="00146372">
      <w:pPr>
        <w:jc w:val="both"/>
        <w:rPr>
          <w:rFonts w:cs="Arial"/>
          <w:color w:val="000000"/>
        </w:rPr>
      </w:pPr>
      <w:r w:rsidRPr="00D171F8">
        <w:rPr>
          <w:rFonts w:cs="Arial"/>
          <w:color w:val="000000"/>
        </w:rPr>
        <w:t>Kanalizační přípojka není součástí tohoto projektu.</w:t>
      </w:r>
    </w:p>
    <w:p w14:paraId="52A189D1" w14:textId="77777777" w:rsidR="00146372" w:rsidRPr="00D171F8" w:rsidRDefault="00146372" w:rsidP="000C2B7E">
      <w:pPr>
        <w:pStyle w:val="Nadpis2"/>
        <w:rPr>
          <w:rFonts w:cs="Arial"/>
        </w:rPr>
      </w:pPr>
      <w:bookmarkStart w:id="2" w:name="_Toc84584099"/>
      <w:r w:rsidRPr="00D171F8">
        <w:rPr>
          <w:rFonts w:cs="Arial"/>
        </w:rPr>
        <w:t>Množství odpadních vod</w:t>
      </w:r>
      <w:bookmarkEnd w:id="2"/>
    </w:p>
    <w:p w14:paraId="5A5CAC5C" w14:textId="77777777" w:rsidR="00A12768" w:rsidRPr="00605E34" w:rsidRDefault="00A12768" w:rsidP="00A12768">
      <w:pPr>
        <w:numPr>
          <w:ilvl w:val="12"/>
          <w:numId w:val="0"/>
        </w:numPr>
        <w:jc w:val="both"/>
        <w:rPr>
          <w:rFonts w:cs="Arial"/>
          <w:b/>
        </w:rPr>
      </w:pPr>
      <w:r w:rsidRPr="00605E34">
        <w:rPr>
          <w:rFonts w:cs="Arial"/>
          <w:b/>
        </w:rPr>
        <w:t>výpočtový průtok dešťových vod (l/s) – východ</w:t>
      </w:r>
    </w:p>
    <w:p w14:paraId="304D2ABA" w14:textId="77777777" w:rsidR="00A12768" w:rsidRPr="00605E34" w:rsidRDefault="00A12768" w:rsidP="00A12768">
      <w:pPr>
        <w:numPr>
          <w:ilvl w:val="12"/>
          <w:numId w:val="0"/>
        </w:numPr>
        <w:jc w:val="both"/>
        <w:rPr>
          <w:rFonts w:cs="Arial"/>
          <w:bCs/>
        </w:rPr>
      </w:pPr>
      <w:r w:rsidRPr="00605E34">
        <w:rPr>
          <w:rFonts w:cs="Arial"/>
          <w:bCs/>
        </w:rPr>
        <w:t>plocha střech A=1.</w:t>
      </w:r>
      <w:r>
        <w:rPr>
          <w:rFonts w:cs="Arial"/>
          <w:bCs/>
        </w:rPr>
        <w:t>815,9</w:t>
      </w:r>
      <w:r w:rsidRPr="00605E34">
        <w:rPr>
          <w:rFonts w:cs="Arial"/>
          <w:bCs/>
        </w:rPr>
        <w:t xml:space="preserve"> m</w:t>
      </w:r>
      <w:r w:rsidRPr="00605E34">
        <w:rPr>
          <w:rFonts w:cs="Arial"/>
          <w:bCs/>
          <w:vertAlign w:val="superscript"/>
        </w:rPr>
        <w:t>2</w:t>
      </w:r>
    </w:p>
    <w:p w14:paraId="1B6CEB3A" w14:textId="77777777" w:rsidR="00A12768" w:rsidRPr="00605E34" w:rsidRDefault="00A12768" w:rsidP="00A12768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Q</w:t>
      </w:r>
      <w:r w:rsidRPr="00605E34">
        <w:rPr>
          <w:rFonts w:cs="Arial"/>
          <w:vertAlign w:val="subscript"/>
        </w:rPr>
        <w:t>r</w:t>
      </w:r>
      <w:r w:rsidRPr="00605E34">
        <w:rPr>
          <w:rFonts w:cs="Arial"/>
        </w:rPr>
        <w:t xml:space="preserve"> = </w:t>
      </w:r>
      <w:proofErr w:type="gramStart"/>
      <w:r w:rsidRPr="00605E34">
        <w:rPr>
          <w:rFonts w:cs="Arial"/>
        </w:rPr>
        <w:t>i .</w:t>
      </w:r>
      <w:proofErr w:type="gramEnd"/>
      <w:r w:rsidRPr="00605E34">
        <w:rPr>
          <w:rFonts w:cs="Arial"/>
        </w:rPr>
        <w:t xml:space="preserve"> </w:t>
      </w:r>
      <w:proofErr w:type="gramStart"/>
      <w:r w:rsidRPr="00605E34">
        <w:rPr>
          <w:rFonts w:cs="Arial"/>
        </w:rPr>
        <w:t>A .</w:t>
      </w:r>
      <w:proofErr w:type="gramEnd"/>
      <w:r w:rsidRPr="00605E34">
        <w:rPr>
          <w:rFonts w:cs="Arial"/>
        </w:rPr>
        <w:t xml:space="preserve"> C</w:t>
      </w:r>
    </w:p>
    <w:p w14:paraId="3C88D8C0" w14:textId="77777777" w:rsidR="00A12768" w:rsidRPr="00605E34" w:rsidRDefault="00A12768" w:rsidP="00A12768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Q</w:t>
      </w:r>
      <w:r w:rsidRPr="00605E34">
        <w:rPr>
          <w:rFonts w:cs="Arial"/>
          <w:vertAlign w:val="subscript"/>
        </w:rPr>
        <w:t>r</w:t>
      </w:r>
      <w:r w:rsidRPr="00605E34">
        <w:rPr>
          <w:rFonts w:cs="Arial"/>
        </w:rPr>
        <w:t xml:space="preserve"> = 0,</w:t>
      </w:r>
      <w:proofErr w:type="gramStart"/>
      <w:r w:rsidRPr="00605E34">
        <w:rPr>
          <w:rFonts w:cs="Arial"/>
        </w:rPr>
        <w:t>03 .</w:t>
      </w:r>
      <w:proofErr w:type="gramEnd"/>
      <w:r w:rsidRPr="00605E34">
        <w:rPr>
          <w:rFonts w:cs="Arial"/>
        </w:rPr>
        <w:t xml:space="preserve"> 1.</w:t>
      </w:r>
      <w:r>
        <w:rPr>
          <w:rFonts w:cs="Arial"/>
        </w:rPr>
        <w:t>815,</w:t>
      </w:r>
      <w:proofErr w:type="gramStart"/>
      <w:r>
        <w:rPr>
          <w:rFonts w:cs="Arial"/>
        </w:rPr>
        <w:t>9</w:t>
      </w:r>
      <w:r w:rsidRPr="00605E34">
        <w:rPr>
          <w:rFonts w:cs="Arial"/>
        </w:rPr>
        <w:t xml:space="preserve"> .</w:t>
      </w:r>
      <w:proofErr w:type="gramEnd"/>
      <w:r w:rsidRPr="00605E34">
        <w:rPr>
          <w:rFonts w:cs="Arial"/>
        </w:rPr>
        <w:t xml:space="preserve"> 1,0 = 5</w:t>
      </w:r>
      <w:r>
        <w:rPr>
          <w:rFonts w:cs="Arial"/>
        </w:rPr>
        <w:t>4,48</w:t>
      </w:r>
      <w:r w:rsidRPr="00605E34">
        <w:rPr>
          <w:rFonts w:cs="Arial"/>
        </w:rPr>
        <w:t xml:space="preserve"> l/s – při spádu </w:t>
      </w:r>
      <w:proofErr w:type="gramStart"/>
      <w:r w:rsidRPr="00605E34">
        <w:rPr>
          <w:rFonts w:cs="Arial"/>
        </w:rPr>
        <w:t>1%</w:t>
      </w:r>
      <w:proofErr w:type="gramEnd"/>
      <w:r w:rsidRPr="00605E34">
        <w:rPr>
          <w:rFonts w:cs="Arial"/>
        </w:rPr>
        <w:t xml:space="preserve"> - DN300</w:t>
      </w:r>
    </w:p>
    <w:p w14:paraId="22F2DEDE" w14:textId="77777777" w:rsidR="00A12768" w:rsidRDefault="00A12768" w:rsidP="00A50238">
      <w:pPr>
        <w:numPr>
          <w:ilvl w:val="12"/>
          <w:numId w:val="0"/>
        </w:numPr>
        <w:jc w:val="both"/>
        <w:rPr>
          <w:rFonts w:cs="Arial"/>
          <w:b/>
          <w:color w:val="000000"/>
        </w:rPr>
      </w:pPr>
    </w:p>
    <w:p w14:paraId="0249208A" w14:textId="6C9172ED" w:rsidR="00483170" w:rsidRDefault="00A50238" w:rsidP="00A50238">
      <w:pPr>
        <w:numPr>
          <w:ilvl w:val="12"/>
          <w:numId w:val="0"/>
        </w:numPr>
        <w:jc w:val="both"/>
        <w:rPr>
          <w:rFonts w:cs="Arial"/>
          <w:b/>
          <w:color w:val="000000"/>
        </w:rPr>
      </w:pPr>
      <w:r w:rsidRPr="0023360C">
        <w:rPr>
          <w:rFonts w:cs="Arial"/>
          <w:b/>
          <w:color w:val="000000"/>
        </w:rPr>
        <w:t>výpočtový průtok dešťových vod</w:t>
      </w:r>
      <w:r w:rsidR="0023360C" w:rsidRPr="0023360C">
        <w:rPr>
          <w:rFonts w:cs="Arial"/>
          <w:b/>
          <w:color w:val="000000"/>
        </w:rPr>
        <w:t xml:space="preserve"> </w:t>
      </w:r>
      <w:r w:rsidRPr="0023360C">
        <w:rPr>
          <w:rFonts w:cs="Arial"/>
          <w:b/>
          <w:color w:val="000000"/>
        </w:rPr>
        <w:t>(l/s)</w:t>
      </w:r>
      <w:r w:rsidR="0023360C" w:rsidRPr="0023360C">
        <w:rPr>
          <w:rFonts w:cs="Arial"/>
          <w:b/>
          <w:color w:val="000000"/>
        </w:rPr>
        <w:t xml:space="preserve"> </w:t>
      </w:r>
      <w:r w:rsidR="0023360C">
        <w:rPr>
          <w:rFonts w:cs="Arial"/>
          <w:b/>
          <w:color w:val="000000"/>
        </w:rPr>
        <w:t>–</w:t>
      </w:r>
      <w:r w:rsidR="0023360C" w:rsidRPr="0023360C">
        <w:rPr>
          <w:rFonts w:cs="Arial"/>
          <w:b/>
          <w:color w:val="000000"/>
        </w:rPr>
        <w:t xml:space="preserve"> západ</w:t>
      </w:r>
    </w:p>
    <w:p w14:paraId="69FA4860" w14:textId="516F5AAF" w:rsidR="0023360C" w:rsidRPr="00605E34" w:rsidRDefault="0023360C" w:rsidP="00A50238">
      <w:pPr>
        <w:numPr>
          <w:ilvl w:val="12"/>
          <w:numId w:val="0"/>
        </w:numPr>
        <w:jc w:val="both"/>
        <w:rPr>
          <w:rFonts w:cs="Arial"/>
          <w:bCs/>
        </w:rPr>
      </w:pPr>
      <w:r w:rsidRPr="00605E34">
        <w:rPr>
          <w:rFonts w:cs="Arial"/>
          <w:bCs/>
        </w:rPr>
        <w:t>plocha střech A=1.</w:t>
      </w:r>
      <w:r w:rsidR="00B04F71">
        <w:rPr>
          <w:rFonts w:cs="Arial"/>
          <w:bCs/>
        </w:rPr>
        <w:t>521,9</w:t>
      </w:r>
      <w:r w:rsidRPr="00605E34">
        <w:rPr>
          <w:rFonts w:cs="Arial"/>
          <w:bCs/>
        </w:rPr>
        <w:t xml:space="preserve"> m</w:t>
      </w:r>
      <w:r w:rsidRPr="00605E34">
        <w:rPr>
          <w:rFonts w:cs="Arial"/>
          <w:bCs/>
          <w:vertAlign w:val="superscript"/>
        </w:rPr>
        <w:t>2</w:t>
      </w:r>
    </w:p>
    <w:p w14:paraId="4A7200C9" w14:textId="77777777" w:rsidR="00A50238" w:rsidRPr="00605E34" w:rsidRDefault="00A50238" w:rsidP="00A50238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Q</w:t>
      </w:r>
      <w:r w:rsidRPr="00605E34">
        <w:rPr>
          <w:rFonts w:cs="Arial"/>
          <w:vertAlign w:val="subscript"/>
        </w:rPr>
        <w:t>r</w:t>
      </w:r>
      <w:r w:rsidRPr="00605E34">
        <w:rPr>
          <w:rFonts w:cs="Arial"/>
        </w:rPr>
        <w:t xml:space="preserve"> = </w:t>
      </w:r>
      <w:proofErr w:type="gramStart"/>
      <w:r w:rsidRPr="00605E34">
        <w:rPr>
          <w:rFonts w:cs="Arial"/>
        </w:rPr>
        <w:t>i .</w:t>
      </w:r>
      <w:proofErr w:type="gramEnd"/>
      <w:r w:rsidRPr="00605E34">
        <w:rPr>
          <w:rFonts w:cs="Arial"/>
        </w:rPr>
        <w:t xml:space="preserve"> </w:t>
      </w:r>
      <w:proofErr w:type="gramStart"/>
      <w:r w:rsidRPr="00605E34">
        <w:rPr>
          <w:rFonts w:cs="Arial"/>
        </w:rPr>
        <w:t>A</w:t>
      </w:r>
      <w:r w:rsidR="007C75C9" w:rsidRPr="00605E34">
        <w:rPr>
          <w:rFonts w:cs="Arial"/>
        </w:rPr>
        <w:t xml:space="preserve"> </w:t>
      </w:r>
      <w:r w:rsidRPr="00605E34">
        <w:rPr>
          <w:rFonts w:cs="Arial"/>
        </w:rPr>
        <w:t>.</w:t>
      </w:r>
      <w:proofErr w:type="gramEnd"/>
      <w:r w:rsidRPr="00605E34">
        <w:rPr>
          <w:rFonts w:cs="Arial"/>
        </w:rPr>
        <w:t xml:space="preserve"> C</w:t>
      </w:r>
    </w:p>
    <w:p w14:paraId="1294F0C6" w14:textId="5B739E95" w:rsidR="00A50238" w:rsidRPr="00605E34" w:rsidRDefault="00A50238" w:rsidP="00A50238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Q</w:t>
      </w:r>
      <w:r w:rsidRPr="00605E34">
        <w:rPr>
          <w:rFonts w:cs="Arial"/>
          <w:vertAlign w:val="subscript"/>
        </w:rPr>
        <w:t>r</w:t>
      </w:r>
      <w:r w:rsidRPr="00605E34">
        <w:rPr>
          <w:rFonts w:cs="Arial"/>
        </w:rPr>
        <w:t xml:space="preserve"> = 0,</w:t>
      </w:r>
      <w:proofErr w:type="gramStart"/>
      <w:r w:rsidRPr="00605E34">
        <w:rPr>
          <w:rFonts w:cs="Arial"/>
        </w:rPr>
        <w:t>03 .</w:t>
      </w:r>
      <w:proofErr w:type="gramEnd"/>
      <w:r w:rsidRPr="00605E34">
        <w:rPr>
          <w:rFonts w:cs="Arial"/>
        </w:rPr>
        <w:t xml:space="preserve"> </w:t>
      </w:r>
      <w:r w:rsidR="0023360C" w:rsidRPr="00605E34">
        <w:rPr>
          <w:rFonts w:cs="Arial"/>
        </w:rPr>
        <w:t>1.</w:t>
      </w:r>
      <w:r w:rsidR="00B04F71">
        <w:rPr>
          <w:rFonts w:cs="Arial"/>
        </w:rPr>
        <w:t>521,</w:t>
      </w:r>
      <w:proofErr w:type="gramStart"/>
      <w:r w:rsidR="00B04F71">
        <w:rPr>
          <w:rFonts w:cs="Arial"/>
        </w:rPr>
        <w:t>9</w:t>
      </w:r>
      <w:r w:rsidRPr="00605E34">
        <w:rPr>
          <w:rFonts w:cs="Arial"/>
        </w:rPr>
        <w:t xml:space="preserve"> .</w:t>
      </w:r>
      <w:proofErr w:type="gramEnd"/>
      <w:r w:rsidRPr="00605E34">
        <w:rPr>
          <w:rFonts w:cs="Arial"/>
        </w:rPr>
        <w:t xml:space="preserve"> 1,0 = </w:t>
      </w:r>
      <w:r w:rsidR="0023360C" w:rsidRPr="00605E34">
        <w:rPr>
          <w:rFonts w:cs="Arial"/>
        </w:rPr>
        <w:t>4</w:t>
      </w:r>
      <w:r w:rsidR="00B04F71">
        <w:rPr>
          <w:rFonts w:cs="Arial"/>
        </w:rPr>
        <w:t>5,66</w:t>
      </w:r>
      <w:r w:rsidRPr="00605E34">
        <w:rPr>
          <w:rFonts w:cs="Arial"/>
        </w:rPr>
        <w:t xml:space="preserve"> l/s</w:t>
      </w:r>
      <w:r w:rsidR="0023360C" w:rsidRPr="00605E34">
        <w:rPr>
          <w:rFonts w:cs="Arial"/>
        </w:rPr>
        <w:t xml:space="preserve"> – při spádu </w:t>
      </w:r>
      <w:proofErr w:type="gramStart"/>
      <w:r w:rsidR="0023360C" w:rsidRPr="00605E34">
        <w:rPr>
          <w:rFonts w:cs="Arial"/>
        </w:rPr>
        <w:t>1%</w:t>
      </w:r>
      <w:proofErr w:type="gramEnd"/>
      <w:r w:rsidR="0023360C" w:rsidRPr="00605E34">
        <w:rPr>
          <w:rFonts w:cs="Arial"/>
        </w:rPr>
        <w:t xml:space="preserve"> - DN300</w:t>
      </w:r>
    </w:p>
    <w:p w14:paraId="07749E0B" w14:textId="1FDFC265" w:rsidR="0023360C" w:rsidRPr="00605E34" w:rsidRDefault="0023360C" w:rsidP="0023360C">
      <w:pPr>
        <w:numPr>
          <w:ilvl w:val="12"/>
          <w:numId w:val="0"/>
        </w:numPr>
        <w:jc w:val="both"/>
        <w:rPr>
          <w:rFonts w:cs="Arial"/>
        </w:rPr>
      </w:pPr>
    </w:p>
    <w:p w14:paraId="21F8EB9D" w14:textId="77777777" w:rsidR="0023360C" w:rsidRPr="00605E34" w:rsidRDefault="0023360C" w:rsidP="0023360C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Výpočet množství srážkových vod odváděných do kanalizace dle přílohy č. 16 k vyhlášce č. 428/2001 Sb.</w:t>
      </w:r>
    </w:p>
    <w:p w14:paraId="70818996" w14:textId="636C0F01" w:rsidR="0023360C" w:rsidRPr="00605E34" w:rsidRDefault="0023360C" w:rsidP="0023360C">
      <w:pPr>
        <w:numPr>
          <w:ilvl w:val="12"/>
          <w:numId w:val="0"/>
        </w:numPr>
        <w:jc w:val="both"/>
        <w:rPr>
          <w:rFonts w:cs="Arial"/>
        </w:rPr>
      </w:pPr>
      <w:r w:rsidRPr="00605E34">
        <w:rPr>
          <w:rFonts w:cs="Arial"/>
        </w:rPr>
        <w:t>Teplice – 236 m n. m. – roční normál srážek 1961-1990 je 0,5122m/rok</w:t>
      </w:r>
    </w:p>
    <w:p w14:paraId="53C8E7ED" w14:textId="77777777" w:rsidR="00A12768" w:rsidRDefault="00A12768" w:rsidP="00A12768">
      <w:pPr>
        <w:numPr>
          <w:ilvl w:val="12"/>
          <w:numId w:val="0"/>
        </w:numPr>
        <w:jc w:val="both"/>
        <w:rPr>
          <w:rFonts w:cs="Arial"/>
          <w:b/>
          <w:bCs/>
        </w:rPr>
      </w:pPr>
    </w:p>
    <w:p w14:paraId="712F7185" w14:textId="78EA68F1" w:rsidR="00A12768" w:rsidRPr="00F35B54" w:rsidRDefault="00A12768" w:rsidP="00A12768">
      <w:pPr>
        <w:numPr>
          <w:ilvl w:val="12"/>
          <w:numId w:val="0"/>
        </w:numPr>
        <w:jc w:val="both"/>
        <w:rPr>
          <w:rFonts w:cs="Arial"/>
          <w:b/>
          <w:bCs/>
        </w:rPr>
      </w:pPr>
      <w:r w:rsidRPr="00F35B54">
        <w:rPr>
          <w:rFonts w:cs="Arial"/>
          <w:b/>
          <w:bCs/>
        </w:rPr>
        <w:t>Východ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2410"/>
        <w:gridCol w:w="1134"/>
      </w:tblGrid>
      <w:tr w:rsidR="00A12768" w:rsidRPr="00605E34" w14:paraId="0AB00408" w14:textId="77777777" w:rsidTr="00011F0B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422F6CC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Druh plochy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62D724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plocha (m</w:t>
            </w:r>
            <w:r w:rsidRPr="00605E34">
              <w:rPr>
                <w:rFonts w:cs="Arial"/>
                <w:vertAlign w:val="superscript"/>
              </w:rPr>
              <w:t>2</w:t>
            </w:r>
            <w:r w:rsidRPr="00605E34">
              <w:rPr>
                <w:rFonts w:cs="Arial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E42A30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odtokový součinitel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33506D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redukovaná plocha (m2)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A12908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</w:tr>
      <w:tr w:rsidR="00A12768" w:rsidRPr="00605E34" w14:paraId="476EF9BC" w14:textId="77777777" w:rsidTr="00011F0B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1D975E81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53114C29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1</w:t>
            </w:r>
            <w:r>
              <w:rPr>
                <w:rFonts w:cs="Arial"/>
              </w:rPr>
              <w:t>.815,9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A39DCE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0,9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E9CAAA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1</w:t>
            </w:r>
            <w:r>
              <w:rPr>
                <w:rFonts w:cs="Arial"/>
              </w:rPr>
              <w:t>634,31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0CC00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</w:tr>
      <w:tr w:rsidR="00A12768" w:rsidRPr="00605E34" w14:paraId="5A51C246" w14:textId="77777777" w:rsidTr="00011F0B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076F840E" w14:textId="77777777" w:rsidR="00A12768" w:rsidRPr="00605E34" w:rsidRDefault="00A12768" w:rsidP="00011F0B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Dlouhodobý srážk</w:t>
            </w:r>
            <w:r>
              <w:rPr>
                <w:rFonts w:cs="Arial"/>
              </w:rPr>
              <w:t>ový</w:t>
            </w:r>
            <w:r w:rsidRPr="00605E34">
              <w:rPr>
                <w:rFonts w:cs="Arial"/>
              </w:rPr>
              <w:t xml:space="preserve"> normál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29CFFF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B1D4B58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0436A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0,5122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87082E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m/rok</w:t>
            </w:r>
          </w:p>
        </w:tc>
      </w:tr>
      <w:tr w:rsidR="00A12768" w:rsidRPr="00605E34" w14:paraId="15EB24AB" w14:textId="77777777" w:rsidTr="00011F0B">
        <w:trPr>
          <w:trHeight w:val="255"/>
        </w:trPr>
        <w:tc>
          <w:tcPr>
            <w:tcW w:w="4531" w:type="dxa"/>
            <w:gridSpan w:val="2"/>
            <w:shd w:val="clear" w:color="auto" w:fill="auto"/>
            <w:noWrap/>
            <w:vAlign w:val="bottom"/>
            <w:hideMark/>
          </w:tcPr>
          <w:p w14:paraId="0D96D10C" w14:textId="77777777" w:rsidR="00A12768" w:rsidRPr="00605E34" w:rsidRDefault="00A12768" w:rsidP="00011F0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</w:rPr>
            </w:pPr>
            <w:r w:rsidRPr="00605E34">
              <w:rPr>
                <w:rFonts w:cs="Arial"/>
                <w:b/>
                <w:bCs/>
              </w:rPr>
              <w:t>Roční množství odváděných srážkových vod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DE7620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668F62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837,1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97497E" w14:textId="77777777" w:rsidR="00A12768" w:rsidRPr="00605E34" w:rsidRDefault="00A12768" w:rsidP="00011F0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605E34">
              <w:rPr>
                <w:rFonts w:cs="Arial"/>
                <w:b/>
                <w:bCs/>
              </w:rPr>
              <w:t>m</w:t>
            </w:r>
            <w:r w:rsidRPr="00605E34">
              <w:rPr>
                <w:rFonts w:cs="Arial"/>
                <w:b/>
                <w:bCs/>
                <w:vertAlign w:val="superscript"/>
              </w:rPr>
              <w:t>3</w:t>
            </w:r>
            <w:r w:rsidRPr="00605E34">
              <w:rPr>
                <w:rFonts w:cs="Arial"/>
                <w:b/>
                <w:bCs/>
              </w:rPr>
              <w:t>/rok</w:t>
            </w:r>
          </w:p>
        </w:tc>
      </w:tr>
    </w:tbl>
    <w:p w14:paraId="3926BFB5" w14:textId="77777777" w:rsidR="003E31CA" w:rsidRDefault="003E31CA" w:rsidP="0023360C">
      <w:pPr>
        <w:numPr>
          <w:ilvl w:val="12"/>
          <w:numId w:val="0"/>
        </w:numPr>
        <w:jc w:val="both"/>
        <w:rPr>
          <w:rFonts w:cs="Arial"/>
          <w:b/>
          <w:bCs/>
        </w:rPr>
      </w:pPr>
    </w:p>
    <w:p w14:paraId="55CAF033" w14:textId="1B4174B3" w:rsidR="0023360C" w:rsidRPr="00605E34" w:rsidRDefault="00605E34" w:rsidP="0023360C">
      <w:pPr>
        <w:numPr>
          <w:ilvl w:val="12"/>
          <w:numId w:val="0"/>
        </w:numPr>
        <w:jc w:val="both"/>
        <w:rPr>
          <w:rFonts w:cs="Arial"/>
          <w:b/>
          <w:bCs/>
        </w:rPr>
      </w:pPr>
      <w:r w:rsidRPr="00605E34">
        <w:rPr>
          <w:rFonts w:cs="Arial"/>
          <w:b/>
          <w:bCs/>
        </w:rPr>
        <w:t>Z</w:t>
      </w:r>
      <w:r w:rsidR="0023360C" w:rsidRPr="00605E34">
        <w:rPr>
          <w:rFonts w:cs="Arial"/>
          <w:b/>
          <w:bCs/>
        </w:rPr>
        <w:t>ápad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2410"/>
        <w:gridCol w:w="1134"/>
      </w:tblGrid>
      <w:tr w:rsidR="00605E34" w:rsidRPr="00605E34" w14:paraId="4BB70AEF" w14:textId="77777777" w:rsidTr="00B05127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A0B3E03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Druh plochy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56BC60" w14:textId="1F4E8C1D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plocha (m</w:t>
            </w:r>
            <w:r w:rsidRPr="00605E34">
              <w:rPr>
                <w:rFonts w:cs="Arial"/>
                <w:vertAlign w:val="superscript"/>
              </w:rPr>
              <w:t>2</w:t>
            </w:r>
            <w:r w:rsidRPr="00605E34">
              <w:rPr>
                <w:rFonts w:cs="Arial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858D10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odtokový součinitel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15EA7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redukovaná plocha (m</w:t>
            </w:r>
            <w:r w:rsidRPr="00605E34">
              <w:rPr>
                <w:rFonts w:cs="Arial"/>
                <w:vertAlign w:val="superscript"/>
              </w:rPr>
              <w:t>2</w:t>
            </w:r>
            <w:r w:rsidRPr="00605E34">
              <w:rPr>
                <w:rFonts w:cs="Arial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18FD38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</w:tr>
      <w:tr w:rsidR="00605E34" w:rsidRPr="00605E34" w14:paraId="6E68119A" w14:textId="77777777" w:rsidTr="00B05127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482B5880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A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41EF12FF" w14:textId="34BAA31A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1</w:t>
            </w:r>
            <w:r w:rsidR="00F35B54">
              <w:rPr>
                <w:rFonts w:cs="Arial"/>
              </w:rPr>
              <w:t>.</w:t>
            </w:r>
            <w:r w:rsidR="00B04F71">
              <w:rPr>
                <w:rFonts w:cs="Arial"/>
              </w:rPr>
              <w:t>521,9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B89B14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0,9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220AF5" w14:textId="69559154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13</w:t>
            </w:r>
            <w:r w:rsidR="00B04F71">
              <w:rPr>
                <w:rFonts w:cs="Arial"/>
              </w:rPr>
              <w:t>69,71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0B37C9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</w:tr>
      <w:tr w:rsidR="00605E34" w:rsidRPr="00605E34" w14:paraId="450713ED" w14:textId="77777777" w:rsidTr="00B05127">
        <w:trPr>
          <w:trHeight w:val="270"/>
        </w:trPr>
        <w:tc>
          <w:tcPr>
            <w:tcW w:w="2830" w:type="dxa"/>
            <w:shd w:val="clear" w:color="auto" w:fill="auto"/>
            <w:noWrap/>
            <w:vAlign w:val="bottom"/>
            <w:hideMark/>
          </w:tcPr>
          <w:p w14:paraId="3F304945" w14:textId="1B3A28F3" w:rsidR="00605E34" w:rsidRPr="00605E34" w:rsidRDefault="00605E34" w:rsidP="00F35B54">
            <w:pPr>
              <w:overflowPunct/>
              <w:autoSpaceDE/>
              <w:autoSpaceDN/>
              <w:adjustRightInd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Dlouhodobý srážk</w:t>
            </w:r>
            <w:r w:rsidR="00F35B54">
              <w:rPr>
                <w:rFonts w:cs="Arial"/>
              </w:rPr>
              <w:t xml:space="preserve">ový </w:t>
            </w:r>
            <w:r w:rsidRPr="00605E34">
              <w:rPr>
                <w:rFonts w:cs="Arial"/>
              </w:rPr>
              <w:t>normál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7A56C" w14:textId="3D26E4EF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11F368" w14:textId="1E4286D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B3A816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0,5122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441C85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</w:rPr>
            </w:pPr>
            <w:r w:rsidRPr="00605E34">
              <w:rPr>
                <w:rFonts w:cs="Arial"/>
              </w:rPr>
              <w:t>m/rok</w:t>
            </w:r>
          </w:p>
        </w:tc>
      </w:tr>
      <w:tr w:rsidR="00605E34" w:rsidRPr="00605E34" w14:paraId="3729057E" w14:textId="77777777" w:rsidTr="00B05127">
        <w:trPr>
          <w:trHeight w:val="255"/>
        </w:trPr>
        <w:tc>
          <w:tcPr>
            <w:tcW w:w="4531" w:type="dxa"/>
            <w:gridSpan w:val="2"/>
            <w:shd w:val="clear" w:color="auto" w:fill="auto"/>
            <w:noWrap/>
            <w:vAlign w:val="bottom"/>
            <w:hideMark/>
          </w:tcPr>
          <w:p w14:paraId="71E5B462" w14:textId="77777777" w:rsidR="00605E34" w:rsidRPr="00605E34" w:rsidRDefault="00605E34" w:rsidP="00F35B54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</w:rPr>
            </w:pPr>
            <w:r w:rsidRPr="00605E34">
              <w:rPr>
                <w:rFonts w:cs="Arial"/>
                <w:b/>
                <w:bCs/>
              </w:rPr>
              <w:t>Roční množství odváděných srážkových vod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46189A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2A8F4E" w14:textId="2E50604D" w:rsidR="00605E34" w:rsidRPr="00605E34" w:rsidRDefault="00B04F71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70</w:t>
            </w:r>
            <w:r w:rsidR="00F35B54">
              <w:rPr>
                <w:rFonts w:cs="Arial"/>
                <w:b/>
                <w:bCs/>
              </w:rPr>
              <w:t>1</w:t>
            </w:r>
            <w:r w:rsidR="00605E34" w:rsidRPr="00605E34">
              <w:rPr>
                <w:rFonts w:cs="Arial"/>
                <w:b/>
                <w:bCs/>
              </w:rPr>
              <w:t>,</w:t>
            </w:r>
            <w:r>
              <w:rPr>
                <w:rFonts w:cs="Arial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C8887D" w14:textId="77777777" w:rsidR="00605E34" w:rsidRPr="00605E34" w:rsidRDefault="00605E34" w:rsidP="00605E3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</w:rPr>
            </w:pPr>
            <w:r w:rsidRPr="00605E34">
              <w:rPr>
                <w:rFonts w:cs="Arial"/>
                <w:b/>
                <w:bCs/>
              </w:rPr>
              <w:t>m</w:t>
            </w:r>
            <w:r w:rsidRPr="00605E34">
              <w:rPr>
                <w:rFonts w:cs="Arial"/>
                <w:b/>
                <w:bCs/>
                <w:vertAlign w:val="superscript"/>
              </w:rPr>
              <w:t>3</w:t>
            </w:r>
            <w:r w:rsidRPr="00605E34">
              <w:rPr>
                <w:rFonts w:cs="Arial"/>
                <w:b/>
                <w:bCs/>
              </w:rPr>
              <w:t>/rok</w:t>
            </w:r>
          </w:p>
        </w:tc>
      </w:tr>
    </w:tbl>
    <w:p w14:paraId="0FBB3087" w14:textId="77777777" w:rsidR="003E31CA" w:rsidRDefault="003E31CA" w:rsidP="0023360C">
      <w:pPr>
        <w:numPr>
          <w:ilvl w:val="12"/>
          <w:numId w:val="0"/>
        </w:numPr>
        <w:jc w:val="both"/>
        <w:rPr>
          <w:rFonts w:cs="Arial"/>
          <w:b/>
          <w:bCs/>
        </w:rPr>
      </w:pPr>
    </w:p>
    <w:p w14:paraId="4196B026" w14:textId="1E9563F0" w:rsidR="007B01B8" w:rsidRPr="008522CD" w:rsidRDefault="007B01B8" w:rsidP="003E31CA">
      <w:pPr>
        <w:pStyle w:val="Nadpis2"/>
        <w:ind w:left="578" w:hanging="578"/>
        <w:rPr>
          <w:rFonts w:cs="Arial"/>
        </w:rPr>
      </w:pPr>
      <w:bookmarkStart w:id="3" w:name="_Toc84584100"/>
      <w:r w:rsidRPr="008522CD">
        <w:rPr>
          <w:rFonts w:cs="Arial"/>
        </w:rPr>
        <w:lastRenderedPageBreak/>
        <w:t>Dešťová kanalizace</w:t>
      </w:r>
      <w:bookmarkEnd w:id="3"/>
    </w:p>
    <w:p w14:paraId="39B85ED4" w14:textId="3D690AE0" w:rsidR="003E31CA" w:rsidRPr="00411C01" w:rsidRDefault="003E31CA" w:rsidP="003E31CA">
      <w:pPr>
        <w:keepNext/>
        <w:keepLines/>
        <w:numPr>
          <w:ilvl w:val="12"/>
          <w:numId w:val="0"/>
        </w:numPr>
        <w:jc w:val="both"/>
        <w:rPr>
          <w:rFonts w:cs="Arial"/>
        </w:rPr>
      </w:pPr>
      <w:r w:rsidRPr="008522CD">
        <w:rPr>
          <w:rFonts w:cs="Arial"/>
        </w:rPr>
        <w:t>Pro odvedení dešťových vod ze střech budou sloužit dešťové žlaby a dešťové svody (dodávka stavby)</w:t>
      </w:r>
      <w:r w:rsidR="008522CD" w:rsidRPr="008522CD">
        <w:rPr>
          <w:rFonts w:cs="Arial"/>
        </w:rPr>
        <w:t xml:space="preserve">, které budou na </w:t>
      </w:r>
      <w:r w:rsidRPr="008522CD">
        <w:rPr>
          <w:rFonts w:cs="Arial"/>
        </w:rPr>
        <w:t xml:space="preserve">terénu </w:t>
      </w:r>
      <w:r w:rsidR="008522CD" w:rsidRPr="008522CD">
        <w:rPr>
          <w:rFonts w:cs="Arial"/>
        </w:rPr>
        <w:t xml:space="preserve">zaústěny do </w:t>
      </w:r>
      <w:r w:rsidRPr="008522CD">
        <w:rPr>
          <w:rFonts w:cs="Arial"/>
        </w:rPr>
        <w:t>lapač</w:t>
      </w:r>
      <w:r w:rsidR="008522CD" w:rsidRPr="008522CD">
        <w:rPr>
          <w:rFonts w:cs="Arial"/>
        </w:rPr>
        <w:t>ů</w:t>
      </w:r>
      <w:r w:rsidRPr="008522CD">
        <w:rPr>
          <w:rFonts w:cs="Arial"/>
        </w:rPr>
        <w:t xml:space="preserve"> střešních splavenin (LSS). Z LSS bude pokračovat kanalizační potrubí dešťové kanalizace svodným potrubím ležaté kanalizace přes filtr dešťových vod do retenční jímky dešťových </w:t>
      </w:r>
      <w:r w:rsidRPr="00411C01">
        <w:rPr>
          <w:rFonts w:cs="Arial"/>
        </w:rPr>
        <w:t xml:space="preserve">vod (samostatná jímka pro západní a </w:t>
      </w:r>
      <w:r w:rsidR="00B04F71">
        <w:rPr>
          <w:rFonts w:cs="Arial"/>
        </w:rPr>
        <w:t xml:space="preserve">samostatná jímka pro </w:t>
      </w:r>
      <w:r w:rsidRPr="00411C01">
        <w:rPr>
          <w:rFonts w:cs="Arial"/>
        </w:rPr>
        <w:t>východní větev). Na odtoku z</w:t>
      </w:r>
      <w:r w:rsidR="00B04F71">
        <w:rPr>
          <w:rFonts w:cs="Arial"/>
        </w:rPr>
        <w:t xml:space="preserve"> každé </w:t>
      </w:r>
      <w:r w:rsidRPr="00411C01">
        <w:rPr>
          <w:rFonts w:cs="Arial"/>
        </w:rPr>
        <w:t>retenční jímky bude osazen regul</w:t>
      </w:r>
      <w:r w:rsidR="00EA7996">
        <w:rPr>
          <w:rFonts w:cs="Arial"/>
        </w:rPr>
        <w:t>átor odtoku</w:t>
      </w:r>
      <w:r w:rsidRPr="00411C01">
        <w:rPr>
          <w:rFonts w:cs="Arial"/>
        </w:rPr>
        <w:t>. Potrubí odtoku z retenční jímky bude zaústěno do</w:t>
      </w:r>
      <w:r w:rsidR="00B04F71">
        <w:rPr>
          <w:rFonts w:cs="Arial"/>
        </w:rPr>
        <w:t xml:space="preserve"> nové </w:t>
      </w:r>
      <w:r w:rsidRPr="00411C01">
        <w:rPr>
          <w:rFonts w:cs="Arial"/>
        </w:rPr>
        <w:t>kanalizační přípojky dešťové kanalizace.</w:t>
      </w:r>
    </w:p>
    <w:p w14:paraId="4852C524" w14:textId="2A61CC52" w:rsidR="003E31CA" w:rsidRPr="00411C01" w:rsidRDefault="003E31CA" w:rsidP="003E31CA">
      <w:pPr>
        <w:numPr>
          <w:ilvl w:val="12"/>
          <w:numId w:val="0"/>
        </w:numPr>
        <w:jc w:val="both"/>
        <w:rPr>
          <w:rFonts w:cs="Arial"/>
        </w:rPr>
      </w:pPr>
      <w:r w:rsidRPr="00411C01">
        <w:rPr>
          <w:rFonts w:cs="Arial"/>
        </w:rPr>
        <w:t>Z ploch nástupiště krytých střechou, kde by mohlo dojít k zafouknutí srážek, nebo sněhu, budou umístěny dvorní vtoky pro nouzové odvodnění těchto ploch.</w:t>
      </w:r>
    </w:p>
    <w:p w14:paraId="5C8E223A" w14:textId="77777777" w:rsidR="003E31CA" w:rsidRPr="00411C01" w:rsidRDefault="003E31CA" w:rsidP="003E31CA">
      <w:pPr>
        <w:jc w:val="both"/>
        <w:rPr>
          <w:rFonts w:cs="Arial"/>
        </w:rPr>
      </w:pPr>
      <w:r w:rsidRPr="00411C01">
        <w:rPr>
          <w:rFonts w:cs="Arial"/>
        </w:rPr>
        <w:t xml:space="preserve">Venkovní svody budou vedeny v zemi v minimálním spádu 1 % a v hloubce s minimálním krytím </w:t>
      </w:r>
      <w:smartTag w:uri="urn:schemas-microsoft-com:office:smarttags" w:element="metricconverter">
        <w:smartTagPr>
          <w:attr w:name="ProductID" w:val="1000 mm"/>
        </w:smartTagPr>
        <w:r w:rsidRPr="00411C01">
          <w:rPr>
            <w:rFonts w:cs="Arial"/>
          </w:rPr>
          <w:t>1000 mm</w:t>
        </w:r>
      </w:smartTag>
      <w:r w:rsidRPr="00411C01">
        <w:rPr>
          <w:rFonts w:cs="Arial"/>
        </w:rPr>
        <w:t>.</w:t>
      </w:r>
    </w:p>
    <w:p w14:paraId="7E61C9D6" w14:textId="062E8DFF" w:rsidR="003E31CA" w:rsidRPr="00411C01" w:rsidRDefault="003E31CA" w:rsidP="003E31CA">
      <w:pPr>
        <w:numPr>
          <w:ilvl w:val="12"/>
          <w:numId w:val="0"/>
        </w:numPr>
        <w:jc w:val="both"/>
        <w:rPr>
          <w:rFonts w:cs="Arial"/>
        </w:rPr>
      </w:pPr>
      <w:r w:rsidRPr="00411C01">
        <w:rPr>
          <w:rFonts w:cs="Arial"/>
        </w:rPr>
        <w:t>Svody budou provedeny z hrdlových trubek PVC KG – SN</w:t>
      </w:r>
      <w:r w:rsidR="00B04F71">
        <w:rPr>
          <w:rFonts w:cs="Arial"/>
        </w:rPr>
        <w:t>12</w:t>
      </w:r>
      <w:r w:rsidRPr="00411C01">
        <w:rPr>
          <w:rFonts w:cs="Arial"/>
        </w:rPr>
        <w:t>.</w:t>
      </w:r>
    </w:p>
    <w:p w14:paraId="16B53004" w14:textId="36BB5DA4" w:rsidR="007B01B8" w:rsidRPr="00411C01" w:rsidRDefault="003E31CA" w:rsidP="003E31CA">
      <w:pPr>
        <w:pStyle w:val="Nadpis3"/>
        <w:rPr>
          <w:rFonts w:cs="Arial"/>
          <w:color w:val="auto"/>
        </w:rPr>
      </w:pPr>
      <w:bookmarkStart w:id="4" w:name="_Toc84584101"/>
      <w:r w:rsidRPr="00411C01">
        <w:rPr>
          <w:rFonts w:cs="Arial"/>
          <w:color w:val="auto"/>
        </w:rPr>
        <w:t xml:space="preserve">Retence </w:t>
      </w:r>
      <w:r w:rsidR="007B01B8" w:rsidRPr="00411C01">
        <w:rPr>
          <w:rFonts w:cs="Arial"/>
          <w:color w:val="auto"/>
        </w:rPr>
        <w:t>dešťových vod</w:t>
      </w:r>
      <w:bookmarkEnd w:id="4"/>
    </w:p>
    <w:p w14:paraId="466C2CE4" w14:textId="3F373D17" w:rsidR="0049597E" w:rsidRDefault="00A12768" w:rsidP="0049597E">
      <w:pPr>
        <w:numPr>
          <w:ilvl w:val="12"/>
          <w:numId w:val="0"/>
        </w:numPr>
        <w:jc w:val="both"/>
        <w:rPr>
          <w:rFonts w:cs="Arial"/>
        </w:rPr>
      </w:pPr>
      <w:r w:rsidRPr="00411C01">
        <w:rPr>
          <w:rFonts w:cs="Arial"/>
        </w:rPr>
        <w:t>Na východní větvi dešťové kanalizace bude umístěna retenční jímka RJ1-V o akumulačním objemu</w:t>
      </w:r>
      <w:r w:rsidR="001C4C56">
        <w:rPr>
          <w:rFonts w:cs="Arial"/>
        </w:rPr>
        <w:t xml:space="preserve"> </w:t>
      </w:r>
      <w:r w:rsidRPr="00411C01">
        <w:rPr>
          <w:rFonts w:cs="Arial"/>
        </w:rPr>
        <w:t>A=</w:t>
      </w:r>
      <w:r w:rsidR="0049597E">
        <w:rPr>
          <w:rFonts w:cs="Arial"/>
        </w:rPr>
        <w:t>23,5</w:t>
      </w:r>
      <w:r w:rsidRPr="00411C01">
        <w:rPr>
          <w:rFonts w:cs="Arial"/>
        </w:rPr>
        <w:t>m</w:t>
      </w:r>
      <w:r w:rsidRPr="00411C01">
        <w:rPr>
          <w:rFonts w:cs="Arial"/>
          <w:vertAlign w:val="superscript"/>
        </w:rPr>
        <w:t xml:space="preserve">3 </w:t>
      </w:r>
      <w:r w:rsidRPr="00411C01">
        <w:rPr>
          <w:rFonts w:cs="Arial"/>
        </w:rPr>
        <w:t>(</w:t>
      </w:r>
      <w:r>
        <w:rPr>
          <w:rFonts w:cs="Arial"/>
        </w:rPr>
        <w:t xml:space="preserve">akumulační </w:t>
      </w:r>
      <w:r w:rsidRPr="00411C01">
        <w:rPr>
          <w:rFonts w:cs="Arial"/>
        </w:rPr>
        <w:t xml:space="preserve">rozměry </w:t>
      </w:r>
      <w:r w:rsidR="00845E9A">
        <w:rPr>
          <w:rFonts w:cs="Arial"/>
        </w:rPr>
        <w:t>dxšxv=</w:t>
      </w:r>
      <w:r w:rsidR="0049597E">
        <w:rPr>
          <w:rFonts w:cs="Arial"/>
        </w:rPr>
        <w:t>2,23</w:t>
      </w:r>
      <w:r w:rsidRPr="00411C01">
        <w:rPr>
          <w:rFonts w:cs="Arial"/>
        </w:rPr>
        <w:t>x</w:t>
      </w:r>
      <w:r w:rsidR="0049597E">
        <w:rPr>
          <w:rFonts w:cs="Arial"/>
        </w:rPr>
        <w:t>9,22</w:t>
      </w:r>
      <w:r w:rsidRPr="00411C01">
        <w:rPr>
          <w:rFonts w:cs="Arial"/>
        </w:rPr>
        <w:t>x</w:t>
      </w:r>
      <w:r w:rsidR="0049597E">
        <w:rPr>
          <w:rFonts w:cs="Arial"/>
        </w:rPr>
        <w:t xml:space="preserve">1,29 </w:t>
      </w:r>
      <w:r w:rsidRPr="00411C01">
        <w:rPr>
          <w:rFonts w:cs="Arial"/>
        </w:rPr>
        <w:t>m). Regulovaný odtok Q=1</w:t>
      </w:r>
      <w:r w:rsidR="0049597E">
        <w:rPr>
          <w:rFonts w:cs="Arial"/>
        </w:rPr>
        <w:t>3,1</w:t>
      </w:r>
      <w:r w:rsidRPr="00411C01">
        <w:rPr>
          <w:rFonts w:cs="Arial"/>
        </w:rPr>
        <w:t xml:space="preserve"> l/s bude zajišťovat </w:t>
      </w:r>
      <w:r w:rsidR="0049597E">
        <w:rPr>
          <w:rFonts w:cs="Arial"/>
        </w:rPr>
        <w:t>r</w:t>
      </w:r>
      <w:r w:rsidR="0049597E" w:rsidRPr="0049597E">
        <w:rPr>
          <w:rFonts w:cs="Arial"/>
        </w:rPr>
        <w:t>egulátor odtoku KG DN300 Q=13,1 l/s</w:t>
      </w:r>
      <w:r w:rsidR="0049597E">
        <w:rPr>
          <w:rFonts w:cs="Arial"/>
        </w:rPr>
        <w:t xml:space="preserve"> </w:t>
      </w:r>
      <w:r w:rsidR="0049597E" w:rsidRPr="0049597E">
        <w:rPr>
          <w:rFonts w:cs="Arial"/>
        </w:rPr>
        <w:t xml:space="preserve">pomocí kapacitního </w:t>
      </w:r>
      <w:r w:rsidR="00A702DF" w:rsidRPr="0049597E">
        <w:rPr>
          <w:rFonts w:cs="Arial"/>
        </w:rPr>
        <w:t>otvoru</w:t>
      </w:r>
      <w:r w:rsidR="00A702DF">
        <w:rPr>
          <w:rFonts w:cs="Arial"/>
        </w:rPr>
        <w:t xml:space="preserve"> – typ T </w:t>
      </w:r>
      <w:r w:rsidR="0049597E" w:rsidRPr="0049597E">
        <w:rPr>
          <w:rFonts w:cs="Arial"/>
        </w:rPr>
        <w:t>s bezpečnostním přepadem DN300</w:t>
      </w:r>
      <w:r w:rsidR="0049597E">
        <w:rPr>
          <w:rFonts w:cs="Arial"/>
        </w:rPr>
        <w:t>. V místě osazení regulátoru odtoku bude jímka lokálně prohloubena</w:t>
      </w:r>
      <w:r w:rsidR="00845E9A">
        <w:rPr>
          <w:rFonts w:cs="Arial"/>
        </w:rPr>
        <w:t xml:space="preserve"> dxšxv=1000x1000x50mm.</w:t>
      </w:r>
    </w:p>
    <w:p w14:paraId="1F7FEFE9" w14:textId="5F21ACEA" w:rsidR="0049597E" w:rsidRDefault="003E31CA" w:rsidP="0049597E">
      <w:pPr>
        <w:numPr>
          <w:ilvl w:val="12"/>
          <w:numId w:val="0"/>
        </w:numPr>
        <w:jc w:val="both"/>
        <w:rPr>
          <w:rFonts w:cs="Arial"/>
        </w:rPr>
      </w:pPr>
      <w:r w:rsidRPr="00411C01">
        <w:rPr>
          <w:rFonts w:cs="Arial"/>
        </w:rPr>
        <w:t>Na zápa</w:t>
      </w:r>
      <w:r w:rsidR="00605FE7" w:rsidRPr="00411C01">
        <w:rPr>
          <w:rFonts w:cs="Arial"/>
        </w:rPr>
        <w:t>d</w:t>
      </w:r>
      <w:r w:rsidRPr="00411C01">
        <w:rPr>
          <w:rFonts w:cs="Arial"/>
        </w:rPr>
        <w:t>ní větvi dešťové kanaliz</w:t>
      </w:r>
      <w:r w:rsidR="00605FE7" w:rsidRPr="00411C01">
        <w:rPr>
          <w:rFonts w:cs="Arial"/>
        </w:rPr>
        <w:t>a</w:t>
      </w:r>
      <w:r w:rsidRPr="00411C01">
        <w:rPr>
          <w:rFonts w:cs="Arial"/>
        </w:rPr>
        <w:t>ce</w:t>
      </w:r>
      <w:r w:rsidR="00605FE7" w:rsidRPr="00411C01">
        <w:rPr>
          <w:rFonts w:cs="Arial"/>
        </w:rPr>
        <w:t xml:space="preserve"> bude umístěna retenční jímka RJ1-</w:t>
      </w:r>
      <w:r w:rsidR="008522CD" w:rsidRPr="00411C01">
        <w:rPr>
          <w:rFonts w:cs="Arial"/>
        </w:rPr>
        <w:t xml:space="preserve">Z o akumulačním objemu </w:t>
      </w:r>
      <w:r w:rsidR="00605FE7" w:rsidRPr="00411C01">
        <w:rPr>
          <w:rFonts w:cs="Arial"/>
        </w:rPr>
        <w:t>A=</w:t>
      </w:r>
      <w:r w:rsidR="0049597E">
        <w:rPr>
          <w:rFonts w:cs="Arial"/>
        </w:rPr>
        <w:t>30,1</w:t>
      </w:r>
      <w:r w:rsidR="00605FE7" w:rsidRPr="00411C01">
        <w:rPr>
          <w:rFonts w:cs="Arial"/>
        </w:rPr>
        <w:t>m</w:t>
      </w:r>
      <w:r w:rsidR="00605FE7" w:rsidRPr="00411C01">
        <w:rPr>
          <w:rFonts w:cs="Arial"/>
          <w:vertAlign w:val="superscript"/>
        </w:rPr>
        <w:t>3</w:t>
      </w:r>
      <w:r w:rsidR="001C4C56">
        <w:rPr>
          <w:rFonts w:cs="Arial"/>
          <w:vertAlign w:val="superscript"/>
        </w:rPr>
        <w:t xml:space="preserve"> </w:t>
      </w:r>
      <w:r w:rsidR="008522CD" w:rsidRPr="00411C01">
        <w:rPr>
          <w:rFonts w:cs="Arial"/>
        </w:rPr>
        <w:t>(</w:t>
      </w:r>
      <w:r w:rsidR="001C4C56">
        <w:rPr>
          <w:rFonts w:cs="Arial"/>
        </w:rPr>
        <w:t xml:space="preserve">akumulační </w:t>
      </w:r>
      <w:r w:rsidR="008522CD" w:rsidRPr="00411C01">
        <w:rPr>
          <w:rFonts w:cs="Arial"/>
        </w:rPr>
        <w:t xml:space="preserve">rozměry </w:t>
      </w:r>
      <w:r w:rsidR="00845E9A">
        <w:rPr>
          <w:rFonts w:cs="Arial"/>
        </w:rPr>
        <w:t>dxšxv=</w:t>
      </w:r>
      <w:r w:rsidR="00605FE7" w:rsidRPr="00411C01">
        <w:rPr>
          <w:rFonts w:cs="Arial"/>
        </w:rPr>
        <w:t>2,</w:t>
      </w:r>
      <w:r w:rsidR="0049597E">
        <w:rPr>
          <w:rFonts w:cs="Arial"/>
        </w:rPr>
        <w:t>2</w:t>
      </w:r>
      <w:r w:rsidR="00605FE7" w:rsidRPr="00411C01">
        <w:rPr>
          <w:rFonts w:cs="Arial"/>
        </w:rPr>
        <w:t>x</w:t>
      </w:r>
      <w:r w:rsidR="0049597E">
        <w:rPr>
          <w:rFonts w:cs="Arial"/>
        </w:rPr>
        <w:t>9,4x1,92</w:t>
      </w:r>
      <w:r w:rsidR="001C4C56">
        <w:rPr>
          <w:rFonts w:cs="Arial"/>
        </w:rPr>
        <w:t xml:space="preserve"> </w:t>
      </w:r>
      <w:r w:rsidR="00605FE7" w:rsidRPr="00411C01">
        <w:rPr>
          <w:rFonts w:cs="Arial"/>
        </w:rPr>
        <w:t>m</w:t>
      </w:r>
      <w:r w:rsidR="008522CD" w:rsidRPr="00411C01">
        <w:rPr>
          <w:rFonts w:cs="Arial"/>
        </w:rPr>
        <w:t xml:space="preserve">). </w:t>
      </w:r>
      <w:r w:rsidR="00605FE7" w:rsidRPr="00411C01">
        <w:rPr>
          <w:rFonts w:cs="Arial"/>
        </w:rPr>
        <w:t>Regulovaný odtok Q=</w:t>
      </w:r>
      <w:r w:rsidR="0049597E">
        <w:rPr>
          <w:rFonts w:cs="Arial"/>
        </w:rPr>
        <w:t xml:space="preserve">3,5 </w:t>
      </w:r>
      <w:r w:rsidR="00605FE7" w:rsidRPr="00411C01">
        <w:rPr>
          <w:rFonts w:cs="Arial"/>
        </w:rPr>
        <w:t>l/s</w:t>
      </w:r>
      <w:r w:rsidR="008522CD" w:rsidRPr="00411C01">
        <w:rPr>
          <w:rFonts w:cs="Arial"/>
        </w:rPr>
        <w:t xml:space="preserve"> </w:t>
      </w:r>
      <w:r w:rsidR="0049597E" w:rsidRPr="00411C01">
        <w:rPr>
          <w:rFonts w:cs="Arial"/>
        </w:rPr>
        <w:t xml:space="preserve">bude zajišťovat </w:t>
      </w:r>
      <w:r w:rsidR="0049597E">
        <w:rPr>
          <w:rFonts w:cs="Arial"/>
        </w:rPr>
        <w:t>r</w:t>
      </w:r>
      <w:r w:rsidR="0049597E" w:rsidRPr="0049597E">
        <w:rPr>
          <w:rFonts w:cs="Arial"/>
        </w:rPr>
        <w:t>egulátor odtoku KG DN300 Q=</w:t>
      </w:r>
      <w:r w:rsidR="0049597E">
        <w:rPr>
          <w:rFonts w:cs="Arial"/>
        </w:rPr>
        <w:t xml:space="preserve">3,5 </w:t>
      </w:r>
      <w:r w:rsidR="0049597E" w:rsidRPr="0049597E">
        <w:rPr>
          <w:rFonts w:cs="Arial"/>
        </w:rPr>
        <w:t>l/s</w:t>
      </w:r>
      <w:r w:rsidR="0049597E">
        <w:rPr>
          <w:rFonts w:cs="Arial"/>
        </w:rPr>
        <w:t xml:space="preserve"> </w:t>
      </w:r>
      <w:r w:rsidR="0049597E" w:rsidRPr="0049597E">
        <w:rPr>
          <w:rFonts w:cs="Arial"/>
        </w:rPr>
        <w:t xml:space="preserve">pomocí kapacitního </w:t>
      </w:r>
      <w:r w:rsidR="00A702DF" w:rsidRPr="0049597E">
        <w:rPr>
          <w:rFonts w:cs="Arial"/>
        </w:rPr>
        <w:t>otvoru</w:t>
      </w:r>
      <w:r w:rsidR="00A702DF">
        <w:rPr>
          <w:rFonts w:cs="Arial"/>
        </w:rPr>
        <w:t xml:space="preserve"> – typ</w:t>
      </w:r>
      <w:r w:rsidR="00A702DF">
        <w:rPr>
          <w:rFonts w:cs="Arial"/>
        </w:rPr>
        <w:t xml:space="preserve"> T</w:t>
      </w:r>
      <w:r w:rsidR="0049597E">
        <w:rPr>
          <w:rFonts w:cs="Arial"/>
        </w:rPr>
        <w:t xml:space="preserve"> </w:t>
      </w:r>
      <w:r w:rsidR="0049597E" w:rsidRPr="0049597E">
        <w:rPr>
          <w:rFonts w:cs="Arial"/>
        </w:rPr>
        <w:t>s bezpečnostním přepadem DN300</w:t>
      </w:r>
      <w:r w:rsidR="0049597E">
        <w:rPr>
          <w:rFonts w:cs="Arial"/>
        </w:rPr>
        <w:t>. V místě osazení regulátoru odtoku bude jímka lokálně prohloubena</w:t>
      </w:r>
      <w:r w:rsidR="00845E9A">
        <w:rPr>
          <w:rFonts w:cs="Arial"/>
        </w:rPr>
        <w:t xml:space="preserve"> dxšxv=1000x1000x50mm</w:t>
      </w:r>
      <w:r w:rsidR="0049597E">
        <w:rPr>
          <w:rFonts w:cs="Arial"/>
        </w:rPr>
        <w:t>.</w:t>
      </w:r>
    </w:p>
    <w:p w14:paraId="0765BD69" w14:textId="4B7F4183" w:rsidR="008136AE" w:rsidRPr="00411C01" w:rsidRDefault="008136AE" w:rsidP="003E31CA">
      <w:pPr>
        <w:pStyle w:val="Nadpis3"/>
        <w:rPr>
          <w:rFonts w:cs="Arial"/>
          <w:color w:val="auto"/>
        </w:rPr>
      </w:pPr>
      <w:bookmarkStart w:id="5" w:name="_Toc37107482"/>
      <w:bookmarkStart w:id="6" w:name="_Toc84584102"/>
      <w:r w:rsidRPr="00411C01">
        <w:rPr>
          <w:rFonts w:cs="Arial"/>
          <w:color w:val="auto"/>
        </w:rPr>
        <w:t xml:space="preserve">Výpočet </w:t>
      </w:r>
      <w:r w:rsidR="003E31CA" w:rsidRPr="00411C01">
        <w:rPr>
          <w:rFonts w:cs="Arial"/>
          <w:color w:val="auto"/>
        </w:rPr>
        <w:t xml:space="preserve">retence </w:t>
      </w:r>
      <w:r w:rsidRPr="00411C01">
        <w:rPr>
          <w:rFonts w:cs="Arial"/>
          <w:color w:val="auto"/>
        </w:rPr>
        <w:t>dešťových vod</w:t>
      </w:r>
      <w:bookmarkEnd w:id="5"/>
      <w:bookmarkEnd w:id="6"/>
    </w:p>
    <w:p w14:paraId="7A339EE4" w14:textId="77777777" w:rsidR="00A12768" w:rsidRPr="00411C01" w:rsidRDefault="00A12768" w:rsidP="00A12768">
      <w:pPr>
        <w:rPr>
          <w:rFonts w:cs="Arial"/>
        </w:rPr>
      </w:pPr>
      <w:r w:rsidRPr="00411C01">
        <w:rPr>
          <w:rFonts w:cs="Arial"/>
        </w:rPr>
        <w:t>Východ:</w:t>
      </w:r>
    </w:p>
    <w:p w14:paraId="29639022" w14:textId="77777777" w:rsidR="00A12768" w:rsidRPr="00411C01" w:rsidRDefault="00A12768" w:rsidP="00A12768">
      <w:pPr>
        <w:jc w:val="both"/>
        <w:rPr>
          <w:rFonts w:cs="Arial"/>
        </w:rPr>
      </w:pPr>
      <w:r w:rsidRPr="00411C01">
        <w:rPr>
          <w:rFonts w:cs="Arial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3607"/>
        <w:gridCol w:w="1428"/>
        <w:gridCol w:w="1011"/>
        <w:gridCol w:w="1531"/>
      </w:tblGrid>
      <w:tr w:rsidR="00A12768" w:rsidRPr="00411C01" w14:paraId="5F90937C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9D3334" w14:textId="77777777" w:rsidR="00A12768" w:rsidRPr="00411C01" w:rsidRDefault="00A12768" w:rsidP="00011F0B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 xml:space="preserve">A = </w:t>
            </w:r>
            <w:r w:rsidRPr="00B04F71">
              <w:rPr>
                <w:rFonts w:cs="Arial"/>
              </w:rPr>
              <w:t>1815,9</w:t>
            </w:r>
            <w:r w:rsidRPr="00411C01">
              <w:rPr>
                <w:rFonts w:cs="Arial"/>
              </w:rPr>
              <w:t xml:space="preserve"> m</w:t>
            </w:r>
            <w:r w:rsidRPr="00411C01">
              <w:rPr>
                <w:rFonts w:cs="Arial"/>
                <w:vertAlign w:val="superscript"/>
              </w:rPr>
              <w:t>2</w:t>
            </w:r>
            <w:r w:rsidRPr="00411C01">
              <w:rPr>
                <w:rFonts w:cs="Arial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23D57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 Střechy s nepropustnou horní vrstvou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7F85E" w14:textId="0681546E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 xml:space="preserve">sklon </w:t>
            </w:r>
            <w:r w:rsidR="001C4C56">
              <w:rPr>
                <w:rFonts w:cs="Arial"/>
              </w:rPr>
              <w:t xml:space="preserve">nad </w:t>
            </w:r>
            <w:r w:rsidRPr="00411C01">
              <w:rPr>
                <w:rFonts w:cs="Arial"/>
              </w:rPr>
              <w:t>5%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FE5C0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Ψ = 1.00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DDA1AF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A</w:t>
            </w:r>
            <w:r w:rsidRPr="00411C01">
              <w:rPr>
                <w:rFonts w:cs="Arial"/>
                <w:vertAlign w:val="subscript"/>
              </w:rPr>
              <w:t>red</w:t>
            </w:r>
            <w:r w:rsidRPr="00411C01">
              <w:rPr>
                <w:rFonts w:cs="Arial"/>
              </w:rPr>
              <w:t xml:space="preserve"> = </w:t>
            </w:r>
            <w:r w:rsidRPr="00B04F71">
              <w:rPr>
                <w:rFonts w:cs="Arial"/>
              </w:rPr>
              <w:t>1815,9</w:t>
            </w:r>
            <w:r w:rsidRPr="00411C01">
              <w:rPr>
                <w:rFonts w:cs="Arial"/>
              </w:rPr>
              <w:t xml:space="preserve"> m</w:t>
            </w:r>
            <w:r w:rsidRPr="00411C01">
              <w:rPr>
                <w:rFonts w:cs="Arial"/>
                <w:vertAlign w:val="superscript"/>
              </w:rPr>
              <w:t>2</w:t>
            </w:r>
          </w:p>
        </w:tc>
      </w:tr>
    </w:tbl>
    <w:p w14:paraId="4876DEE1" w14:textId="77777777" w:rsidR="00A12768" w:rsidRPr="00411C01" w:rsidRDefault="00A12768" w:rsidP="00A12768">
      <w:pPr>
        <w:jc w:val="both"/>
        <w:rPr>
          <w:rFonts w:cs="Arial"/>
        </w:rPr>
      </w:pPr>
      <w:r w:rsidRPr="00411C01">
        <w:rPr>
          <w:rFonts w:cs="Arial"/>
        </w:rPr>
        <w:t>Lokalita - nejbližší srážkoměrná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3"/>
      </w:tblGrid>
      <w:tr w:rsidR="00A12768" w:rsidRPr="00411C01" w14:paraId="2B69B5FC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51279F" w14:textId="77777777" w:rsidR="00A12768" w:rsidRPr="00411C01" w:rsidRDefault="00A12768" w:rsidP="00011F0B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>9 - Petrovice</w:t>
            </w:r>
          </w:p>
        </w:tc>
      </w:tr>
    </w:tbl>
    <w:p w14:paraId="1177595E" w14:textId="77777777" w:rsidR="00A12768" w:rsidRPr="00411C01" w:rsidRDefault="00A12768" w:rsidP="00A12768">
      <w:pPr>
        <w:jc w:val="both"/>
        <w:rPr>
          <w:rFonts w:cs="Arial"/>
        </w:rPr>
      </w:pPr>
      <w:r w:rsidRPr="00411C01">
        <w:rPr>
          <w:rFonts w:cs="Arial"/>
        </w:rPr>
        <w:t>Návrhové a vypočítané údaje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967"/>
        <w:gridCol w:w="4877"/>
      </w:tblGrid>
      <w:tr w:rsidR="00A12768" w:rsidRPr="00411C01" w14:paraId="7389D4CC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C364E" w14:textId="77777777" w:rsidR="00A12768" w:rsidRPr="00411C01" w:rsidRDefault="00A12768" w:rsidP="00011F0B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>A</w:t>
            </w:r>
            <w:r w:rsidRPr="00411C01">
              <w:rPr>
                <w:rFonts w:cs="Arial"/>
                <w:vertAlign w:val="subscript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C08EE" w14:textId="77777777" w:rsidR="00A12768" w:rsidRPr="00411C01" w:rsidRDefault="00A12768" w:rsidP="00011F0B">
            <w:pPr>
              <w:rPr>
                <w:rFonts w:cs="Arial"/>
              </w:rPr>
            </w:pPr>
            <w:r w:rsidRPr="00B04F71">
              <w:rPr>
                <w:rFonts w:cs="Arial"/>
              </w:rPr>
              <w:t>1815,9</w:t>
            </w:r>
            <w:r w:rsidRPr="00411C01">
              <w:rPr>
                <w:rFonts w:cs="Arial"/>
              </w:rPr>
              <w:t xml:space="preserve"> m</w:t>
            </w:r>
            <w:r w:rsidRPr="00411C01">
              <w:rPr>
                <w:rFonts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DF6DF4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redukovaný půdorysný průmět odvodňované plochy</w:t>
            </w:r>
          </w:p>
        </w:tc>
      </w:tr>
      <w:tr w:rsidR="00A12768" w:rsidRPr="00411C01" w14:paraId="4D4C80AA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587EE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  <w:i/>
                <w:iCs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2C7C92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0.2 rok</w:t>
            </w:r>
            <w:r w:rsidRPr="00411C01">
              <w:rPr>
                <w:rFonts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3AEFB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periodicita srážek</w:t>
            </w:r>
          </w:p>
        </w:tc>
      </w:tr>
      <w:tr w:rsidR="00A12768" w:rsidRPr="00411C01" w14:paraId="7558F026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F0DD6A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Q</w:t>
            </w:r>
            <w:r w:rsidRPr="00411C01">
              <w:rPr>
                <w:rFonts w:cs="Arial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AF550" w14:textId="04409283" w:rsidR="00A12768" w:rsidRPr="00411C01" w:rsidRDefault="00583307" w:rsidP="00011F0B">
            <w:pPr>
              <w:rPr>
                <w:rFonts w:cs="Arial"/>
              </w:rPr>
            </w:pPr>
            <w:r>
              <w:rPr>
                <w:rFonts w:cs="Arial"/>
              </w:rPr>
              <w:t>13,1</w:t>
            </w:r>
            <w:r w:rsidR="00A12768" w:rsidRPr="00411C01">
              <w:rPr>
                <w:rFonts w:cs="Arial"/>
              </w:rPr>
              <w:t xml:space="preserve"> l.s</w:t>
            </w:r>
            <w:r w:rsidR="00A12768" w:rsidRPr="00411C01">
              <w:rPr>
                <w:rFonts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1D4AF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regulovaný odtok</w:t>
            </w:r>
          </w:p>
        </w:tc>
      </w:tr>
      <w:tr w:rsidR="00A12768" w:rsidRPr="00411C01" w14:paraId="743D8313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1D2F2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h</w:t>
            </w:r>
            <w:r w:rsidRPr="00411C01">
              <w:rPr>
                <w:rFonts w:cs="Arial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68979" w14:textId="4D0360CB" w:rsidR="00A12768" w:rsidRPr="00411C01" w:rsidRDefault="00583307" w:rsidP="00011F0B">
            <w:pPr>
              <w:rPr>
                <w:rFonts w:cs="Arial"/>
              </w:rPr>
            </w:pPr>
            <w:r>
              <w:rPr>
                <w:rFonts w:cs="Arial"/>
              </w:rPr>
              <w:t>21,6</w:t>
            </w:r>
            <w:r w:rsidR="00A12768" w:rsidRPr="00411C01">
              <w:rPr>
                <w:rFonts w:cs="Arial"/>
              </w:rPr>
              <w:t xml:space="preserve">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D4AEAA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návrhový úhrn srážek</w:t>
            </w:r>
          </w:p>
        </w:tc>
      </w:tr>
      <w:tr w:rsidR="00A12768" w:rsidRPr="00411C01" w14:paraId="4E2E4C44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DA6F81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  <w:i/>
                <w:iCs/>
              </w:rPr>
              <w:t>t</w:t>
            </w:r>
            <w:r w:rsidRPr="00411C01">
              <w:rPr>
                <w:rFonts w:cs="Arial"/>
                <w:i/>
                <w:iCs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48E97" w14:textId="673D8B4A" w:rsidR="00A12768" w:rsidRPr="00411C01" w:rsidRDefault="00583307" w:rsidP="00011F0B">
            <w:pPr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="00A12768" w:rsidRPr="00411C01">
              <w:rPr>
                <w:rFonts w:cs="Arial"/>
              </w:rPr>
              <w:t xml:space="preserve">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0F11E5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Fonts w:cs="Arial"/>
              </w:rPr>
              <w:t>doba trvání srážky</w:t>
            </w:r>
          </w:p>
        </w:tc>
      </w:tr>
      <w:tr w:rsidR="00A12768" w:rsidRPr="00411C01" w14:paraId="4DF1504C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0B0E1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V</w:t>
            </w:r>
            <w:r w:rsidRPr="00411C01">
              <w:rPr>
                <w:rStyle w:val="Siln"/>
                <w:rFonts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FEA253" w14:textId="4C3380F3" w:rsidR="00A12768" w:rsidRPr="00411C01" w:rsidRDefault="00583307" w:rsidP="00011F0B">
            <w:pPr>
              <w:rPr>
                <w:rFonts w:cs="Arial"/>
              </w:rPr>
            </w:pPr>
            <w:r>
              <w:rPr>
                <w:rStyle w:val="Siln"/>
                <w:rFonts w:cs="Arial"/>
              </w:rPr>
              <w:t>23,5</w:t>
            </w:r>
            <w:r w:rsidR="00A12768" w:rsidRPr="00411C01">
              <w:rPr>
                <w:rStyle w:val="Siln"/>
                <w:rFonts w:cs="Arial"/>
              </w:rPr>
              <w:t xml:space="preserve"> m</w:t>
            </w:r>
            <w:r w:rsidR="00A12768" w:rsidRPr="00411C01">
              <w:rPr>
                <w:rStyle w:val="Siln"/>
                <w:rFonts w:cs="Arial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A603EB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největší vypočtený retenční objem retenční nádrže</w:t>
            </w:r>
            <w:r w:rsidRPr="00411C01">
              <w:rPr>
                <w:rFonts w:cs="Arial"/>
                <w:b/>
                <w:bCs/>
              </w:rPr>
              <w:br/>
            </w:r>
            <w:r w:rsidRPr="00411C01">
              <w:rPr>
                <w:rStyle w:val="Siln"/>
                <w:rFonts w:cs="Arial"/>
              </w:rPr>
              <w:t>(návrhový objem)</w:t>
            </w:r>
          </w:p>
        </w:tc>
      </w:tr>
      <w:tr w:rsidR="00A12768" w:rsidRPr="00411C01" w14:paraId="5BDE939A" w14:textId="77777777" w:rsidTr="00011F0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24C40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T</w:t>
            </w:r>
            <w:r w:rsidRPr="00411C01">
              <w:rPr>
                <w:rStyle w:val="Siln"/>
                <w:rFonts w:cs="Arial"/>
                <w:vertAlign w:val="subscript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40885" w14:textId="44424773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0</w:t>
            </w:r>
            <w:r w:rsidR="00583307">
              <w:rPr>
                <w:rStyle w:val="Siln"/>
                <w:rFonts w:cs="Arial"/>
              </w:rPr>
              <w:t>,5</w:t>
            </w:r>
            <w:r w:rsidRPr="00411C01">
              <w:rPr>
                <w:rStyle w:val="Siln"/>
                <w:rFonts w:cs="Arial"/>
              </w:rPr>
              <w:t xml:space="preserve"> 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D7A4EB" w14:textId="77777777" w:rsidR="00A12768" w:rsidRPr="00411C01" w:rsidRDefault="00A12768" w:rsidP="00011F0B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doba prázdnění retenční nádrže - VYHOVUJE</w:t>
            </w:r>
          </w:p>
        </w:tc>
      </w:tr>
    </w:tbl>
    <w:p w14:paraId="6F2F0730" w14:textId="77777777" w:rsidR="00A12768" w:rsidRDefault="00A12768" w:rsidP="008136AE">
      <w:pPr>
        <w:rPr>
          <w:rFonts w:cs="Arial"/>
        </w:rPr>
      </w:pPr>
    </w:p>
    <w:p w14:paraId="7954FC49" w14:textId="00C70C49" w:rsidR="00804086" w:rsidRPr="00411C01" w:rsidRDefault="00804086" w:rsidP="008136AE">
      <w:pPr>
        <w:rPr>
          <w:rFonts w:cs="Arial"/>
        </w:rPr>
      </w:pPr>
      <w:r w:rsidRPr="00411C01">
        <w:rPr>
          <w:rFonts w:cs="Arial"/>
        </w:rPr>
        <w:t>Západ:</w:t>
      </w:r>
    </w:p>
    <w:p w14:paraId="671A022C" w14:textId="77777777" w:rsidR="00411C01" w:rsidRPr="00411C01" w:rsidRDefault="00411C01" w:rsidP="00411C01">
      <w:pPr>
        <w:jc w:val="both"/>
        <w:rPr>
          <w:rFonts w:cs="Arial"/>
        </w:rPr>
      </w:pPr>
      <w:r w:rsidRPr="00411C01">
        <w:rPr>
          <w:rFonts w:cs="Arial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3607"/>
        <w:gridCol w:w="1428"/>
        <w:gridCol w:w="1011"/>
        <w:gridCol w:w="1531"/>
      </w:tblGrid>
      <w:tr w:rsidR="00411C01" w:rsidRPr="00411C01" w14:paraId="2860F9E6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22ED1" w14:textId="39659414" w:rsidR="00411C01" w:rsidRPr="00411C01" w:rsidRDefault="00411C01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 xml:space="preserve">A = </w:t>
            </w:r>
            <w:r w:rsidR="00B04F71" w:rsidRPr="00605E34">
              <w:rPr>
                <w:rFonts w:cs="Arial"/>
              </w:rPr>
              <w:t>1</w:t>
            </w:r>
            <w:r w:rsidR="00B04F71">
              <w:rPr>
                <w:rFonts w:cs="Arial"/>
              </w:rPr>
              <w:t>521,9</w:t>
            </w:r>
            <w:r w:rsidRPr="00411C01">
              <w:rPr>
                <w:rFonts w:cs="Arial"/>
              </w:rPr>
              <w:t xml:space="preserve"> m</w:t>
            </w:r>
            <w:r w:rsidRPr="00411C01">
              <w:rPr>
                <w:rFonts w:cs="Arial"/>
                <w:vertAlign w:val="superscript"/>
              </w:rPr>
              <w:t>2</w:t>
            </w:r>
            <w:r w:rsidRPr="00411C01">
              <w:rPr>
                <w:rFonts w:cs="Arial"/>
              </w:rPr>
              <w:t>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5B0A26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 Střechy s nepropustnou horní vrstvou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14852" w14:textId="6C4DDDC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 xml:space="preserve">sklon </w:t>
            </w:r>
            <w:r w:rsidR="00A12768">
              <w:rPr>
                <w:rFonts w:cs="Arial"/>
              </w:rPr>
              <w:t xml:space="preserve">nad </w:t>
            </w:r>
            <w:r w:rsidRPr="00411C01">
              <w:rPr>
                <w:rFonts w:cs="Arial"/>
              </w:rPr>
              <w:t>5%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036A6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Ψ = 1.00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1D555F" w14:textId="02420279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A</w:t>
            </w:r>
            <w:r w:rsidRPr="00411C01">
              <w:rPr>
                <w:rFonts w:cs="Arial"/>
                <w:vertAlign w:val="subscript"/>
              </w:rPr>
              <w:t>red</w:t>
            </w:r>
            <w:r w:rsidRPr="00411C01">
              <w:rPr>
                <w:rFonts w:cs="Arial"/>
              </w:rPr>
              <w:t xml:space="preserve"> = </w:t>
            </w:r>
            <w:r w:rsidR="00B04F71" w:rsidRPr="00605E34">
              <w:rPr>
                <w:rFonts w:cs="Arial"/>
              </w:rPr>
              <w:t>1</w:t>
            </w:r>
            <w:r w:rsidR="00B04F71">
              <w:rPr>
                <w:rFonts w:cs="Arial"/>
              </w:rPr>
              <w:t>521,9</w:t>
            </w:r>
            <w:r w:rsidRPr="00411C01">
              <w:rPr>
                <w:rFonts w:cs="Arial"/>
              </w:rPr>
              <w:t xml:space="preserve"> m</w:t>
            </w:r>
            <w:r w:rsidRPr="00411C01">
              <w:rPr>
                <w:rFonts w:cs="Arial"/>
                <w:vertAlign w:val="superscript"/>
              </w:rPr>
              <w:t>2</w:t>
            </w:r>
          </w:p>
        </w:tc>
      </w:tr>
    </w:tbl>
    <w:p w14:paraId="2B5FC4F9" w14:textId="77777777" w:rsidR="00411C01" w:rsidRPr="00411C01" w:rsidRDefault="00411C01" w:rsidP="00411C01">
      <w:pPr>
        <w:jc w:val="both"/>
        <w:rPr>
          <w:rFonts w:cs="Arial"/>
        </w:rPr>
      </w:pPr>
      <w:r w:rsidRPr="00411C01">
        <w:rPr>
          <w:rFonts w:cs="Arial"/>
        </w:rPr>
        <w:t>Lokalita - nejbližší srážkoměrná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3"/>
      </w:tblGrid>
      <w:tr w:rsidR="00411C01" w:rsidRPr="00411C01" w14:paraId="68A10740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1444D3" w14:textId="77777777" w:rsidR="00411C01" w:rsidRPr="00411C01" w:rsidRDefault="00411C01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>9 - Petrovice</w:t>
            </w:r>
          </w:p>
        </w:tc>
      </w:tr>
    </w:tbl>
    <w:p w14:paraId="04A00FB9" w14:textId="77777777" w:rsidR="00411C01" w:rsidRPr="00411C01" w:rsidRDefault="00411C01" w:rsidP="00411C01">
      <w:pPr>
        <w:jc w:val="both"/>
        <w:rPr>
          <w:rFonts w:cs="Arial"/>
        </w:rPr>
      </w:pPr>
      <w:r w:rsidRPr="00411C01">
        <w:rPr>
          <w:rFonts w:cs="Arial"/>
        </w:rPr>
        <w:t>Návrhové a vypočítané údaje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967"/>
        <w:gridCol w:w="4877"/>
      </w:tblGrid>
      <w:tr w:rsidR="00411C01" w:rsidRPr="00411C01" w14:paraId="445AC94D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7EE26" w14:textId="77777777" w:rsidR="00411C01" w:rsidRPr="00411C01" w:rsidRDefault="00411C01">
            <w:pPr>
              <w:rPr>
                <w:rFonts w:cs="Arial"/>
                <w:sz w:val="24"/>
                <w:szCs w:val="24"/>
              </w:rPr>
            </w:pPr>
            <w:r w:rsidRPr="00411C01">
              <w:rPr>
                <w:rFonts w:cs="Arial"/>
              </w:rPr>
              <w:t>A</w:t>
            </w:r>
            <w:r w:rsidRPr="00411C01">
              <w:rPr>
                <w:rFonts w:cs="Arial"/>
                <w:vertAlign w:val="subscript"/>
              </w:rPr>
              <w:t>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C7D548" w14:textId="08EE9EFC" w:rsidR="00411C01" w:rsidRPr="00411C01" w:rsidRDefault="00B04F71">
            <w:pPr>
              <w:rPr>
                <w:rFonts w:cs="Arial"/>
              </w:rPr>
            </w:pPr>
            <w:r w:rsidRPr="00605E34">
              <w:rPr>
                <w:rFonts w:cs="Arial"/>
              </w:rPr>
              <w:t>1</w:t>
            </w:r>
            <w:r>
              <w:rPr>
                <w:rFonts w:cs="Arial"/>
              </w:rPr>
              <w:t>521,9</w:t>
            </w:r>
            <w:r w:rsidR="00411C01" w:rsidRPr="00411C01">
              <w:rPr>
                <w:rFonts w:cs="Arial"/>
              </w:rPr>
              <w:t xml:space="preserve"> m</w:t>
            </w:r>
            <w:r w:rsidR="00411C01" w:rsidRPr="00411C01">
              <w:rPr>
                <w:rFonts w:cs="Arial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4E352D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redukovaný půdorysný průmět odvodňované plochy</w:t>
            </w:r>
          </w:p>
        </w:tc>
      </w:tr>
      <w:tr w:rsidR="00411C01" w:rsidRPr="00411C01" w14:paraId="3CAF94A9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97386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  <w:i/>
                <w:iCs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01D2BE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0.2 rok</w:t>
            </w:r>
            <w:r w:rsidRPr="00411C01">
              <w:rPr>
                <w:rFonts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E8E8D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periodicita srážek</w:t>
            </w:r>
          </w:p>
        </w:tc>
      </w:tr>
      <w:tr w:rsidR="00411C01" w:rsidRPr="00411C01" w14:paraId="372F8E79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6DE47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Q</w:t>
            </w:r>
            <w:r w:rsidRPr="00411C01">
              <w:rPr>
                <w:rFonts w:cs="Arial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A1D30" w14:textId="21F18372" w:rsidR="00411C01" w:rsidRPr="00411C01" w:rsidRDefault="00B966AF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  <w:r>
              <w:t xml:space="preserve">,5 </w:t>
            </w:r>
            <w:r w:rsidR="00411C01" w:rsidRPr="00411C01">
              <w:rPr>
                <w:rFonts w:cs="Arial"/>
              </w:rPr>
              <w:t>l.s</w:t>
            </w:r>
            <w:r w:rsidR="00411C01" w:rsidRPr="00411C01">
              <w:rPr>
                <w:rFonts w:cs="Arial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6E9AA6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regulovaný odtok</w:t>
            </w:r>
          </w:p>
        </w:tc>
      </w:tr>
      <w:tr w:rsidR="00411C01" w:rsidRPr="00411C01" w14:paraId="2AD595C9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798C54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h</w:t>
            </w:r>
            <w:r w:rsidRPr="00411C01">
              <w:rPr>
                <w:rFonts w:cs="Arial"/>
                <w:vertAlign w:val="subscript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93A38" w14:textId="5295CF52" w:rsidR="00411C01" w:rsidRPr="00411C01" w:rsidRDefault="00B966AF">
            <w:pPr>
              <w:rPr>
                <w:rFonts w:cs="Arial"/>
              </w:rPr>
            </w:pPr>
            <w:r>
              <w:rPr>
                <w:rFonts w:cs="Arial"/>
              </w:rPr>
              <w:t>25,2</w:t>
            </w:r>
            <w:r w:rsidR="00411C01" w:rsidRPr="00411C01">
              <w:rPr>
                <w:rFonts w:cs="Arial"/>
              </w:rPr>
              <w:t xml:space="preserve">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B7007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návrhový úhrn srážek</w:t>
            </w:r>
          </w:p>
        </w:tc>
      </w:tr>
      <w:tr w:rsidR="00411C01" w:rsidRPr="00411C01" w14:paraId="006EC7C2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E0004E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  <w:i/>
                <w:iCs/>
              </w:rPr>
              <w:t>t</w:t>
            </w:r>
            <w:r w:rsidRPr="00411C01">
              <w:rPr>
                <w:rFonts w:cs="Arial"/>
                <w:i/>
                <w:iCs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8AAB1" w14:textId="11E824C8" w:rsidR="00411C01" w:rsidRPr="00411C01" w:rsidRDefault="00B966AF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411C01" w:rsidRPr="00411C01">
              <w:rPr>
                <w:rFonts w:cs="Arial"/>
              </w:rPr>
              <w:t>0 min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939E4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Fonts w:cs="Arial"/>
              </w:rPr>
              <w:t>doba trvání srážky</w:t>
            </w:r>
          </w:p>
        </w:tc>
      </w:tr>
      <w:tr w:rsidR="00411C01" w:rsidRPr="00411C01" w14:paraId="7D71660F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20E8E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V</w:t>
            </w:r>
            <w:r w:rsidRPr="00411C01">
              <w:rPr>
                <w:rStyle w:val="Siln"/>
                <w:rFonts w:cs="Arial"/>
                <w:vertAlign w:val="subscript"/>
              </w:rPr>
              <w:t>vz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253674" w14:textId="3EB48320" w:rsidR="00411C01" w:rsidRPr="00411C01" w:rsidRDefault="00B966AF">
            <w:pPr>
              <w:rPr>
                <w:rFonts w:cs="Arial"/>
              </w:rPr>
            </w:pPr>
            <w:r>
              <w:rPr>
                <w:rStyle w:val="Siln"/>
                <w:rFonts w:cs="Arial"/>
              </w:rPr>
              <w:t>3</w:t>
            </w:r>
            <w:r>
              <w:rPr>
                <w:rStyle w:val="Siln"/>
              </w:rPr>
              <w:t>0,0</w:t>
            </w:r>
            <w:r w:rsidR="00411C01" w:rsidRPr="00411C01">
              <w:rPr>
                <w:rStyle w:val="Siln"/>
                <w:rFonts w:cs="Arial"/>
              </w:rPr>
              <w:t xml:space="preserve"> m</w:t>
            </w:r>
            <w:r w:rsidR="00411C01" w:rsidRPr="00411C01">
              <w:rPr>
                <w:rStyle w:val="Siln"/>
                <w:rFonts w:cs="Arial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A6CF74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největší vypočtený retenční objem retenční nádrže</w:t>
            </w:r>
            <w:r w:rsidRPr="00411C01">
              <w:rPr>
                <w:rFonts w:cs="Arial"/>
                <w:b/>
                <w:bCs/>
              </w:rPr>
              <w:br/>
            </w:r>
            <w:r w:rsidRPr="00411C01">
              <w:rPr>
                <w:rStyle w:val="Siln"/>
                <w:rFonts w:cs="Arial"/>
              </w:rPr>
              <w:t>(návrhový objem)</w:t>
            </w:r>
          </w:p>
        </w:tc>
      </w:tr>
      <w:tr w:rsidR="00411C01" w:rsidRPr="00411C01" w14:paraId="6BF94A96" w14:textId="77777777" w:rsidTr="00411C01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55440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T</w:t>
            </w:r>
            <w:r w:rsidRPr="00411C01">
              <w:rPr>
                <w:rStyle w:val="Siln"/>
                <w:rFonts w:cs="Arial"/>
                <w:vertAlign w:val="subscript"/>
              </w:rPr>
              <w:t>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DC60A" w14:textId="438B1EBD" w:rsidR="00411C01" w:rsidRPr="00411C01" w:rsidRDefault="00B966AF">
            <w:pPr>
              <w:rPr>
                <w:rFonts w:cs="Arial"/>
              </w:rPr>
            </w:pPr>
            <w:r>
              <w:rPr>
                <w:rStyle w:val="Siln"/>
                <w:rFonts w:cs="Arial"/>
              </w:rPr>
              <w:t>2,4</w:t>
            </w:r>
            <w:r w:rsidR="00411C01" w:rsidRPr="00411C01">
              <w:rPr>
                <w:rStyle w:val="Siln"/>
                <w:rFonts w:cs="Arial"/>
              </w:rPr>
              <w:t xml:space="preserve"> 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31640" w14:textId="77777777" w:rsidR="00411C01" w:rsidRPr="00411C01" w:rsidRDefault="00411C01">
            <w:pPr>
              <w:rPr>
                <w:rFonts w:cs="Arial"/>
              </w:rPr>
            </w:pPr>
            <w:r w:rsidRPr="00411C01">
              <w:rPr>
                <w:rStyle w:val="Siln"/>
                <w:rFonts w:cs="Arial"/>
              </w:rPr>
              <w:t>doba prázdnění retenční nádrže - VYHOVUJE</w:t>
            </w:r>
          </w:p>
        </w:tc>
      </w:tr>
    </w:tbl>
    <w:p w14:paraId="13A1EE88" w14:textId="77777777" w:rsidR="00146372" w:rsidRPr="00411C01" w:rsidRDefault="00146372" w:rsidP="000C2B7E">
      <w:pPr>
        <w:pStyle w:val="Nadpis2"/>
        <w:rPr>
          <w:rFonts w:cs="Arial"/>
        </w:rPr>
      </w:pPr>
      <w:bookmarkStart w:id="7" w:name="_Toc84584103"/>
      <w:bookmarkStart w:id="8" w:name="_Hlk55565394"/>
      <w:r w:rsidRPr="00411C01">
        <w:rPr>
          <w:rFonts w:cs="Arial"/>
        </w:rPr>
        <w:lastRenderedPageBreak/>
        <w:t>Zkoušky kanalizace</w:t>
      </w:r>
      <w:bookmarkEnd w:id="7"/>
    </w:p>
    <w:bookmarkEnd w:id="8"/>
    <w:p w14:paraId="4648845D" w14:textId="77777777" w:rsidR="00146372" w:rsidRPr="00411C01" w:rsidRDefault="00146372">
      <w:pPr>
        <w:jc w:val="both"/>
        <w:rPr>
          <w:rFonts w:cs="Arial"/>
        </w:rPr>
      </w:pPr>
      <w:r w:rsidRPr="00411C01">
        <w:rPr>
          <w:rFonts w:cs="Arial"/>
        </w:rPr>
        <w:t>Po skončení prací se provedou příslušné zkoušky dle ČSN 75 6760 Vnitřní kanalizace. Potrubí budou uložena ve výkopu podle zásad určených ČSN 73 60 05.</w:t>
      </w:r>
      <w:r w:rsidR="006E12A9" w:rsidRPr="00411C01">
        <w:rPr>
          <w:rFonts w:cs="Arial"/>
        </w:rPr>
        <w:t xml:space="preserve"> Investor je povinen nechat vytýčit veškerá podzemní vedení, která se nacházejí v místě výkopu.</w:t>
      </w:r>
    </w:p>
    <w:p w14:paraId="670ABD06" w14:textId="5625812D" w:rsidR="00202849" w:rsidRDefault="00146372">
      <w:pPr>
        <w:jc w:val="both"/>
        <w:rPr>
          <w:rFonts w:cs="Arial"/>
        </w:rPr>
      </w:pPr>
      <w:r w:rsidRPr="00411C01">
        <w:rPr>
          <w:rFonts w:cs="Arial"/>
        </w:rPr>
        <w:t xml:space="preserve">Další údaje a podrobnosti jsou </w:t>
      </w:r>
      <w:r w:rsidR="00D95DC5" w:rsidRPr="00411C01">
        <w:rPr>
          <w:rFonts w:cs="Arial"/>
        </w:rPr>
        <w:t>obsaženy v příloze</w:t>
      </w:r>
      <w:r w:rsidRPr="00411C01">
        <w:rPr>
          <w:rFonts w:cs="Arial"/>
        </w:rPr>
        <w:t xml:space="preserve"> a ve výkresové části.</w:t>
      </w:r>
    </w:p>
    <w:p w14:paraId="7930D54F" w14:textId="56F59483" w:rsidR="000E08C9" w:rsidRDefault="000E08C9" w:rsidP="00AB6840">
      <w:pPr>
        <w:pStyle w:val="Nadpis2"/>
        <w:rPr>
          <w:rFonts w:cs="Arial"/>
        </w:rPr>
      </w:pPr>
      <w:bookmarkStart w:id="9" w:name="_Toc84584104"/>
      <w:r>
        <w:rPr>
          <w:rFonts w:cs="Arial"/>
        </w:rPr>
        <w:t>Požadavky SČVK a.s.</w:t>
      </w:r>
      <w:bookmarkEnd w:id="9"/>
    </w:p>
    <w:p w14:paraId="42C52856" w14:textId="45B7EE24" w:rsidR="000E08C9" w:rsidRPr="00F72717" w:rsidRDefault="000E08C9" w:rsidP="00011F0B">
      <w:pPr>
        <w:jc w:val="both"/>
      </w:pPr>
      <w:r>
        <w:t>Vzhledem ke skutečnosti, že se jedná o rekonstrukci objektu, v historickém centru města Teplice a vzhl</w:t>
      </w:r>
      <w:r w:rsidR="002D1D55">
        <w:t>e</w:t>
      </w:r>
      <w:r>
        <w:t>d</w:t>
      </w:r>
      <w:r w:rsidR="002D1D55">
        <w:t>e</w:t>
      </w:r>
      <w:r>
        <w:t>m</w:t>
      </w:r>
      <w:r w:rsidR="002D1D55">
        <w:t xml:space="preserve"> k tomu, že prostorově není možno dešťové vody vsakovat, budou dešťové vody nejprve retenovány ve dvou </w:t>
      </w:r>
      <w:r w:rsidR="002D1D55" w:rsidRPr="00F72717">
        <w:t xml:space="preserve">retenčních jímkách na pozemku investora a po té regulovaným odtokem vypouštěny do veřejné dešťové kanalizace. </w:t>
      </w:r>
      <w:r w:rsidR="002D1D55" w:rsidRPr="00F72717">
        <w:rPr>
          <w:i/>
          <w:iCs/>
        </w:rPr>
        <w:t>„</w:t>
      </w:r>
      <w:r w:rsidRPr="00F72717">
        <w:rPr>
          <w:i/>
          <w:iCs/>
        </w:rPr>
        <w:t>Ve výjimečných případech, kdy ani jedna z předchozích variant není prokazatelně realizovatelná, lze přistoupit k odvedení dešťových vod jednotnou stokovou sítí k čistírně odpadních vod (s případnou regulací odtoku). Způsob odvedení srážkových vod je vždy projednán s provozovatelem.</w:t>
      </w:r>
      <w:r w:rsidR="002D1D55" w:rsidRPr="00F72717">
        <w:rPr>
          <w:i/>
          <w:iCs/>
        </w:rPr>
        <w:t>“</w:t>
      </w:r>
    </w:p>
    <w:p w14:paraId="16A99CF0" w14:textId="78B78F49" w:rsidR="002D1D55" w:rsidRPr="00011F0B" w:rsidRDefault="00011F0B" w:rsidP="00011F0B">
      <w:pPr>
        <w:jc w:val="both"/>
        <w:rPr>
          <w:rFonts w:cs="Arial"/>
        </w:rPr>
      </w:pPr>
      <w:r>
        <w:rPr>
          <w:rFonts w:cs="Arial"/>
        </w:rPr>
        <w:t>V</w:t>
      </w:r>
      <w:r w:rsidR="002D1D55" w:rsidRPr="00011F0B">
        <w:rPr>
          <w:rFonts w:cs="Arial"/>
        </w:rPr>
        <w:t>zhledem k požadavku investora nezasahovat při výstavě kanalizačních přípojek do silnice v ulici Na Hrázi, bylo navrženo napoiení přípojky dešťové kanalizace na stávající oddílnou stoku dešťové kanalizace až v ulici Husitská</w:t>
      </w:r>
      <w:r w:rsidR="00F72717" w:rsidRPr="00011F0B">
        <w:rPr>
          <w:rFonts w:cs="Arial"/>
        </w:rPr>
        <w:t xml:space="preserve"> a to pomocí nově vybudované kanalizační šachty</w:t>
      </w:r>
      <w:r w:rsidR="002D1D55" w:rsidRPr="00011F0B">
        <w:rPr>
          <w:rFonts w:cs="Arial"/>
        </w:rPr>
        <w:t>. Délka kanalizační přípojky bude cca 31,62m</w:t>
      </w:r>
    </w:p>
    <w:p w14:paraId="0C1A9280" w14:textId="63890A3F" w:rsidR="002D1D55" w:rsidRPr="00F72717" w:rsidRDefault="002D1D55" w:rsidP="00011F0B">
      <w:pPr>
        <w:jc w:val="both"/>
        <w:rPr>
          <w:i/>
          <w:iCs/>
        </w:rPr>
      </w:pPr>
      <w:r w:rsidRPr="00F72717">
        <w:rPr>
          <w:i/>
          <w:iCs/>
        </w:rPr>
        <w:t>“ V případě, že je kanalizační přípojka napojena do revizní šachty na stoce a délka rovného úseku kanalizační přípojky je delší než 25 m, osazuje se rovněž domovní revizní šachta na přípojce.“</w:t>
      </w:r>
    </w:p>
    <w:p w14:paraId="633EE68F" w14:textId="6FE5DFA2" w:rsidR="00F72717" w:rsidRDefault="00F72717" w:rsidP="00011F0B">
      <w:pPr>
        <w:jc w:val="both"/>
        <w:rPr>
          <w:i/>
          <w:iCs/>
        </w:rPr>
      </w:pPr>
      <w:r w:rsidRPr="00F72717">
        <w:t xml:space="preserve">Za každou retenční jímkou bude osazena čistící, revizní a měřící šachta z prefabrikovaných skruží </w:t>
      </w:r>
      <w:r w:rsidRPr="00F72717">
        <w:rPr>
          <w:rFonts w:ascii="Cambria Math" w:hAnsi="Cambria Math" w:cs="Cambria Math"/>
        </w:rPr>
        <w:t>∅</w:t>
      </w:r>
      <w:r w:rsidRPr="00F72717">
        <w:t>1500 mm pro umístění měřícího zařízení Parshallův žlab</w:t>
      </w:r>
      <w:r w:rsidR="007F250F">
        <w:t xml:space="preserve"> P3</w:t>
      </w:r>
      <w:r w:rsidRPr="00F72717">
        <w:t xml:space="preserve">. </w:t>
      </w:r>
      <w:r w:rsidRPr="00F72717">
        <w:rPr>
          <w:i/>
          <w:iCs/>
        </w:rPr>
        <w:t>„Kanalizační přípojky nad jmenovitou světlost DN 200 se po odsouhlasení provozovatelem zaústí do měrné šachty za účelem měření průtoku a odběru vzorků.“</w:t>
      </w:r>
    </w:p>
    <w:p w14:paraId="0C3A0346" w14:textId="5F65E159" w:rsidR="0088190D" w:rsidRPr="00F72717" w:rsidRDefault="0088190D" w:rsidP="00011F0B">
      <w:pPr>
        <w:jc w:val="both"/>
        <w:rPr>
          <w:i/>
          <w:iCs/>
        </w:rPr>
      </w:pPr>
      <w:r w:rsidRPr="0088190D">
        <w:t>Kanaliz</w:t>
      </w:r>
      <w:r>
        <w:t>a</w:t>
      </w:r>
      <w:r w:rsidRPr="0088190D">
        <w:t>ční potrubí přípoj</w:t>
      </w:r>
      <w:r>
        <w:t>e</w:t>
      </w:r>
      <w:r w:rsidRPr="0088190D">
        <w:t>k</w:t>
      </w:r>
      <w:r>
        <w:t xml:space="preserve"> dešťové kanalizace bylo </w:t>
      </w:r>
      <w:r w:rsidRPr="0088190D">
        <w:t>navrženo z</w:t>
      </w:r>
      <w:r>
        <w:t> </w:t>
      </w:r>
      <w:r w:rsidRPr="0088190D">
        <w:t>plast</w:t>
      </w:r>
      <w:r>
        <w:t xml:space="preserve">ových trub </w:t>
      </w:r>
      <w:r w:rsidRPr="0088190D">
        <w:t>PVC SN12</w:t>
      </w:r>
      <w:r>
        <w:t xml:space="preserve"> </w:t>
      </w:r>
      <w:r>
        <w:rPr>
          <w:i/>
          <w:iCs/>
        </w:rPr>
        <w:t>„</w:t>
      </w:r>
      <w:r w:rsidRPr="0088190D">
        <w:rPr>
          <w:i/>
          <w:iCs/>
        </w:rPr>
        <w:t>Schváleným materiálem pro kanalizační přípojky je kamenina nebo plasty.</w:t>
      </w:r>
      <w:r>
        <w:rPr>
          <w:i/>
          <w:iCs/>
        </w:rPr>
        <w:t>“</w:t>
      </w:r>
    </w:p>
    <w:p w14:paraId="709582CE" w14:textId="5F2B34B5" w:rsidR="00AB6840" w:rsidRPr="00F72717" w:rsidRDefault="00AB6840" w:rsidP="00F72717">
      <w:pPr>
        <w:pStyle w:val="Nadpis2"/>
        <w:rPr>
          <w:rFonts w:cs="Arial"/>
        </w:rPr>
      </w:pPr>
      <w:bookmarkStart w:id="10" w:name="_Toc84584105"/>
      <w:r w:rsidRPr="00F72717">
        <w:rPr>
          <w:rFonts w:cs="Arial"/>
        </w:rPr>
        <w:t>Poznámka</w:t>
      </w:r>
      <w:bookmarkEnd w:id="10"/>
    </w:p>
    <w:p w14:paraId="68CF569E" w14:textId="1F1D33E4" w:rsidR="00AB6840" w:rsidRPr="00F72717" w:rsidRDefault="00AB6840" w:rsidP="00B16BA5">
      <w:pPr>
        <w:jc w:val="both"/>
      </w:pPr>
      <w:r w:rsidRPr="00F72717">
        <w:t xml:space="preserve">Vzhledem k rozporům v podkladech jednotlivých sítí, je nutno </w:t>
      </w:r>
      <w:r w:rsidR="00BA50D4" w:rsidRPr="00F72717">
        <w:t xml:space="preserve">před vypracování realizační projektové dokumentace </w:t>
      </w:r>
      <w:r w:rsidRPr="00F72717">
        <w:t xml:space="preserve">nechat zaměřit přesnou polohu stávajících sítí </w:t>
      </w:r>
      <w:r w:rsidR="00BA50D4" w:rsidRPr="00F72717">
        <w:t xml:space="preserve">od </w:t>
      </w:r>
      <w:r w:rsidRPr="00F72717">
        <w:t>správc</w:t>
      </w:r>
      <w:r w:rsidR="00BA50D4" w:rsidRPr="00F72717">
        <w:t>ů</w:t>
      </w:r>
      <w:r w:rsidRPr="00F72717">
        <w:t xml:space="preserve"> jednotlivých sítí.</w:t>
      </w:r>
    </w:p>
    <w:p w14:paraId="3783A6C0" w14:textId="5F725788" w:rsidR="00BA50D4" w:rsidRPr="00F72717" w:rsidRDefault="00BA50D4" w:rsidP="00B16BA5">
      <w:pPr>
        <w:jc w:val="both"/>
      </w:pPr>
      <w:r w:rsidRPr="00F72717">
        <w:t>Projektová dokumentace je vypracována ve stupni projektová dokumentace pro provádění stavby – PDPS. Před realizací stavby musí být vypracována realizační dokumentace stavby – RDS.</w:t>
      </w:r>
    </w:p>
    <w:p w14:paraId="1C588BFC" w14:textId="77777777" w:rsidR="00B16BA5" w:rsidRPr="00F72717" w:rsidRDefault="00B16BA5" w:rsidP="00B16BA5">
      <w:pPr>
        <w:jc w:val="both"/>
      </w:pPr>
      <w:r w:rsidRPr="00F72717">
        <w:t>Vzhledem k rozporům v podkladech jednotlivých sítí, je nutno před vypracování realizační projektové dokumentace nechat zaměřit přesnou polohu stávajících sítí od správců jednotlivých sítí.</w:t>
      </w:r>
    </w:p>
    <w:p w14:paraId="0BAD7223" w14:textId="55280B46" w:rsidR="00B16BA5" w:rsidRDefault="00B16BA5" w:rsidP="00B16BA5">
      <w:pPr>
        <w:jc w:val="both"/>
      </w:pPr>
      <w:r w:rsidRPr="00F72717">
        <w:t>Na základě rozporů mezi situací poskytnutou od správce kanalizačních a vodovodních sítí Severočeské vodovody a kanalizace, a.s. (dále SČVK</w:t>
      </w:r>
      <w:r>
        <w:t>) dne 2.7.2020 a na povrchu komunikačních ploch viditelným stavem kanalizačních sítí v ul. Hrázní a ul. Na Hrázi byl proveden průzkum kanalizace.  Úvodní byl proveden projektantem za součinnosti se správcem Správa železnic, s.o. – Oblastní ředitelství Ústí nad Labem – Správa pozemních staveb Ústí n.L. (dále OŘ - SPS) dne 8.7.2020. Při něm byly odkryty poklopy některých šachet a prohlédnut a zakreslen stav v šachtách včetně změření hloubek. Tyto změřené hloubky se liší od hloubek v evidenci správce. Nesouhlasily ani typy a trasy některých kanalizací. Další průzkum byl proveden za součinnosti správce OŘ – SPS s PATOK a.s. dne 4.8.2020. Byly odkryty některé další šachty a vpust v Husitské ulici. K zatím závěrečnému průzkumu došlo pomocí pročištění a použití kamery dne 11.10.2020 společností PATOK a.s. Na východním okraji u provozovny České pošty, s.p. (směr na Ústí n.L.) byla odkryta šachta v chodníku (z betonových skruží bez stupadel, stojatá voda – výtok výše než vtok). Proplachem byla pročištěna kanalizační větev v chodníku přes další šachtu (betonové skruže bez stupadel, kruhový litinový poklop v ploše vozovky, horní překryvný ocelový poklop v ploše chodníku) do šachty v blízkosti rohu části výpravní budovy blízko schodiště do rychlého občerstvení (betonové skruže). Zde je rozměrná dešťová stoka (vnitřní průřez betonové vejčité konstrukce 500 x 750 mm),přicházející zpod výpravní budovy a směřující mírně šikmo přes ul. Hrázní. Veškeré poznatky průzkumu určily, že se jedná o dešťovou kanalizaci. Na západním okraji výpravní budovy (směr Most) byla zkoumána nejbližší dešťová kanalizace. Začátek dešťové stoky nemá šachtu. Byla tedy prohlédnuta dešťová vpust v blízkosti vjezdu do dvora služebny Policie ČR v ul. Husitské. Poté byla odkryta vpust v blízkosti rohu budovy (parc.č. 1055/1) ve vzdálenosti cca 7 m od rohu. Byla měřena hloubka dna v hodnotě 2,25 m od povrchu vpusti. Dodatečně byla geodeticky zaměřena její výšková úroveň pomocí GPS.</w:t>
      </w:r>
    </w:p>
    <w:p w14:paraId="39C8D63B" w14:textId="4B012E1F" w:rsidR="00AB6840" w:rsidRDefault="00B16BA5" w:rsidP="00B16BA5">
      <w:pPr>
        <w:jc w:val="both"/>
      </w:pPr>
      <w:r>
        <w:t>Stoka byla v době průzkumu suchá, ale její dno je zaneseno naplaveninami a ve vzdálenosti cca 3 – 4 m směrem k výpravní budově je na dně pojízdnou kamerou nepřekonatelnou sutí. Zde byl průzkum ukončen, protože tato suť by pravděpodobně nešla odstranit pouze proplachem. Na kamerových záběrech byla vidět v částečně nezřetelně pokračující stoka a pravděpodobně i její lomení. Stoka má svislé betonové stěny (případně omítnuté zdivo) a horní konstrukci z cihelné klenby (vydutí o cca 50 – 70 mm). Světlá šířka stoky je cca 800 mm, světlá výška cca 1100 mm. Její poloha je blíže k okraji chodníku než v situaci od SČKV.</w:t>
      </w:r>
    </w:p>
    <w:sectPr w:rsidR="00AB6840" w:rsidSect="00244E6E">
      <w:footerReference w:type="even" r:id="rId8"/>
      <w:footerReference w:type="default" r:id="rId9"/>
      <w:footerReference w:type="first" r:id="rId10"/>
      <w:pgSz w:w="11907" w:h="16840"/>
      <w:pgMar w:top="1134" w:right="1134" w:bottom="1134" w:left="1134" w:header="680" w:footer="68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9C80" w14:textId="77777777" w:rsidR="0049762E" w:rsidRDefault="0049762E">
      <w:r>
        <w:separator/>
      </w:r>
    </w:p>
  </w:endnote>
  <w:endnote w:type="continuationSeparator" w:id="0">
    <w:p w14:paraId="7AF40FAF" w14:textId="77777777" w:rsidR="0049762E" w:rsidRDefault="0049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E32AD" w14:textId="77777777" w:rsidR="00011F0B" w:rsidRDefault="00011F0B" w:rsidP="0014637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CAFD7F" w14:textId="77777777" w:rsidR="00011F0B" w:rsidRDefault="00011F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34590"/>
      <w:docPartObj>
        <w:docPartGallery w:val="Page Numbers (Bottom of Page)"/>
        <w:docPartUnique/>
      </w:docPartObj>
    </w:sdtPr>
    <w:sdtEndPr/>
    <w:sdtContent>
      <w:p w14:paraId="78363270" w14:textId="77777777" w:rsidR="00011F0B" w:rsidRDefault="00011F0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39E195" w14:textId="77777777" w:rsidR="00011F0B" w:rsidRDefault="00011F0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72634"/>
      <w:docPartObj>
        <w:docPartGallery w:val="Page Numbers (Bottom of Page)"/>
        <w:docPartUnique/>
      </w:docPartObj>
    </w:sdtPr>
    <w:sdtEndPr/>
    <w:sdtContent>
      <w:p w14:paraId="58390925" w14:textId="77777777" w:rsidR="00011F0B" w:rsidRDefault="00011F0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20BB37" w14:textId="77777777" w:rsidR="00011F0B" w:rsidRDefault="00011F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ED66F" w14:textId="77777777" w:rsidR="0049762E" w:rsidRDefault="0049762E">
      <w:r>
        <w:separator/>
      </w:r>
    </w:p>
  </w:footnote>
  <w:footnote w:type="continuationSeparator" w:id="0">
    <w:p w14:paraId="39EBE32E" w14:textId="77777777" w:rsidR="0049762E" w:rsidRDefault="00497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DD5"/>
    <w:multiLevelType w:val="hybridMultilevel"/>
    <w:tmpl w:val="040481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F5B34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0F1619"/>
    <w:multiLevelType w:val="singleLevel"/>
    <w:tmpl w:val="CF3CDC04"/>
    <w:lvl w:ilvl="0">
      <w:start w:val="1"/>
      <w:numFmt w:val="none"/>
      <w:lvlText w:val=""/>
      <w:legacy w:legacy="1" w:legacySpace="0" w:legacyIndent="360"/>
      <w:lvlJc w:val="left"/>
      <w:pPr>
        <w:ind w:left="249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3" w15:restartNumberingAfterBreak="0">
    <w:nsid w:val="143C722A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7C37F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892276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6" w15:restartNumberingAfterBreak="0">
    <w:nsid w:val="1CF356A6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0B2566"/>
    <w:multiLevelType w:val="singleLevel"/>
    <w:tmpl w:val="CF3CDC04"/>
    <w:lvl w:ilvl="0">
      <w:start w:val="1"/>
      <w:numFmt w:val="none"/>
      <w:lvlText w:val=""/>
      <w:legacy w:legacy="1" w:legacySpace="0" w:legacyIndent="360"/>
      <w:lvlJc w:val="left"/>
      <w:pPr>
        <w:ind w:left="249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8" w15:restartNumberingAfterBreak="0">
    <w:nsid w:val="212A7298"/>
    <w:multiLevelType w:val="singleLevel"/>
    <w:tmpl w:val="5A38A734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9" w15:restartNumberingAfterBreak="0">
    <w:nsid w:val="251B3B91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0" w15:restartNumberingAfterBreak="0">
    <w:nsid w:val="27BD38A9"/>
    <w:multiLevelType w:val="multilevel"/>
    <w:tmpl w:val="751C49FE"/>
    <w:lvl w:ilvl="0">
      <w:start w:val="1"/>
      <w:numFmt w:val="upperLetter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bCs w:val="0"/>
        <w:i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 w:val="0"/>
        <w:bCs/>
        <w:i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3114799A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2208FA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66E5B71"/>
    <w:multiLevelType w:val="singleLevel"/>
    <w:tmpl w:val="166A68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67E473C"/>
    <w:multiLevelType w:val="hybridMultilevel"/>
    <w:tmpl w:val="01427F3C"/>
    <w:lvl w:ilvl="0" w:tplc="F0B6FE8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41DB8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552B70"/>
    <w:multiLevelType w:val="singleLevel"/>
    <w:tmpl w:val="4388176C"/>
    <w:lvl w:ilvl="0">
      <w:start w:val="1"/>
      <w:numFmt w:val="none"/>
      <w:pStyle w:val="nadpis3-vlastn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395E161C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8" w15:restartNumberingAfterBreak="0">
    <w:nsid w:val="3C3D3167"/>
    <w:multiLevelType w:val="hybridMultilevel"/>
    <w:tmpl w:val="1B74AFA8"/>
    <w:lvl w:ilvl="0" w:tplc="F0B6FE8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54A39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 w15:restartNumberingAfterBreak="0">
    <w:nsid w:val="44540036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1" w15:restartNumberingAfterBreak="0">
    <w:nsid w:val="47DD2F2E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2" w15:restartNumberingAfterBreak="0">
    <w:nsid w:val="47E13C86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8D54E66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4" w15:restartNumberingAfterBreak="0">
    <w:nsid w:val="49F57DBE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5" w15:restartNumberingAfterBreak="0">
    <w:nsid w:val="4CF471A4"/>
    <w:multiLevelType w:val="hybridMultilevel"/>
    <w:tmpl w:val="AC048D56"/>
    <w:lvl w:ilvl="0" w:tplc="A19C7D76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F5C29"/>
    <w:multiLevelType w:val="singleLevel"/>
    <w:tmpl w:val="A296D2C2"/>
    <w:lvl w:ilvl="0">
      <w:numFmt w:val="none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1352A00"/>
    <w:multiLevelType w:val="singleLevel"/>
    <w:tmpl w:val="CF3CDC04"/>
    <w:lvl w:ilvl="0">
      <w:start w:val="1"/>
      <w:numFmt w:val="none"/>
      <w:lvlText w:val=""/>
      <w:legacy w:legacy="1" w:legacySpace="0" w:legacyIndent="360"/>
      <w:lvlJc w:val="left"/>
      <w:pPr>
        <w:ind w:left="249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28" w15:restartNumberingAfterBreak="0">
    <w:nsid w:val="60C062D3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9" w15:restartNumberingAfterBreak="0">
    <w:nsid w:val="61720AD2"/>
    <w:multiLevelType w:val="singleLevel"/>
    <w:tmpl w:val="5A38A734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0" w15:restartNumberingAfterBreak="0">
    <w:nsid w:val="683A4D0B"/>
    <w:multiLevelType w:val="singleLevel"/>
    <w:tmpl w:val="95F8CDEA"/>
    <w:lvl w:ilvl="0">
      <w:start w:val="1"/>
      <w:numFmt w:val="none"/>
      <w:lvlText w:val=""/>
      <w:legacy w:legacy="1" w:legacySpace="0" w:legacyIndent="360"/>
      <w:lvlJc w:val="left"/>
      <w:pPr>
        <w:ind w:left="249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31" w15:restartNumberingAfterBreak="0">
    <w:nsid w:val="6C0D092D"/>
    <w:multiLevelType w:val="hybridMultilevel"/>
    <w:tmpl w:val="97E6E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C11F1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33" w15:restartNumberingAfterBreak="0">
    <w:nsid w:val="75A344C8"/>
    <w:multiLevelType w:val="singleLevel"/>
    <w:tmpl w:val="5A38A734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4" w15:restartNumberingAfterBreak="0">
    <w:nsid w:val="79AE5D73"/>
    <w:multiLevelType w:val="hybridMultilevel"/>
    <w:tmpl w:val="95069F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B6468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36" w15:restartNumberingAfterBreak="0">
    <w:nsid w:val="7DB97EF5"/>
    <w:multiLevelType w:val="singleLevel"/>
    <w:tmpl w:val="657EE9C8"/>
    <w:lvl w:ilvl="0">
      <w:start w:val="1"/>
      <w:numFmt w:val="none"/>
      <w:lvlText w:val=""/>
      <w:legacy w:legacy="1" w:legacySpace="0" w:legacyIndent="283"/>
      <w:lvlJc w:val="left"/>
      <w:pPr>
        <w:ind w:left="1273" w:hanging="283"/>
      </w:pPr>
      <w:rPr>
        <w:rFonts w:ascii="Wingdings" w:hAnsi="Wingdings" w:hint="default"/>
        <w:b w:val="0"/>
        <w:i w:val="0"/>
        <w:sz w:val="24"/>
      </w:rPr>
    </w:lvl>
  </w:abstractNum>
  <w:num w:numId="1">
    <w:abstractNumId w:val="7"/>
  </w:num>
  <w:num w:numId="2">
    <w:abstractNumId w:val="2"/>
  </w:num>
  <w:num w:numId="3">
    <w:abstractNumId w:val="27"/>
  </w:num>
  <w:num w:numId="4">
    <w:abstractNumId w:val="19"/>
  </w:num>
  <w:num w:numId="5">
    <w:abstractNumId w:val="9"/>
  </w:num>
  <w:num w:numId="6">
    <w:abstractNumId w:val="20"/>
  </w:num>
  <w:num w:numId="7">
    <w:abstractNumId w:val="5"/>
  </w:num>
  <w:num w:numId="8">
    <w:abstractNumId w:val="17"/>
  </w:num>
  <w:num w:numId="9">
    <w:abstractNumId w:val="36"/>
  </w:num>
  <w:num w:numId="10">
    <w:abstractNumId w:val="16"/>
  </w:num>
  <w:num w:numId="11">
    <w:abstractNumId w:val="33"/>
  </w:num>
  <w:num w:numId="12">
    <w:abstractNumId w:val="8"/>
  </w:num>
  <w:num w:numId="13">
    <w:abstractNumId w:val="29"/>
  </w:num>
  <w:num w:numId="14">
    <w:abstractNumId w:val="28"/>
  </w:num>
  <w:num w:numId="15">
    <w:abstractNumId w:val="21"/>
  </w:num>
  <w:num w:numId="16">
    <w:abstractNumId w:val="32"/>
  </w:num>
  <w:num w:numId="17">
    <w:abstractNumId w:val="35"/>
  </w:num>
  <w:num w:numId="18">
    <w:abstractNumId w:val="24"/>
  </w:num>
  <w:num w:numId="19">
    <w:abstractNumId w:val="23"/>
  </w:num>
  <w:num w:numId="20">
    <w:abstractNumId w:val="11"/>
  </w:num>
  <w:num w:numId="21">
    <w:abstractNumId w:val="1"/>
  </w:num>
  <w:num w:numId="22">
    <w:abstractNumId w:val="6"/>
  </w:num>
  <w:num w:numId="23">
    <w:abstractNumId w:val="12"/>
  </w:num>
  <w:num w:numId="24">
    <w:abstractNumId w:val="3"/>
  </w:num>
  <w:num w:numId="25">
    <w:abstractNumId w:val="26"/>
  </w:num>
  <w:num w:numId="26">
    <w:abstractNumId w:val="15"/>
  </w:num>
  <w:num w:numId="27">
    <w:abstractNumId w:val="22"/>
  </w:num>
  <w:num w:numId="28">
    <w:abstractNumId w:val="13"/>
  </w:num>
  <w:num w:numId="29">
    <w:abstractNumId w:val="30"/>
  </w:num>
  <w:num w:numId="30">
    <w:abstractNumId w:val="31"/>
  </w:num>
  <w:num w:numId="31">
    <w:abstractNumId w:val="10"/>
  </w:num>
  <w:num w:numId="32">
    <w:abstractNumId w:val="34"/>
  </w:num>
  <w:num w:numId="33">
    <w:abstractNumId w:val="4"/>
  </w:num>
  <w:num w:numId="34">
    <w:abstractNumId w:val="10"/>
  </w:num>
  <w:num w:numId="35">
    <w:abstractNumId w:val="10"/>
  </w:num>
  <w:num w:numId="36">
    <w:abstractNumId w:val="10"/>
  </w:num>
  <w:num w:numId="37">
    <w:abstractNumId w:val="25"/>
  </w:num>
  <w:num w:numId="38">
    <w:abstractNumId w:val="10"/>
  </w:num>
  <w:num w:numId="39">
    <w:abstractNumId w:val="10"/>
  </w:num>
  <w:num w:numId="40">
    <w:abstractNumId w:val="10"/>
  </w:num>
  <w:num w:numId="41">
    <w:abstractNumId w:val="0"/>
  </w:num>
  <w:num w:numId="42">
    <w:abstractNumId w:val="10"/>
  </w:num>
  <w:num w:numId="43">
    <w:abstractNumId w:val="1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6BF"/>
    <w:rsid w:val="000011A4"/>
    <w:rsid w:val="00002B50"/>
    <w:rsid w:val="000037E1"/>
    <w:rsid w:val="00011F0B"/>
    <w:rsid w:val="00013D9F"/>
    <w:rsid w:val="00016133"/>
    <w:rsid w:val="0002640C"/>
    <w:rsid w:val="0003490F"/>
    <w:rsid w:val="000440E5"/>
    <w:rsid w:val="00044182"/>
    <w:rsid w:val="000545AC"/>
    <w:rsid w:val="00054DF4"/>
    <w:rsid w:val="00060524"/>
    <w:rsid w:val="000608F5"/>
    <w:rsid w:val="00062490"/>
    <w:rsid w:val="000704BB"/>
    <w:rsid w:val="00083F6F"/>
    <w:rsid w:val="00090527"/>
    <w:rsid w:val="00091B46"/>
    <w:rsid w:val="00092D64"/>
    <w:rsid w:val="00096B56"/>
    <w:rsid w:val="000A3E73"/>
    <w:rsid w:val="000A4EF5"/>
    <w:rsid w:val="000A7874"/>
    <w:rsid w:val="000B07CD"/>
    <w:rsid w:val="000C1C06"/>
    <w:rsid w:val="000C2B7E"/>
    <w:rsid w:val="000C5216"/>
    <w:rsid w:val="000C5E85"/>
    <w:rsid w:val="000E08C9"/>
    <w:rsid w:val="000E2A3A"/>
    <w:rsid w:val="000E4B29"/>
    <w:rsid w:val="000E4F70"/>
    <w:rsid w:val="000F5909"/>
    <w:rsid w:val="000F694C"/>
    <w:rsid w:val="00101DA1"/>
    <w:rsid w:val="00115FDC"/>
    <w:rsid w:val="00120939"/>
    <w:rsid w:val="00126E1C"/>
    <w:rsid w:val="001350B4"/>
    <w:rsid w:val="001378A6"/>
    <w:rsid w:val="0014228F"/>
    <w:rsid w:val="00146372"/>
    <w:rsid w:val="001509F6"/>
    <w:rsid w:val="00151E21"/>
    <w:rsid w:val="0015574B"/>
    <w:rsid w:val="00155CDD"/>
    <w:rsid w:val="00174E37"/>
    <w:rsid w:val="00175A8E"/>
    <w:rsid w:val="00194DD6"/>
    <w:rsid w:val="001A0263"/>
    <w:rsid w:val="001A082D"/>
    <w:rsid w:val="001A5EF3"/>
    <w:rsid w:val="001B7E78"/>
    <w:rsid w:val="001C4C56"/>
    <w:rsid w:val="001D57D4"/>
    <w:rsid w:val="001E170A"/>
    <w:rsid w:val="001F1F56"/>
    <w:rsid w:val="0020242A"/>
    <w:rsid w:val="0020271D"/>
    <w:rsid w:val="00202849"/>
    <w:rsid w:val="00205AF8"/>
    <w:rsid w:val="002169B3"/>
    <w:rsid w:val="00216D1A"/>
    <w:rsid w:val="002226D7"/>
    <w:rsid w:val="0023360C"/>
    <w:rsid w:val="002345AA"/>
    <w:rsid w:val="00244E6E"/>
    <w:rsid w:val="00247B8E"/>
    <w:rsid w:val="00251C8F"/>
    <w:rsid w:val="00253D5A"/>
    <w:rsid w:val="002768B2"/>
    <w:rsid w:val="002778DD"/>
    <w:rsid w:val="00291D06"/>
    <w:rsid w:val="0029355F"/>
    <w:rsid w:val="002944E1"/>
    <w:rsid w:val="002A2E61"/>
    <w:rsid w:val="002B0878"/>
    <w:rsid w:val="002B1497"/>
    <w:rsid w:val="002B45A4"/>
    <w:rsid w:val="002B5556"/>
    <w:rsid w:val="002B7015"/>
    <w:rsid w:val="002C657F"/>
    <w:rsid w:val="002D1D55"/>
    <w:rsid w:val="002D2847"/>
    <w:rsid w:val="002E0C5D"/>
    <w:rsid w:val="002F7989"/>
    <w:rsid w:val="00303003"/>
    <w:rsid w:val="00303D29"/>
    <w:rsid w:val="00306766"/>
    <w:rsid w:val="00322099"/>
    <w:rsid w:val="003271AE"/>
    <w:rsid w:val="00334210"/>
    <w:rsid w:val="0034354A"/>
    <w:rsid w:val="0035050A"/>
    <w:rsid w:val="00360A3F"/>
    <w:rsid w:val="00361FCF"/>
    <w:rsid w:val="00366E09"/>
    <w:rsid w:val="0036748F"/>
    <w:rsid w:val="00370552"/>
    <w:rsid w:val="003717F9"/>
    <w:rsid w:val="003829B5"/>
    <w:rsid w:val="003957E9"/>
    <w:rsid w:val="00395B34"/>
    <w:rsid w:val="003B2AB3"/>
    <w:rsid w:val="003B587F"/>
    <w:rsid w:val="003C000C"/>
    <w:rsid w:val="003C1360"/>
    <w:rsid w:val="003C14AF"/>
    <w:rsid w:val="003D360E"/>
    <w:rsid w:val="003E185A"/>
    <w:rsid w:val="003E31CA"/>
    <w:rsid w:val="003E3DC1"/>
    <w:rsid w:val="00405665"/>
    <w:rsid w:val="00410522"/>
    <w:rsid w:val="00411C01"/>
    <w:rsid w:val="0041542F"/>
    <w:rsid w:val="00433771"/>
    <w:rsid w:val="00440EE0"/>
    <w:rsid w:val="00445166"/>
    <w:rsid w:val="00451D00"/>
    <w:rsid w:val="00465FE4"/>
    <w:rsid w:val="00474E9F"/>
    <w:rsid w:val="00475C32"/>
    <w:rsid w:val="00480ABF"/>
    <w:rsid w:val="00483170"/>
    <w:rsid w:val="0048340E"/>
    <w:rsid w:val="00485389"/>
    <w:rsid w:val="00485C4C"/>
    <w:rsid w:val="0049022C"/>
    <w:rsid w:val="00492693"/>
    <w:rsid w:val="0049597E"/>
    <w:rsid w:val="004963EF"/>
    <w:rsid w:val="0049762E"/>
    <w:rsid w:val="004A119E"/>
    <w:rsid w:val="004A740F"/>
    <w:rsid w:val="004B472C"/>
    <w:rsid w:val="004B520B"/>
    <w:rsid w:val="004D1498"/>
    <w:rsid w:val="004D1564"/>
    <w:rsid w:val="004D3524"/>
    <w:rsid w:val="004D53FF"/>
    <w:rsid w:val="004E156B"/>
    <w:rsid w:val="004E1AE9"/>
    <w:rsid w:val="004F2068"/>
    <w:rsid w:val="00515F5C"/>
    <w:rsid w:val="00524F51"/>
    <w:rsid w:val="00530055"/>
    <w:rsid w:val="005308BE"/>
    <w:rsid w:val="00532CA2"/>
    <w:rsid w:val="00544C99"/>
    <w:rsid w:val="00547376"/>
    <w:rsid w:val="005563D0"/>
    <w:rsid w:val="0056379F"/>
    <w:rsid w:val="00572745"/>
    <w:rsid w:val="005814D3"/>
    <w:rsid w:val="00583307"/>
    <w:rsid w:val="005933FB"/>
    <w:rsid w:val="005A162F"/>
    <w:rsid w:val="005A79CB"/>
    <w:rsid w:val="005B46BB"/>
    <w:rsid w:val="005C0A6C"/>
    <w:rsid w:val="005C6C36"/>
    <w:rsid w:val="005D24A5"/>
    <w:rsid w:val="005D34A5"/>
    <w:rsid w:val="005D379D"/>
    <w:rsid w:val="005E17E8"/>
    <w:rsid w:val="005E3E99"/>
    <w:rsid w:val="005E5159"/>
    <w:rsid w:val="005E69C1"/>
    <w:rsid w:val="005F3545"/>
    <w:rsid w:val="005F45A2"/>
    <w:rsid w:val="00602E40"/>
    <w:rsid w:val="00605E34"/>
    <w:rsid w:val="00605FE7"/>
    <w:rsid w:val="00607C7F"/>
    <w:rsid w:val="00611D76"/>
    <w:rsid w:val="0061306B"/>
    <w:rsid w:val="00615E35"/>
    <w:rsid w:val="006169FD"/>
    <w:rsid w:val="00622DD9"/>
    <w:rsid w:val="00624953"/>
    <w:rsid w:val="006371B3"/>
    <w:rsid w:val="006508D8"/>
    <w:rsid w:val="00662D4B"/>
    <w:rsid w:val="006649F4"/>
    <w:rsid w:val="0066730C"/>
    <w:rsid w:val="00670703"/>
    <w:rsid w:val="00674135"/>
    <w:rsid w:val="0067423C"/>
    <w:rsid w:val="00677B7B"/>
    <w:rsid w:val="006856D8"/>
    <w:rsid w:val="0069039D"/>
    <w:rsid w:val="006B21A4"/>
    <w:rsid w:val="006B3E08"/>
    <w:rsid w:val="006B737E"/>
    <w:rsid w:val="006C777A"/>
    <w:rsid w:val="006E12A9"/>
    <w:rsid w:val="006E51CA"/>
    <w:rsid w:val="006E52DC"/>
    <w:rsid w:val="00700251"/>
    <w:rsid w:val="00710FA9"/>
    <w:rsid w:val="00712FCF"/>
    <w:rsid w:val="00716F5D"/>
    <w:rsid w:val="007207E9"/>
    <w:rsid w:val="007227B5"/>
    <w:rsid w:val="007359D7"/>
    <w:rsid w:val="00757360"/>
    <w:rsid w:val="00757955"/>
    <w:rsid w:val="00767020"/>
    <w:rsid w:val="00774E4E"/>
    <w:rsid w:val="00775CD7"/>
    <w:rsid w:val="00792EE6"/>
    <w:rsid w:val="007933F5"/>
    <w:rsid w:val="00796CF2"/>
    <w:rsid w:val="007A49DF"/>
    <w:rsid w:val="007B01B8"/>
    <w:rsid w:val="007B6D83"/>
    <w:rsid w:val="007B7334"/>
    <w:rsid w:val="007C1467"/>
    <w:rsid w:val="007C75C9"/>
    <w:rsid w:val="007D3C56"/>
    <w:rsid w:val="007D5BF1"/>
    <w:rsid w:val="007E16A4"/>
    <w:rsid w:val="007F250F"/>
    <w:rsid w:val="007F3108"/>
    <w:rsid w:val="00804086"/>
    <w:rsid w:val="00812148"/>
    <w:rsid w:val="008136AE"/>
    <w:rsid w:val="00814E53"/>
    <w:rsid w:val="00815E58"/>
    <w:rsid w:val="00816C0C"/>
    <w:rsid w:val="0082069B"/>
    <w:rsid w:val="008313E9"/>
    <w:rsid w:val="00844C48"/>
    <w:rsid w:val="00845E9A"/>
    <w:rsid w:val="00847826"/>
    <w:rsid w:val="0085170F"/>
    <w:rsid w:val="008522CD"/>
    <w:rsid w:val="0086126F"/>
    <w:rsid w:val="00861F1C"/>
    <w:rsid w:val="00867992"/>
    <w:rsid w:val="00870087"/>
    <w:rsid w:val="0088190D"/>
    <w:rsid w:val="008915F2"/>
    <w:rsid w:val="008A28FA"/>
    <w:rsid w:val="008A29D0"/>
    <w:rsid w:val="008B3113"/>
    <w:rsid w:val="008B5837"/>
    <w:rsid w:val="008D21E4"/>
    <w:rsid w:val="008D4123"/>
    <w:rsid w:val="008D4517"/>
    <w:rsid w:val="008E2948"/>
    <w:rsid w:val="008E41B7"/>
    <w:rsid w:val="008E6AF4"/>
    <w:rsid w:val="008F50D2"/>
    <w:rsid w:val="0090587E"/>
    <w:rsid w:val="00905EB6"/>
    <w:rsid w:val="009063DD"/>
    <w:rsid w:val="0090717F"/>
    <w:rsid w:val="00907FA3"/>
    <w:rsid w:val="0091402C"/>
    <w:rsid w:val="0091450C"/>
    <w:rsid w:val="00915A41"/>
    <w:rsid w:val="009232F6"/>
    <w:rsid w:val="009245E2"/>
    <w:rsid w:val="00925F39"/>
    <w:rsid w:val="009260F5"/>
    <w:rsid w:val="00947FEB"/>
    <w:rsid w:val="00953596"/>
    <w:rsid w:val="00953D1D"/>
    <w:rsid w:val="009542A8"/>
    <w:rsid w:val="00954FB1"/>
    <w:rsid w:val="00955C17"/>
    <w:rsid w:val="0095615D"/>
    <w:rsid w:val="0096181E"/>
    <w:rsid w:val="0096564B"/>
    <w:rsid w:val="009673E1"/>
    <w:rsid w:val="009738E8"/>
    <w:rsid w:val="00975219"/>
    <w:rsid w:val="00975CB2"/>
    <w:rsid w:val="00987524"/>
    <w:rsid w:val="00987770"/>
    <w:rsid w:val="009909B2"/>
    <w:rsid w:val="00992CF2"/>
    <w:rsid w:val="009A33BC"/>
    <w:rsid w:val="009A6984"/>
    <w:rsid w:val="009B2506"/>
    <w:rsid w:val="009B6E10"/>
    <w:rsid w:val="009C635F"/>
    <w:rsid w:val="009C66EF"/>
    <w:rsid w:val="009D2B21"/>
    <w:rsid w:val="009D4AA5"/>
    <w:rsid w:val="009D4B8E"/>
    <w:rsid w:val="009D5E66"/>
    <w:rsid w:val="009E2B47"/>
    <w:rsid w:val="009F0CD4"/>
    <w:rsid w:val="009F28C5"/>
    <w:rsid w:val="009F514F"/>
    <w:rsid w:val="009F60A2"/>
    <w:rsid w:val="009F78BB"/>
    <w:rsid w:val="00A00BCE"/>
    <w:rsid w:val="00A050CA"/>
    <w:rsid w:val="00A10D7E"/>
    <w:rsid w:val="00A12768"/>
    <w:rsid w:val="00A15468"/>
    <w:rsid w:val="00A17836"/>
    <w:rsid w:val="00A207C5"/>
    <w:rsid w:val="00A24B2A"/>
    <w:rsid w:val="00A3244B"/>
    <w:rsid w:val="00A33553"/>
    <w:rsid w:val="00A41D3B"/>
    <w:rsid w:val="00A50238"/>
    <w:rsid w:val="00A52460"/>
    <w:rsid w:val="00A62E5A"/>
    <w:rsid w:val="00A702DF"/>
    <w:rsid w:val="00A7129D"/>
    <w:rsid w:val="00A71FBB"/>
    <w:rsid w:val="00A73DBB"/>
    <w:rsid w:val="00A74C26"/>
    <w:rsid w:val="00A950E2"/>
    <w:rsid w:val="00A965C7"/>
    <w:rsid w:val="00AA146F"/>
    <w:rsid w:val="00AA3873"/>
    <w:rsid w:val="00AA585C"/>
    <w:rsid w:val="00AB022E"/>
    <w:rsid w:val="00AB6508"/>
    <w:rsid w:val="00AB6840"/>
    <w:rsid w:val="00AB7F84"/>
    <w:rsid w:val="00AC4C83"/>
    <w:rsid w:val="00AD543D"/>
    <w:rsid w:val="00AE5EE2"/>
    <w:rsid w:val="00AF1A20"/>
    <w:rsid w:val="00AF2494"/>
    <w:rsid w:val="00AF38AE"/>
    <w:rsid w:val="00AF6381"/>
    <w:rsid w:val="00B0461D"/>
    <w:rsid w:val="00B04F71"/>
    <w:rsid w:val="00B05127"/>
    <w:rsid w:val="00B06CBD"/>
    <w:rsid w:val="00B16BA5"/>
    <w:rsid w:val="00B21FCA"/>
    <w:rsid w:val="00B30FAC"/>
    <w:rsid w:val="00B31E25"/>
    <w:rsid w:val="00B3263B"/>
    <w:rsid w:val="00B33881"/>
    <w:rsid w:val="00B43C98"/>
    <w:rsid w:val="00B56136"/>
    <w:rsid w:val="00B6068E"/>
    <w:rsid w:val="00B62F09"/>
    <w:rsid w:val="00B6339E"/>
    <w:rsid w:val="00B6721D"/>
    <w:rsid w:val="00B67B31"/>
    <w:rsid w:val="00B739D1"/>
    <w:rsid w:val="00B75147"/>
    <w:rsid w:val="00B75C67"/>
    <w:rsid w:val="00B845EA"/>
    <w:rsid w:val="00B966AF"/>
    <w:rsid w:val="00B97DEC"/>
    <w:rsid w:val="00BA0E33"/>
    <w:rsid w:val="00BA50D4"/>
    <w:rsid w:val="00BA5134"/>
    <w:rsid w:val="00BA5AA6"/>
    <w:rsid w:val="00BA67D8"/>
    <w:rsid w:val="00BA7DEF"/>
    <w:rsid w:val="00BB5333"/>
    <w:rsid w:val="00BB5BF9"/>
    <w:rsid w:val="00BC2D64"/>
    <w:rsid w:val="00BE4BD8"/>
    <w:rsid w:val="00BF1DD6"/>
    <w:rsid w:val="00BF3C4A"/>
    <w:rsid w:val="00BF78C4"/>
    <w:rsid w:val="00BF7E9C"/>
    <w:rsid w:val="00C03E42"/>
    <w:rsid w:val="00C14F49"/>
    <w:rsid w:val="00C15516"/>
    <w:rsid w:val="00C25A27"/>
    <w:rsid w:val="00C27471"/>
    <w:rsid w:val="00C31622"/>
    <w:rsid w:val="00C40507"/>
    <w:rsid w:val="00C408BD"/>
    <w:rsid w:val="00C41741"/>
    <w:rsid w:val="00C445A7"/>
    <w:rsid w:val="00C50CF9"/>
    <w:rsid w:val="00C53E80"/>
    <w:rsid w:val="00C56A1F"/>
    <w:rsid w:val="00C64C7B"/>
    <w:rsid w:val="00C65F4B"/>
    <w:rsid w:val="00C70740"/>
    <w:rsid w:val="00C8567D"/>
    <w:rsid w:val="00C9503D"/>
    <w:rsid w:val="00CA3702"/>
    <w:rsid w:val="00CA573F"/>
    <w:rsid w:val="00CA765C"/>
    <w:rsid w:val="00CB386A"/>
    <w:rsid w:val="00CB4295"/>
    <w:rsid w:val="00CB4372"/>
    <w:rsid w:val="00CB4DD2"/>
    <w:rsid w:val="00CB7EFD"/>
    <w:rsid w:val="00CD286B"/>
    <w:rsid w:val="00CD58C7"/>
    <w:rsid w:val="00CD7BBD"/>
    <w:rsid w:val="00CE0797"/>
    <w:rsid w:val="00CE5448"/>
    <w:rsid w:val="00CF48E1"/>
    <w:rsid w:val="00D04665"/>
    <w:rsid w:val="00D1030A"/>
    <w:rsid w:val="00D11D44"/>
    <w:rsid w:val="00D126A6"/>
    <w:rsid w:val="00D143FA"/>
    <w:rsid w:val="00D1474A"/>
    <w:rsid w:val="00D171F8"/>
    <w:rsid w:val="00D23542"/>
    <w:rsid w:val="00D251A1"/>
    <w:rsid w:val="00D25FE4"/>
    <w:rsid w:val="00D33014"/>
    <w:rsid w:val="00D34501"/>
    <w:rsid w:val="00D36553"/>
    <w:rsid w:val="00D44C64"/>
    <w:rsid w:val="00D44E1E"/>
    <w:rsid w:val="00D451A8"/>
    <w:rsid w:val="00D4676F"/>
    <w:rsid w:val="00D51803"/>
    <w:rsid w:val="00D5212D"/>
    <w:rsid w:val="00D53C09"/>
    <w:rsid w:val="00D6312B"/>
    <w:rsid w:val="00D66E07"/>
    <w:rsid w:val="00D817AA"/>
    <w:rsid w:val="00D90B3A"/>
    <w:rsid w:val="00D93251"/>
    <w:rsid w:val="00D95DC5"/>
    <w:rsid w:val="00DA1002"/>
    <w:rsid w:val="00DA3A0A"/>
    <w:rsid w:val="00DA47F7"/>
    <w:rsid w:val="00DA4FE7"/>
    <w:rsid w:val="00DA5E83"/>
    <w:rsid w:val="00DB032A"/>
    <w:rsid w:val="00DB5A70"/>
    <w:rsid w:val="00DC2125"/>
    <w:rsid w:val="00DC398A"/>
    <w:rsid w:val="00DF163B"/>
    <w:rsid w:val="00DF1A0B"/>
    <w:rsid w:val="00DF6C64"/>
    <w:rsid w:val="00E02653"/>
    <w:rsid w:val="00E06A33"/>
    <w:rsid w:val="00E14E34"/>
    <w:rsid w:val="00E22C2E"/>
    <w:rsid w:val="00E23344"/>
    <w:rsid w:val="00E233AB"/>
    <w:rsid w:val="00E256DA"/>
    <w:rsid w:val="00E30210"/>
    <w:rsid w:val="00E3750D"/>
    <w:rsid w:val="00E41EE1"/>
    <w:rsid w:val="00E42D53"/>
    <w:rsid w:val="00E431E9"/>
    <w:rsid w:val="00E50BF1"/>
    <w:rsid w:val="00E57296"/>
    <w:rsid w:val="00E615A2"/>
    <w:rsid w:val="00E86A7B"/>
    <w:rsid w:val="00E877AE"/>
    <w:rsid w:val="00E97063"/>
    <w:rsid w:val="00EA7996"/>
    <w:rsid w:val="00EB1C34"/>
    <w:rsid w:val="00EC003E"/>
    <w:rsid w:val="00EC3878"/>
    <w:rsid w:val="00EC3DE3"/>
    <w:rsid w:val="00ED09DD"/>
    <w:rsid w:val="00ED3C46"/>
    <w:rsid w:val="00EE23D1"/>
    <w:rsid w:val="00EE36BF"/>
    <w:rsid w:val="00EE3C30"/>
    <w:rsid w:val="00EE4FA5"/>
    <w:rsid w:val="00EF6EAE"/>
    <w:rsid w:val="00EF784A"/>
    <w:rsid w:val="00F034E3"/>
    <w:rsid w:val="00F066F2"/>
    <w:rsid w:val="00F14DAE"/>
    <w:rsid w:val="00F31ABF"/>
    <w:rsid w:val="00F3544B"/>
    <w:rsid w:val="00F35B54"/>
    <w:rsid w:val="00F378F9"/>
    <w:rsid w:val="00F5776A"/>
    <w:rsid w:val="00F63D3E"/>
    <w:rsid w:val="00F64760"/>
    <w:rsid w:val="00F722A0"/>
    <w:rsid w:val="00F72717"/>
    <w:rsid w:val="00F73BDA"/>
    <w:rsid w:val="00F82421"/>
    <w:rsid w:val="00F82564"/>
    <w:rsid w:val="00F855A6"/>
    <w:rsid w:val="00F87E89"/>
    <w:rsid w:val="00F92E2A"/>
    <w:rsid w:val="00FA25C2"/>
    <w:rsid w:val="00FB1F27"/>
    <w:rsid w:val="00FB217B"/>
    <w:rsid w:val="00FC6BCE"/>
    <w:rsid w:val="00FC7BBB"/>
    <w:rsid w:val="00FD3AF0"/>
    <w:rsid w:val="00FD7521"/>
    <w:rsid w:val="00FE3CD1"/>
    <w:rsid w:val="00FF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5806CE0"/>
  <w15:chartTrackingRefBased/>
  <w15:docId w15:val="{FAB60C66-0439-425B-BFF8-08FCB3E6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45E9A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Nadpis1">
    <w:name w:val="heading 1"/>
    <w:basedOn w:val="Normln"/>
    <w:next w:val="Normln"/>
    <w:autoRedefine/>
    <w:qFormat/>
    <w:rsid w:val="000C2B7E"/>
    <w:pPr>
      <w:keepNext/>
      <w:numPr>
        <w:numId w:val="31"/>
      </w:numPr>
      <w:spacing w:before="240"/>
      <w:ind w:left="431" w:hanging="431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0C2B7E"/>
    <w:pPr>
      <w:keepNext/>
      <w:numPr>
        <w:ilvl w:val="1"/>
        <w:numId w:val="31"/>
      </w:numPr>
      <w:spacing w:before="240"/>
      <w:jc w:val="both"/>
      <w:outlineLvl w:val="1"/>
    </w:pPr>
    <w:rPr>
      <w:b/>
      <w:sz w:val="24"/>
    </w:rPr>
  </w:style>
  <w:style w:type="paragraph" w:styleId="Nadpis3">
    <w:name w:val="heading 3"/>
    <w:basedOn w:val="Normln"/>
    <w:next w:val="Normln"/>
    <w:autoRedefine/>
    <w:qFormat/>
    <w:rsid w:val="000C2B7E"/>
    <w:pPr>
      <w:keepNext/>
      <w:numPr>
        <w:ilvl w:val="2"/>
        <w:numId w:val="31"/>
      </w:numPr>
      <w:spacing w:before="240"/>
      <w:jc w:val="both"/>
      <w:outlineLvl w:val="2"/>
    </w:pPr>
    <w:rPr>
      <w:b/>
      <w:color w:val="000000" w:themeColor="text1"/>
      <w:sz w:val="24"/>
    </w:rPr>
  </w:style>
  <w:style w:type="paragraph" w:styleId="Nadpis4">
    <w:name w:val="heading 4"/>
    <w:basedOn w:val="Normln"/>
    <w:next w:val="Normln"/>
    <w:autoRedefine/>
    <w:qFormat/>
    <w:rsid w:val="00847826"/>
    <w:pPr>
      <w:keepNext/>
      <w:numPr>
        <w:ilvl w:val="3"/>
        <w:numId w:val="31"/>
      </w:numPr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31"/>
      </w:numPr>
      <w:jc w:val="center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31"/>
      </w:numPr>
      <w:jc w:val="both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31"/>
      </w:numPr>
      <w:jc w:val="both"/>
      <w:outlineLvl w:val="6"/>
    </w:pPr>
    <w:rPr>
      <w:b/>
      <w:color w:val="0000FF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1"/>
      </w:numPr>
      <w:jc w:val="both"/>
      <w:outlineLvl w:val="7"/>
    </w:pPr>
    <w:rPr>
      <w:b/>
      <w:caps/>
      <w:sz w:val="32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31"/>
      </w:numPr>
      <w:jc w:val="right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tabs>
        <w:tab w:val="left" w:pos="993"/>
      </w:tabs>
      <w:jc w:val="both"/>
    </w:pPr>
    <w:rPr>
      <w:sz w:val="24"/>
    </w:rPr>
  </w:style>
  <w:style w:type="paragraph" w:customStyle="1" w:styleId="Zkladntext21">
    <w:name w:val="Základní text 21"/>
    <w:basedOn w:val="Normln"/>
    <w:pPr>
      <w:jc w:val="both"/>
    </w:pPr>
    <w:rPr>
      <w:sz w:val="24"/>
    </w:rPr>
  </w:style>
  <w:style w:type="paragraph" w:customStyle="1" w:styleId="Zkladntext22">
    <w:name w:val="Základní text 22"/>
    <w:basedOn w:val="Normln"/>
    <w:pPr>
      <w:jc w:val="both"/>
    </w:pPr>
    <w:rPr>
      <w:sz w:val="24"/>
    </w:rPr>
  </w:style>
  <w:style w:type="paragraph" w:customStyle="1" w:styleId="Zkladntext23">
    <w:name w:val="Základní text 23"/>
    <w:basedOn w:val="Normln"/>
    <w:pPr>
      <w:jc w:val="both"/>
    </w:pPr>
    <w:rPr>
      <w:sz w:val="24"/>
    </w:rPr>
  </w:style>
  <w:style w:type="paragraph" w:customStyle="1" w:styleId="Zkladntext24">
    <w:name w:val="Základní text 24"/>
    <w:basedOn w:val="Normln"/>
    <w:pPr>
      <w:jc w:val="both"/>
    </w:pPr>
    <w:rPr>
      <w:sz w:val="24"/>
    </w:rPr>
  </w:style>
  <w:style w:type="paragraph" w:customStyle="1" w:styleId="Zkladntext25">
    <w:name w:val="Základní text 25"/>
    <w:basedOn w:val="Normln"/>
    <w:pPr>
      <w:jc w:val="both"/>
    </w:pPr>
    <w:rPr>
      <w:sz w:val="24"/>
    </w:rPr>
  </w:style>
  <w:style w:type="paragraph" w:customStyle="1" w:styleId="Zkladntext26">
    <w:name w:val="Základní text 26"/>
    <w:basedOn w:val="Normln"/>
    <w:pPr>
      <w:jc w:val="both"/>
    </w:pPr>
    <w:rPr>
      <w:sz w:val="24"/>
    </w:rPr>
  </w:style>
  <w:style w:type="paragraph" w:customStyle="1" w:styleId="Zkladntext27">
    <w:name w:val="Základní text 27"/>
    <w:basedOn w:val="Normln"/>
    <w:pPr>
      <w:jc w:val="both"/>
    </w:pPr>
    <w:rPr>
      <w:sz w:val="24"/>
    </w:rPr>
  </w:style>
  <w:style w:type="paragraph" w:customStyle="1" w:styleId="nadpis3-vlastn">
    <w:name w:val="nadpis 3-vlastní"/>
    <w:basedOn w:val="Normln"/>
    <w:rsid w:val="00E615A2"/>
    <w:pPr>
      <w:numPr>
        <w:numId w:val="10"/>
      </w:numPr>
      <w:jc w:val="both"/>
    </w:pPr>
    <w:rPr>
      <w:b/>
      <w:color w:val="000000"/>
      <w:sz w:val="24"/>
    </w:rPr>
  </w:style>
  <w:style w:type="paragraph" w:styleId="Obsah1">
    <w:name w:val="toc 1"/>
    <w:basedOn w:val="Normln"/>
    <w:next w:val="Normln"/>
    <w:autoRedefine/>
    <w:uiPriority w:val="39"/>
    <w:rsid w:val="00F82421"/>
    <w:pPr>
      <w:tabs>
        <w:tab w:val="left" w:pos="660"/>
        <w:tab w:val="right" w:leader="dot" w:pos="9629"/>
      </w:tabs>
    </w:pPr>
    <w:rPr>
      <w:rFonts w:cs="Arial"/>
      <w:b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E615A2"/>
    <w:pPr>
      <w:ind w:left="200"/>
    </w:pPr>
  </w:style>
  <w:style w:type="character" w:styleId="Hypertextovodkaz">
    <w:name w:val="Hyperlink"/>
    <w:rsid w:val="0041052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C56A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56A1F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56A1F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C56A1F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B6D83"/>
    <w:pPr>
      <w:overflowPunct/>
      <w:autoSpaceDE/>
      <w:autoSpaceDN/>
      <w:adjustRightInd/>
      <w:ind w:left="720"/>
      <w:contextualSpacing/>
      <w:jc w:val="both"/>
      <w:textAlignment w:val="auto"/>
    </w:pPr>
    <w:rPr>
      <w:rFonts w:ascii="Helvetica" w:hAnsi="Helvetica"/>
    </w:rPr>
  </w:style>
  <w:style w:type="paragraph" w:styleId="Obsah3">
    <w:name w:val="toc 3"/>
    <w:basedOn w:val="Normln"/>
    <w:next w:val="Normln"/>
    <w:autoRedefine/>
    <w:uiPriority w:val="39"/>
    <w:rsid w:val="003271AE"/>
    <w:pPr>
      <w:tabs>
        <w:tab w:val="left" w:pos="1100"/>
        <w:tab w:val="right" w:leader="dot" w:pos="9629"/>
      </w:tabs>
      <w:ind w:left="400"/>
    </w:pPr>
  </w:style>
  <w:style w:type="paragraph" w:styleId="Zhlav">
    <w:name w:val="header"/>
    <w:basedOn w:val="Normln"/>
    <w:link w:val="ZhlavChar"/>
    <w:rsid w:val="00D451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51A8"/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D451A8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8136A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8136AE"/>
    <w:rPr>
      <w:b/>
      <w:bCs/>
    </w:rPr>
  </w:style>
  <w:style w:type="paragraph" w:customStyle="1" w:styleId="zprava-nCharChar1">
    <w:name w:val="zprava-n Char Char1"/>
    <w:basedOn w:val="Zkladntext"/>
    <w:rsid w:val="001A082D"/>
    <w:pPr>
      <w:tabs>
        <w:tab w:val="clear" w:pos="993"/>
      </w:tabs>
      <w:overflowPunct/>
      <w:autoSpaceDE/>
      <w:autoSpaceDN/>
      <w:adjustRightInd/>
      <w:spacing w:after="60" w:line="360" w:lineRule="auto"/>
      <w:ind w:firstLine="851"/>
      <w:textAlignment w:val="auto"/>
    </w:pPr>
    <w:rPr>
      <w:sz w:val="22"/>
      <w:szCs w:val="22"/>
      <w:lang w:eastAsia="en-US"/>
    </w:rPr>
  </w:style>
  <w:style w:type="character" w:customStyle="1" w:styleId="ProsttextChar">
    <w:name w:val="Prostý text Char"/>
    <w:aliases w:val="Char Char"/>
    <w:basedOn w:val="Standardnpsmoodstavce"/>
    <w:link w:val="Prosttext"/>
    <w:locked/>
    <w:rsid w:val="00013D9F"/>
    <w:rPr>
      <w:rFonts w:ascii="Courier New" w:hAnsi="Courier New" w:cs="Courier New"/>
    </w:rPr>
  </w:style>
  <w:style w:type="paragraph" w:styleId="Prosttext">
    <w:name w:val="Plain Text"/>
    <w:aliases w:val="Char"/>
    <w:basedOn w:val="Normln"/>
    <w:link w:val="ProsttextChar"/>
    <w:unhideWhenUsed/>
    <w:rsid w:val="00013D9F"/>
    <w:pPr>
      <w:overflowPunct/>
      <w:adjustRightInd/>
      <w:textAlignment w:val="auto"/>
    </w:pPr>
    <w:rPr>
      <w:rFonts w:ascii="Courier New" w:hAnsi="Courier New" w:cs="Courier New"/>
    </w:rPr>
  </w:style>
  <w:style w:type="character" w:customStyle="1" w:styleId="ProsttextChar1">
    <w:name w:val="Prostý text Char1"/>
    <w:basedOn w:val="Standardnpsmoodstavce"/>
    <w:rsid w:val="00013D9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E55BD-AA28-40E2-AC47-DE9CDF6F3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4</Pages>
  <Words>1663</Words>
  <Characters>9845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ECOservis</Company>
  <LinksUpToDate>false</LinksUpToDate>
  <CharactersWithSpaces>11486</CharactersWithSpaces>
  <SharedDoc>false</SharedDoc>
  <HLinks>
    <vt:vector size="6" baseType="variant">
      <vt:variant>
        <vt:i4>1769568</vt:i4>
      </vt:variant>
      <vt:variant>
        <vt:i4>3</vt:i4>
      </vt:variant>
      <vt:variant>
        <vt:i4>0</vt:i4>
      </vt:variant>
      <vt:variant>
        <vt:i4>5</vt:i4>
      </vt:variant>
      <vt:variant>
        <vt:lpwstr>mailto:karel.kozel@centrum.cz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Karel Kozel</cp:lastModifiedBy>
  <cp:revision>24</cp:revision>
  <cp:lastPrinted>2021-10-08T09:14:00Z</cp:lastPrinted>
  <dcterms:created xsi:type="dcterms:W3CDTF">2020-11-09T23:06:00Z</dcterms:created>
  <dcterms:modified xsi:type="dcterms:W3CDTF">2021-10-08T09:46:00Z</dcterms:modified>
</cp:coreProperties>
</file>