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A91EB4">
      <w:pPr>
        <w:keepNext/>
        <w:keepLines/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A91EB4">
      <w:pPr>
        <w:pStyle w:val="acnormal"/>
        <w:keepNext/>
        <w:keepLines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A91EB4">
      <w:pPr>
        <w:pStyle w:val="acnormal"/>
        <w:keepNext/>
        <w:keepLines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10C287E7" w:rsidR="007854CF" w:rsidRPr="007854CF" w:rsidRDefault="007854CF" w:rsidP="00A91EB4">
      <w:pPr>
        <w:keepNext/>
        <w:keepLines/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24338" w:rsidRPr="00524338">
        <w:rPr>
          <w:rFonts w:ascii="Verdana" w:hAnsi="Verdana" w:cstheme="minorHAnsi"/>
          <w:b/>
          <w:sz w:val="28"/>
          <w:szCs w:val="28"/>
          <w:u w:val="single"/>
        </w:rPr>
        <w:t>Nákup brzdového obložení DIAFRIKT S3 pro kolejová vozidla MUV 69 a provedení repase na MUV 74 a 75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A91EB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A91EB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A91EB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A91EB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509549D" w:rsidR="00D734CC" w:rsidRPr="008B5521" w:rsidRDefault="00D734CC" w:rsidP="00A91EB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524338">
        <w:rPr>
          <w:rFonts w:ascii="Verdana" w:hAnsi="Verdana" w:cstheme="minorHAnsi"/>
          <w:sz w:val="18"/>
          <w:szCs w:val="18"/>
        </w:rPr>
        <w:tab/>
      </w:r>
      <w:r w:rsidR="00524338" w:rsidRPr="00524338">
        <w:rPr>
          <w:rFonts w:ascii="Verdana" w:hAnsi="Verdana" w:cstheme="minorHAnsi"/>
          <w:b/>
          <w:sz w:val="18"/>
          <w:szCs w:val="18"/>
        </w:rPr>
        <w:t>Ing. Vladimírem Filipem, ředitelem Oblastního ředitelství Praha, na základě pověření č. 2381 ze dne 21. 3. 2018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  </w:t>
      </w:r>
    </w:p>
    <w:p w14:paraId="685DCEFC" w14:textId="62F6D54C" w:rsidR="00E3610E" w:rsidRPr="008B5521" w:rsidRDefault="00CC5257" w:rsidP="00A91EB4">
      <w:pPr>
        <w:pStyle w:val="acnormal"/>
        <w:keepNext/>
        <w:keepLines/>
        <w:spacing w:before="240"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9CAB21C" w14:textId="751354DA" w:rsidR="00E3610E" w:rsidRPr="008B5521" w:rsidRDefault="00CC5257" w:rsidP="00A91EB4">
      <w:pPr>
        <w:pStyle w:val="acnormal"/>
        <w:keepNext/>
        <w:keepLines/>
        <w:spacing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01FD196" w14:textId="77777777" w:rsidR="00CC5257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A91EB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A91EB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A91EB4">
      <w:pPr>
        <w:pStyle w:val="acnormalbold"/>
        <w:keepNext/>
        <w:keepLines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A91EB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A91EB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27CACF58" w:rsidR="00CC5257" w:rsidRDefault="00E5485A" w:rsidP="00A91EB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2A812176" w14:textId="77777777" w:rsidR="00862A70" w:rsidRPr="008B5521" w:rsidRDefault="00862A70" w:rsidP="00A91EB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</w:p>
    <w:p w14:paraId="5D72458A" w14:textId="700F81F8" w:rsidR="000C4186" w:rsidRPr="008B5521" w:rsidRDefault="000B560C" w:rsidP="00A91EB4">
      <w:pPr>
        <w:keepNext/>
        <w:keepLines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524338">
        <w:rPr>
          <w:rFonts w:ascii="Verdana" w:hAnsi="Verdana" w:cstheme="minorHAnsi"/>
          <w:sz w:val="18"/>
          <w:szCs w:val="18"/>
        </w:rPr>
        <w:t xml:space="preserve">zadávacímu řízení 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na </w:t>
      </w:r>
      <w:r w:rsidR="005E6DAB" w:rsidRPr="00524338">
        <w:rPr>
          <w:rFonts w:ascii="Verdana" w:hAnsi="Verdana" w:cstheme="minorHAnsi"/>
          <w:sz w:val="18"/>
          <w:szCs w:val="18"/>
        </w:rPr>
        <w:t>podlimitní sektorov</w:t>
      </w:r>
      <w:r w:rsidR="000A53AE" w:rsidRPr="00524338">
        <w:rPr>
          <w:rFonts w:ascii="Verdana" w:hAnsi="Verdana" w:cstheme="minorHAnsi"/>
          <w:sz w:val="18"/>
          <w:szCs w:val="18"/>
        </w:rPr>
        <w:t>ou</w:t>
      </w:r>
      <w:r w:rsidR="005E6DAB" w:rsidRPr="00524338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524338">
        <w:rPr>
          <w:rFonts w:ascii="Verdana" w:hAnsi="Verdana" w:cstheme="minorHAnsi"/>
          <w:sz w:val="18"/>
          <w:szCs w:val="18"/>
        </w:rPr>
        <w:t>ou</w:t>
      </w:r>
      <w:r w:rsidR="005E6DAB" w:rsidRPr="00524338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524338">
        <w:rPr>
          <w:rFonts w:ascii="Verdana" w:hAnsi="Verdana" w:cstheme="minorHAnsi"/>
          <w:sz w:val="18"/>
          <w:szCs w:val="18"/>
        </w:rPr>
        <w:t>u</w:t>
      </w:r>
      <w:r w:rsidR="0052433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524338" w:rsidRPr="00524338">
        <w:rPr>
          <w:rFonts w:ascii="Verdana" w:hAnsi="Verdana" w:cstheme="minorHAnsi"/>
          <w:b/>
          <w:sz w:val="18"/>
          <w:szCs w:val="18"/>
        </w:rPr>
        <w:t>„Nákup brzdového obložení DIAFRIKT S3 pro kolejová vozidla MUV 69 a provedení repase na MUV 74 a 75“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862A70" w:rsidRPr="00862A70">
        <w:rPr>
          <w:rFonts w:ascii="Verdana" w:hAnsi="Verdana" w:cstheme="minorHAnsi"/>
          <w:sz w:val="18"/>
          <w:szCs w:val="18"/>
        </w:rPr>
        <w:t>31677/2021-SŽ-OŘ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A91EB4">
      <w:pPr>
        <w:pStyle w:val="acnormalbulleted"/>
        <w:keepNext/>
        <w:keepLines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96F14C7" w:rsidR="000B560C" w:rsidRDefault="00893290" w:rsidP="00A91EB4">
      <w:pPr>
        <w:pStyle w:val="acnormalbulleted"/>
        <w:keepNext/>
        <w:keepLines/>
        <w:rPr>
          <w:rFonts w:ascii="Verdana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="000C0DED">
        <w:rPr>
          <w:rFonts w:ascii="Verdana" w:hAnsi="Verdana" w:cstheme="minorHAnsi"/>
          <w:sz w:val="18"/>
          <w:szCs w:val="18"/>
        </w:rPr>
        <w:t>v </w:t>
      </w:r>
      <w:r w:rsidRPr="000C0DED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0C0DED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5EBC5212" w:rsidR="00B74412" w:rsidRPr="00A44A28" w:rsidRDefault="00B74412" w:rsidP="00A44A28">
      <w:pPr>
        <w:pStyle w:val="acnormal"/>
        <w:keepNext/>
        <w:keepLines/>
        <w:ind w:left="360"/>
        <w:rPr>
          <w:rFonts w:ascii="Verdana" w:hAnsi="Verdana"/>
          <w:color w:val="0000FF" w:themeColor="hyperlink"/>
          <w:sz w:val="18"/>
          <w:szCs w:val="18"/>
          <w:u w:val="single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0C0DED" w:rsidRPr="00381FAA">
          <w:rPr>
            <w:rStyle w:val="Hypertextovodkaz"/>
            <w:rFonts w:ascii="Verdana" w:hAnsi="Verdana"/>
            <w:sz w:val="18"/>
            <w:szCs w:val="18"/>
          </w:rPr>
          <w:t>JansaM@spravazeleznic.cz</w:t>
        </w:r>
      </w:hyperlink>
      <w:r w:rsidR="000C0DED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A91EB4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942878E" w:rsidR="00893290" w:rsidRPr="00524338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24338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7465F2" w:rsidRPr="00524338">
        <w:rPr>
          <w:rFonts w:ascii="Verdana" w:hAnsi="Verdana" w:cstheme="minorHAnsi"/>
          <w:sz w:val="18"/>
          <w:szCs w:val="18"/>
        </w:rPr>
        <w:t xml:space="preserve"> </w:t>
      </w:r>
      <w:r w:rsidRPr="0052433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24338">
        <w:rPr>
          <w:rFonts w:ascii="Verdana" w:hAnsi="Verdana" w:cstheme="minorHAnsi"/>
          <w:sz w:val="18"/>
          <w:szCs w:val="18"/>
        </w:rPr>
        <w:t>Rámcové</w:t>
      </w:r>
      <w:r w:rsidRPr="00524338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5AE26748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AA0459">
        <w:rPr>
          <w:rFonts w:ascii="Verdana" w:hAnsi="Verdana" w:cstheme="minorHAnsi"/>
          <w:sz w:val="18"/>
          <w:szCs w:val="18"/>
        </w:rPr>
        <w:t xml:space="preserve">vyzvednutí </w:t>
      </w:r>
      <w:bookmarkStart w:id="0" w:name="_GoBack"/>
      <w:bookmarkEnd w:id="0"/>
      <w:r w:rsidR="00D608AA" w:rsidRPr="008B5521">
        <w:rPr>
          <w:rFonts w:ascii="Verdana" w:hAnsi="Verdana" w:cstheme="minorHAnsi"/>
          <w:sz w:val="18"/>
          <w:szCs w:val="18"/>
        </w:rPr>
        <w:t>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E33FC00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72C657A1" w:rsidR="00FF14B8" w:rsidRDefault="00D608AA" w:rsidP="00A91EB4">
      <w:pPr>
        <w:pStyle w:val="Odstavecseseznamem"/>
        <w:keepNext/>
        <w:keepLines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612A530F" w:rsidR="00893290" w:rsidRPr="00524338" w:rsidRDefault="00FF14B8" w:rsidP="00A91EB4">
      <w:pPr>
        <w:pStyle w:val="Odstavecseseznamem"/>
        <w:keepNext/>
        <w:keepLines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524338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 smluvní pokutu ve výši 1</w:t>
      </w:r>
      <w:r w:rsidR="00A44A28">
        <w:rPr>
          <w:rFonts w:ascii="Verdana" w:hAnsi="Verdana" w:cstheme="minorHAnsi"/>
          <w:sz w:val="18"/>
          <w:szCs w:val="18"/>
        </w:rPr>
        <w:t>0</w:t>
      </w:r>
      <w:r w:rsidRPr="00524338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524338">
        <w:rPr>
          <w:rFonts w:ascii="Verdana" w:hAnsi="Verdana" w:cstheme="minorHAnsi"/>
          <w:sz w:val="18"/>
          <w:szCs w:val="18"/>
        </w:rPr>
        <w:t>Prodá</w:t>
      </w:r>
      <w:r w:rsidRPr="00524338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524338">
        <w:t xml:space="preserve"> </w:t>
      </w:r>
      <w:r w:rsidRPr="00524338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524338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2BBDDCF" w:rsidR="00D608AA" w:rsidRPr="00A44A28" w:rsidRDefault="00524338" w:rsidP="00A91EB4">
      <w:pPr>
        <w:pStyle w:val="Odstavecseseznamem"/>
        <w:keepNext/>
        <w:keepLines/>
        <w:numPr>
          <w:ilvl w:val="0"/>
          <w:numId w:val="1"/>
        </w:numPr>
        <w:ind w:left="357" w:hanging="357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>Tato Rámcová dohoda je uzavírána na dobu 36 měsíců od nabytí její účinnosti uveřejněním v Registru smluv.</w:t>
      </w:r>
    </w:p>
    <w:p w14:paraId="7EC44902" w14:textId="60DBC85C" w:rsidR="00062B10" w:rsidRPr="00A44A28" w:rsidRDefault="00D608AA" w:rsidP="00A91EB4">
      <w:pPr>
        <w:pStyle w:val="Odstavecseseznamem"/>
        <w:keepNext/>
        <w:keepLines/>
        <w:numPr>
          <w:ilvl w:val="0"/>
          <w:numId w:val="1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A44A28">
        <w:rPr>
          <w:rFonts w:ascii="Verdana" w:hAnsi="Verdana" w:cstheme="minorHAnsi"/>
          <w:sz w:val="18"/>
          <w:szCs w:val="18"/>
        </w:rPr>
        <w:t>Míst</w:t>
      </w:r>
      <w:r w:rsidR="00474AD3" w:rsidRPr="00A44A28">
        <w:rPr>
          <w:rFonts w:ascii="Verdana" w:hAnsi="Verdana" w:cstheme="minorHAnsi"/>
          <w:sz w:val="18"/>
          <w:szCs w:val="18"/>
        </w:rPr>
        <w:t>o</w:t>
      </w:r>
      <w:r w:rsidRPr="00A44A2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>Odběr zboží se uskuteční v místě provozovny dodavatele.</w:t>
      </w:r>
    </w:p>
    <w:p w14:paraId="4B31DD05" w14:textId="06A3AB8F" w:rsidR="00D034CB" w:rsidRPr="00A44A28" w:rsidRDefault="00062B10" w:rsidP="00A91EB4">
      <w:pPr>
        <w:pStyle w:val="acnormalbulleted"/>
        <w:keepNext/>
        <w:keepLines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A44A28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A44A28">
        <w:rPr>
          <w:rFonts w:ascii="Verdana" w:hAnsi="Verdana" w:cstheme="minorHAnsi"/>
          <w:sz w:val="18"/>
          <w:szCs w:val="18"/>
        </w:rPr>
        <w:t>dílčích smluv</w:t>
      </w:r>
      <w:r w:rsidR="00D034CB" w:rsidRPr="00A44A28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A44A28">
        <w:rPr>
          <w:rFonts w:ascii="Verdana" w:hAnsi="Verdana" w:cstheme="minorHAnsi"/>
          <w:sz w:val="18"/>
          <w:szCs w:val="18"/>
        </w:rPr>
        <w:t> dílčí smlouvě</w:t>
      </w:r>
      <w:r w:rsidR="00D034CB" w:rsidRPr="00A44A28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69CCE0A6" w:rsidR="00062B10" w:rsidRPr="00A44A28" w:rsidRDefault="00D034CB" w:rsidP="00A91EB4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A44A28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A44A28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2 dny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A44A28" w:rsidRDefault="00062B10" w:rsidP="00A91EB4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A44A28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A44A28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21A3BA0B" w14:textId="199E9C0D" w:rsidR="00503FB4" w:rsidRPr="00A44A28" w:rsidRDefault="00503FB4" w:rsidP="00A91EB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hAnsi="Verdana" w:cstheme="minorHAnsi"/>
          <w:sz w:val="18"/>
          <w:szCs w:val="18"/>
        </w:rPr>
        <w:t xml:space="preserve">Prodávající je povinen vyrozumět určeného zaměstnance Kupujícího uvedeného v dílčí smlouvě jako „kontaktní osoba“ o datu a době dodání zboží (v pracovní dny v čase 07.00 – 15:00 hod.). K předání a převzetí zboží probíhá v rámci předávacího řízení potvrzením Dodacího listu ze strany Kupujícího a Prodávajícího. </w:t>
      </w:r>
    </w:p>
    <w:p w14:paraId="74D5612E" w14:textId="0A91DAB7" w:rsidR="0062677E" w:rsidRPr="00A44A28" w:rsidRDefault="00D061D4" w:rsidP="00A91EB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Technická dokumentace </w:t>
      </w:r>
      <w:r w:rsidR="00A44A28">
        <w:rPr>
          <w:rFonts w:ascii="Verdana" w:hAnsi="Verdana" w:cstheme="minorHAnsi"/>
          <w:sz w:val="18"/>
          <w:szCs w:val="18"/>
        </w:rPr>
        <w:t xml:space="preserve">k dodávanému zboží – prodávající doloží technickou dokumentaci k dodávanému </w:t>
      </w:r>
      <w:r>
        <w:rPr>
          <w:rFonts w:ascii="Verdana" w:hAnsi="Verdana" w:cstheme="minorHAnsi"/>
          <w:sz w:val="18"/>
          <w:szCs w:val="18"/>
        </w:rPr>
        <w:t xml:space="preserve">zboží, </w:t>
      </w:r>
      <w:r w:rsidR="00A44A28">
        <w:rPr>
          <w:rFonts w:ascii="Verdana" w:hAnsi="Verdana" w:cstheme="minorHAnsi"/>
          <w:sz w:val="18"/>
          <w:szCs w:val="18"/>
        </w:rPr>
        <w:t xml:space="preserve">ze které bude vyplývat splnění technických podmínek. </w:t>
      </w:r>
    </w:p>
    <w:p w14:paraId="274D4255" w14:textId="43B30DA0" w:rsidR="00211202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CENA DODÁVEK A PLATEBNÍ PODMÍNKY</w:t>
      </w:r>
    </w:p>
    <w:p w14:paraId="59F67093" w14:textId="4A07D894" w:rsidR="00CB26F1" w:rsidRPr="00503FB4" w:rsidRDefault="00496E5D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03FB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7465F2" w:rsidRPr="00503FB4">
        <w:rPr>
          <w:rFonts w:ascii="Verdana" w:hAnsi="Verdana" w:cstheme="minorHAnsi"/>
          <w:sz w:val="18"/>
          <w:szCs w:val="18"/>
        </w:rPr>
        <w:t xml:space="preserve"> </w:t>
      </w:r>
      <w:r w:rsidRPr="00503FB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03FB4">
        <w:rPr>
          <w:rFonts w:ascii="Verdana" w:hAnsi="Verdana" w:cstheme="minorHAnsi"/>
          <w:sz w:val="18"/>
          <w:szCs w:val="18"/>
        </w:rPr>
        <w:t>Rámcové</w:t>
      </w:r>
      <w:r w:rsidRPr="00503FB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938963A" w:rsidR="00CB26F1" w:rsidRPr="00503FB4" w:rsidRDefault="00E6302B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03FB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503FB4">
        <w:rPr>
          <w:rFonts w:ascii="Verdana" w:hAnsi="Verdana" w:cstheme="minorHAnsi"/>
          <w:sz w:val="18"/>
          <w:szCs w:val="18"/>
        </w:rPr>
        <w:t>v</w:t>
      </w:r>
      <w:r w:rsidR="007465F2" w:rsidRPr="00503FB4">
        <w:rPr>
          <w:rFonts w:ascii="Verdana" w:hAnsi="Verdana" w:cstheme="minorHAnsi"/>
          <w:sz w:val="18"/>
          <w:szCs w:val="18"/>
        </w:rPr>
        <w:t> jednotkovém ceníku</w:t>
      </w:r>
      <w:r w:rsidR="00CB26F1" w:rsidRPr="00503FB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CB26F1" w:rsidRPr="00503FB4">
        <w:rPr>
          <w:rFonts w:ascii="Verdana" w:hAnsi="Verdana" w:cstheme="minorHAnsi"/>
          <w:sz w:val="18"/>
          <w:szCs w:val="18"/>
        </w:rPr>
        <w:t xml:space="preserve"> této Rámcové dohody</w:t>
      </w:r>
      <w:r w:rsidRPr="00503FB4">
        <w:rPr>
          <w:rFonts w:ascii="Verdana" w:hAnsi="Verdana" w:cstheme="minorHAnsi"/>
          <w:sz w:val="18"/>
          <w:szCs w:val="18"/>
        </w:rPr>
        <w:t xml:space="preserve">, </w:t>
      </w:r>
      <w:r w:rsidR="00CB26F1" w:rsidRPr="00503FB4">
        <w:rPr>
          <w:rFonts w:ascii="Verdana" w:hAnsi="Verdana" w:cstheme="minorHAnsi"/>
          <w:sz w:val="18"/>
          <w:szCs w:val="18"/>
        </w:rPr>
        <w:t>jsou cenami konečnými, zahrnujíc</w:t>
      </w:r>
      <w:r w:rsidR="00A44A28">
        <w:rPr>
          <w:rFonts w:ascii="Verdana" w:hAnsi="Verdana" w:cstheme="minorHAnsi"/>
          <w:sz w:val="18"/>
          <w:szCs w:val="18"/>
        </w:rPr>
        <w:t>í veškeré náklady Prodávajícího</w:t>
      </w:r>
      <w:r w:rsidR="00CB26F1" w:rsidRPr="00503FB4">
        <w:rPr>
          <w:rFonts w:ascii="Verdana" w:hAnsi="Verdana" w:cstheme="minorHAnsi"/>
          <w:sz w:val="18"/>
          <w:szCs w:val="18"/>
        </w:rPr>
        <w:t>.</w:t>
      </w:r>
    </w:p>
    <w:p w14:paraId="19D36836" w14:textId="02B03FC4" w:rsidR="00CB26F1" w:rsidRPr="00EC1143" w:rsidRDefault="00CB26F1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503FB4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503FB4">
        <w:rPr>
          <w:rFonts w:ascii="Verdana" w:hAnsi="Verdana" w:cstheme="minorHAnsi"/>
          <w:sz w:val="18"/>
          <w:szCs w:val="18"/>
        </w:rPr>
        <w:t>zboží Kupujícím</w:t>
      </w:r>
      <w:r w:rsidRPr="00503FB4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503FB4">
        <w:rPr>
          <w:rFonts w:ascii="Verdana" w:hAnsi="Verdana" w:cstheme="minorHAnsi"/>
          <w:sz w:val="18"/>
          <w:szCs w:val="18"/>
        </w:rPr>
        <w:t>D</w:t>
      </w:r>
      <w:r w:rsidRPr="00503FB4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503FB4">
        <w:rPr>
          <w:rFonts w:ascii="Verdana" w:hAnsi="Verdana" w:cstheme="minorHAnsi"/>
          <w:sz w:val="18"/>
          <w:szCs w:val="18"/>
        </w:rPr>
        <w:t>Kupujícím</w:t>
      </w:r>
      <w:r w:rsidRPr="00503FB4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503FB4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EC1143">
        <w:rPr>
          <w:rFonts w:ascii="Verdana" w:hAnsi="Verdana" w:cstheme="minorHAnsi"/>
          <w:sz w:val="18"/>
          <w:szCs w:val="18"/>
        </w:rPr>
        <w:t>Rámcové</w:t>
      </w:r>
      <w:r w:rsidR="00A606A2" w:rsidRPr="00EC114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C1143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EC1143" w:rsidRDefault="00901DFA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EC114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EC1143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2879AF7C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55C3C669" w:rsidR="00901DFA" w:rsidRDefault="00F45BC9" w:rsidP="00A91EB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1DBFCD29" w14:textId="77777777" w:rsidR="00EC1143" w:rsidRPr="00240B8E" w:rsidRDefault="00EC1143" w:rsidP="00A91EB4">
      <w:pPr>
        <w:keepNext/>
        <w:keepLines/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 xml:space="preserve">Korespondenční adresa: </w:t>
      </w:r>
    </w:p>
    <w:p w14:paraId="622E6560" w14:textId="77777777" w:rsidR="00EC1143" w:rsidRPr="00240B8E" w:rsidRDefault="00EC1143" w:rsidP="00A91EB4">
      <w:pPr>
        <w:keepNext/>
        <w:keepLines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28F3F8A8" w14:textId="77777777" w:rsidR="00EC1143" w:rsidRPr="00240B8E" w:rsidRDefault="00EC1143" w:rsidP="00A91EB4">
      <w:pPr>
        <w:keepNext/>
        <w:keepLines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 xml:space="preserve">Oblastní ředitelství Praha </w:t>
      </w:r>
    </w:p>
    <w:p w14:paraId="529F996A" w14:textId="0178FA15" w:rsidR="00EC1143" w:rsidRPr="0026110E" w:rsidRDefault="00EC1143" w:rsidP="00A91EB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>Partyzánská 24, 170 00 Praha 7</w:t>
      </w:r>
    </w:p>
    <w:p w14:paraId="5E51939E" w14:textId="77777777" w:rsidR="00CB26F1" w:rsidRPr="008B5521" w:rsidRDefault="00CB26F1" w:rsidP="00A91EB4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EC1143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0B5FD6BA" w14:textId="4C8FB5A0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F637D2F" w:rsidR="006A4A0B" w:rsidRDefault="006A4A0B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62677E">
        <w:rPr>
          <w:rFonts w:ascii="Verdana" w:hAnsi="Verdana" w:cstheme="minorHAnsi"/>
          <w:sz w:val="18"/>
          <w:szCs w:val="18"/>
        </w:rPr>
        <w:t>odavatele uvedené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62677E">
        <w:rPr>
          <w:rFonts w:ascii="Verdana" w:hAnsi="Verdana" w:cstheme="minorHAnsi"/>
          <w:sz w:val="18"/>
          <w:szCs w:val="18"/>
        </w:rPr>
        <w:t>atele neuvedeného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62677E">
        <w:rPr>
          <w:rFonts w:ascii="Verdana" w:hAnsi="Verdana" w:cstheme="minorHAnsi"/>
          <w:sz w:val="18"/>
          <w:szCs w:val="18"/>
        </w:rPr>
        <w:t>avatele 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A91EB4">
      <w:pPr>
        <w:pStyle w:val="Odstavecseseznamem"/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lastRenderedPageBreak/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73F400CB" w14:textId="36A795CA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09056177" w:rsidR="000C4186" w:rsidRPr="00EC1143" w:rsidRDefault="008135F0" w:rsidP="00A91EB4">
      <w:pPr>
        <w:pStyle w:val="acnormal"/>
        <w:keepNext/>
        <w:keepLines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51CBBBC" w:rsidR="008135F0" w:rsidRPr="008B5521" w:rsidRDefault="008135F0" w:rsidP="00A91EB4">
      <w:pPr>
        <w:pStyle w:val="Odstavecseseznamem"/>
        <w:keepNext/>
        <w:keepLines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045338">
        <w:rPr>
          <w:rFonts w:ascii="Verdana" w:hAnsi="Verdana" w:cstheme="minorHAnsi"/>
          <w:sz w:val="18"/>
          <w:szCs w:val="18"/>
        </w:rPr>
        <w:t xml:space="preserve">Milan Jansa, </w:t>
      </w:r>
      <w:hyperlink r:id="rId14" w:history="1">
        <w:r w:rsidR="00045338" w:rsidRPr="00F74115">
          <w:rPr>
            <w:rStyle w:val="Hypertextovodkaz"/>
            <w:rFonts w:ascii="Verdana" w:hAnsi="Verdana" w:cstheme="minorHAnsi"/>
            <w:sz w:val="18"/>
            <w:szCs w:val="18"/>
          </w:rPr>
          <w:t>JansaM@spravazeleznic.cz</w:t>
        </w:r>
      </w:hyperlink>
      <w:r w:rsidR="00045338">
        <w:rPr>
          <w:rFonts w:ascii="Verdana" w:hAnsi="Verdana" w:cstheme="minorHAnsi"/>
          <w:sz w:val="18"/>
          <w:szCs w:val="18"/>
        </w:rPr>
        <w:t xml:space="preserve">, tel.: </w:t>
      </w:r>
      <w:r w:rsidR="00045338" w:rsidRPr="00045338">
        <w:rPr>
          <w:rFonts w:ascii="Verdana" w:hAnsi="Verdana" w:cstheme="minorHAnsi"/>
          <w:sz w:val="18"/>
          <w:szCs w:val="18"/>
        </w:rPr>
        <w:t>+420 720 958 595</w:t>
      </w:r>
    </w:p>
    <w:p w14:paraId="0AAE95F1" w14:textId="65A97F68" w:rsidR="008135F0" w:rsidRPr="00045338" w:rsidRDefault="008135F0" w:rsidP="00A91EB4">
      <w:pPr>
        <w:pStyle w:val="Odstavecseseznamem"/>
        <w:keepNext/>
        <w:keepLines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28F0DE2" w:rsidR="0070422F" w:rsidRPr="008B5521" w:rsidRDefault="008135F0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2AADA5F0" w:rsidR="00C91666" w:rsidRPr="002F1CB9" w:rsidRDefault="00C91666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045338">
        <w:rPr>
          <w:rFonts w:ascii="Verdana" w:hAnsi="Verdana" w:cstheme="minorHAnsi"/>
          <w:sz w:val="18"/>
          <w:szCs w:val="18"/>
          <w:highlight w:val="yellow"/>
        </w:rPr>
        <w:t>třech</w:t>
      </w:r>
      <w:r w:rsidR="00045338" w:rsidRPr="00045338">
        <w:rPr>
          <w:rFonts w:ascii="Verdana" w:hAnsi="Verdana" w:cstheme="minorHAnsi"/>
          <w:sz w:val="18"/>
          <w:szCs w:val="18"/>
        </w:rPr>
        <w:t xml:space="preserve"> </w:t>
      </w:r>
      <w:r w:rsidR="00045338">
        <w:rPr>
          <w:rFonts w:ascii="Verdana" w:hAnsi="Verdana" w:cstheme="minorHAnsi"/>
          <w:sz w:val="18"/>
          <w:szCs w:val="18"/>
        </w:rPr>
        <w:t>vyhotoveních, z nichž Kupující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45338" w:rsidRPr="00045338">
        <w:rPr>
          <w:rFonts w:ascii="Verdana" w:hAnsi="Verdana" w:cstheme="minorHAnsi"/>
          <w:sz w:val="18"/>
          <w:szCs w:val="18"/>
        </w:rPr>
        <w:t>dvě</w:t>
      </w:r>
      <w:r w:rsidR="00045338">
        <w:rPr>
          <w:rFonts w:ascii="Verdana" w:hAnsi="Verdana" w:cstheme="minorHAnsi"/>
          <w:sz w:val="18"/>
          <w:szCs w:val="18"/>
        </w:rPr>
        <w:t xml:space="preserve"> vyhotovení a Prodávající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45338">
        <w:rPr>
          <w:rFonts w:ascii="Verdana" w:hAnsi="Verdana" w:cstheme="minorHAnsi"/>
          <w:sz w:val="18"/>
          <w:szCs w:val="18"/>
          <w:highlight w:val="yellow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5AE355A" w14:textId="77777777" w:rsidR="00045338" w:rsidRPr="008B5521" w:rsidRDefault="00045338" w:rsidP="00A91EB4">
      <w:pPr>
        <w:pStyle w:val="Zkladntext21"/>
        <w:keepNext/>
        <w:keepLines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 tvořící nedílnou součást této rámcové dohody</w:t>
      </w:r>
    </w:p>
    <w:p w14:paraId="774196B5" w14:textId="73CDB576" w:rsidR="00045338" w:rsidRPr="008B5521" w:rsidRDefault="00045338" w:rsidP="00A91EB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>
        <w:rPr>
          <w:rFonts w:ascii="Verdana" w:hAnsi="Verdana" w:cstheme="minorHAnsi"/>
          <w:sz w:val="18"/>
          <w:szCs w:val="18"/>
        </w:rPr>
        <w:t xml:space="preserve">ínky </w:t>
      </w:r>
    </w:p>
    <w:p w14:paraId="64651FB7" w14:textId="20588B3C" w:rsidR="00045338" w:rsidRPr="005F40F0" w:rsidRDefault="00045338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</w:t>
      </w:r>
      <w:r w:rsidRPr="005F40F0">
        <w:rPr>
          <w:rFonts w:ascii="Verdana" w:hAnsi="Verdana" w:cstheme="minorHAnsi"/>
          <w:sz w:val="18"/>
          <w:szCs w:val="18"/>
        </w:rPr>
        <w:t xml:space="preserve"> – Jednotkový ceník </w:t>
      </w:r>
    </w:p>
    <w:p w14:paraId="167EA6EB" w14:textId="2ABC5295" w:rsidR="00045338" w:rsidRDefault="00045338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Pr="005F40F0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4DC0183" w14:textId="311764F1" w:rsidR="00045338" w:rsidRDefault="0062677E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="00045338" w:rsidRPr="002507FA">
        <w:rPr>
          <w:rFonts w:ascii="Verdana" w:hAnsi="Verdana" w:cstheme="minorHAnsi"/>
          <w:sz w:val="18"/>
          <w:szCs w:val="18"/>
        </w:rPr>
        <w:t>–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="00045338" w:rsidRPr="00CD2C30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5732CE16" w14:textId="7BD77FB2" w:rsidR="00045338" w:rsidRDefault="0062677E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045338" w:rsidRPr="001C10C6">
        <w:rPr>
          <w:rFonts w:ascii="Verdana" w:hAnsi="Verdana" w:cstheme="minorHAnsi"/>
          <w:sz w:val="18"/>
          <w:szCs w:val="18"/>
        </w:rPr>
        <w:t xml:space="preserve"> – </w:t>
      </w:r>
      <w:r w:rsidR="00045338" w:rsidRPr="005066F8">
        <w:rPr>
          <w:rFonts w:ascii="Verdana" w:hAnsi="Verdana" w:cstheme="minorHAnsi"/>
          <w:sz w:val="18"/>
          <w:szCs w:val="18"/>
        </w:rPr>
        <w:t>Analýza nebezpečí a hodnocení rizik</w:t>
      </w:r>
    </w:p>
    <w:p w14:paraId="1F634B12" w14:textId="77777777" w:rsidR="00045338" w:rsidRPr="008B5521" w:rsidRDefault="00045338" w:rsidP="00A91EB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F43BA4B" w14:textId="77777777" w:rsidR="00045338" w:rsidRDefault="00045338" w:rsidP="00A91EB4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</w:p>
    <w:p w14:paraId="244EB766" w14:textId="77777777" w:rsidR="00045338" w:rsidRPr="00184A8D" w:rsidRDefault="00045338" w:rsidP="00A91EB4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ADE89F6" w14:textId="77777777" w:rsidR="00045338" w:rsidRPr="002507FA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5F8E44" w14:textId="77777777" w:rsidR="00045338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</w:t>
      </w:r>
    </w:p>
    <w:p w14:paraId="5AE18FC2" w14:textId="77777777" w:rsidR="00045338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A54E324" w14:textId="77777777" w:rsidR="00045338" w:rsidRPr="00CF5179" w:rsidRDefault="00045338" w:rsidP="00A91EB4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459A9181" w14:textId="77777777" w:rsidR="00045338" w:rsidRPr="00CF5179" w:rsidRDefault="00045338" w:rsidP="00A91EB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5CCC8E5" w14:textId="77777777" w:rsidR="00045338" w:rsidRPr="00CF5179" w:rsidRDefault="00045338" w:rsidP="00A91EB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2C43DA86" w14:textId="77777777" w:rsidR="00045338" w:rsidRPr="008B5521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42231EA5" w14:textId="7368DF73" w:rsidR="00045338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195142E1" w14:textId="5CD80F49" w:rsidR="00045338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67CF5D93" w14:textId="77777777" w:rsidR="00045338" w:rsidRPr="008B5521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00FA9031" w14:textId="43C9331C" w:rsidR="00BF4D4D" w:rsidRPr="008B5521" w:rsidRDefault="00045338" w:rsidP="00A91EB4">
      <w:pPr>
        <w:keepNext/>
        <w:keepLines/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5C933" w14:textId="77777777" w:rsidR="00CD555B" w:rsidRDefault="00CD555B" w:rsidP="003706CB">
      <w:pPr>
        <w:spacing w:after="0" w:line="240" w:lineRule="auto"/>
      </w:pPr>
      <w:r>
        <w:separator/>
      </w:r>
    </w:p>
  </w:endnote>
  <w:endnote w:type="continuationSeparator" w:id="0">
    <w:p w14:paraId="72FB7785" w14:textId="77777777" w:rsidR="00CD555B" w:rsidRDefault="00CD555B" w:rsidP="003706CB">
      <w:pPr>
        <w:spacing w:after="0" w:line="240" w:lineRule="auto"/>
      </w:pPr>
      <w:r>
        <w:continuationSeparator/>
      </w:r>
    </w:p>
  </w:endnote>
  <w:endnote w:type="continuationNotice" w:id="1">
    <w:p w14:paraId="0DDF65DC" w14:textId="77777777" w:rsidR="00CD555B" w:rsidRDefault="00CD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2B69E467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A0459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A0459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6DDB0380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A0459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A0459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EBB2DE8" w14:textId="77777777" w:rsidR="00524338" w:rsidRPr="009E176C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Oblastní ředitelství Praha</w:t>
          </w:r>
        </w:p>
        <w:p w14:paraId="5DDCE596" w14:textId="77777777" w:rsidR="00524338" w:rsidRPr="009E176C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Partyzánská 24</w:t>
          </w:r>
        </w:p>
        <w:p w14:paraId="3EBBBA79" w14:textId="7E609031" w:rsidR="003B2DAA" w:rsidRPr="003B2DAA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AC63A" w14:textId="77777777" w:rsidR="00CD555B" w:rsidRDefault="00CD555B" w:rsidP="003706CB">
      <w:pPr>
        <w:spacing w:after="0" w:line="240" w:lineRule="auto"/>
      </w:pPr>
      <w:r>
        <w:separator/>
      </w:r>
    </w:p>
  </w:footnote>
  <w:footnote w:type="continuationSeparator" w:id="0">
    <w:p w14:paraId="12A7E88D" w14:textId="77777777" w:rsidR="00CD555B" w:rsidRDefault="00CD555B" w:rsidP="003706CB">
      <w:pPr>
        <w:spacing w:after="0" w:line="240" w:lineRule="auto"/>
      </w:pPr>
      <w:r>
        <w:continuationSeparator/>
      </w:r>
    </w:p>
  </w:footnote>
  <w:footnote w:type="continuationNotice" w:id="1">
    <w:p w14:paraId="3140229B" w14:textId="77777777" w:rsidR="00CD555B" w:rsidRDefault="00CD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40777" w14:textId="546BA3EA" w:rsidR="00862A70" w:rsidRDefault="00881C18" w:rsidP="00862A7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 </w:t>
    </w:r>
  </w:p>
  <w:p w14:paraId="70761009" w14:textId="46403573" w:rsidR="00925A19" w:rsidRPr="004E6499" w:rsidRDefault="00862A70" w:rsidP="00862A70">
    <w:pPr>
      <w:pStyle w:val="Zhlav"/>
      <w:jc w:val="right"/>
    </w:pPr>
    <w:r>
      <w:t>Č.J.: 31677/2021-SŽ-OŘ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E6247696"/>
    <w:name w:val="ac2"/>
    <w:lvl w:ilvl="0" w:tplc="FB4E92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8141F5F"/>
    <w:multiLevelType w:val="multilevel"/>
    <w:tmpl w:val="A66C25E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5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5338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DED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2AF9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03FB4"/>
    <w:rsid w:val="005166BE"/>
    <w:rsid w:val="00517F20"/>
    <w:rsid w:val="00524338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2677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A70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4A28"/>
    <w:rsid w:val="00A46AAE"/>
    <w:rsid w:val="00A606A2"/>
    <w:rsid w:val="00A65560"/>
    <w:rsid w:val="00A72DB9"/>
    <w:rsid w:val="00A73D1F"/>
    <w:rsid w:val="00A7658C"/>
    <w:rsid w:val="00A77CA7"/>
    <w:rsid w:val="00A91EB4"/>
    <w:rsid w:val="00A92237"/>
    <w:rsid w:val="00A92E45"/>
    <w:rsid w:val="00A976F4"/>
    <w:rsid w:val="00AA0459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061D4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30A9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C1143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913FD9"/>
  <w15:docId w15:val="{3F8852D0-173C-476A-848C-6BCA0BC4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saM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saM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FC58-1433-463A-B711-3566EC31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A9EDAB-CABF-4BDD-8754-6821C798A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96968-09ED-4B61-9CD6-6288D405975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1397F2-0DCF-438F-A5F9-1F3FCDFF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2725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Danielková Barbora</cp:lastModifiedBy>
  <cp:revision>54</cp:revision>
  <cp:lastPrinted>2018-02-12T13:27:00Z</cp:lastPrinted>
  <dcterms:created xsi:type="dcterms:W3CDTF">2018-11-07T16:03:00Z</dcterms:created>
  <dcterms:modified xsi:type="dcterms:W3CDTF">2021-09-10T05:09:00Z</dcterms:modified>
</cp:coreProperties>
</file>