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B68" w:rsidRDefault="00F422D3" w:rsidP="00FC6B68">
      <w:pPr>
        <w:pStyle w:val="Titul1"/>
        <w:spacing w:after="0"/>
      </w:pPr>
      <w:r w:rsidRPr="005D6794">
        <w:t>SMLOUVA O DÍLO</w:t>
      </w:r>
    </w:p>
    <w:p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rsidR="00F422D3" w:rsidRDefault="00F422D3" w:rsidP="00B42F40">
      <w:pPr>
        <w:pStyle w:val="Titul2"/>
      </w:pPr>
      <w:r>
        <w:t>Název zakázky: „</w:t>
      </w:r>
      <w:r w:rsidR="009F6257" w:rsidRPr="009F6257">
        <w:t>Rekonstrukce ŽST Vsetín</w:t>
      </w:r>
      <w:r w:rsidR="005B3FBB" w:rsidRPr="005B3FBB">
        <w:t xml:space="preserve"> – BOZP</w:t>
      </w:r>
      <w:r>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5B3FBB" w:rsidRPr="007101F1" w:rsidRDefault="005B3FBB" w:rsidP="005B3FBB">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7101F1">
        <w:rPr>
          <w:rFonts w:ascii="Verdana" w:hAnsi="Verdana" w:cs="Calibri"/>
          <w:color w:val="000000"/>
        </w:rPr>
        <w:t>ve věcech smluvních (mimo podpisu této smlouvy a jejích případných dodatků):</w:t>
      </w:r>
    </w:p>
    <w:p w:rsidR="005B3FBB" w:rsidRPr="007101F1" w:rsidRDefault="007101F1" w:rsidP="005B3FBB">
      <w:pPr>
        <w:spacing w:after="120"/>
        <w:ind w:left="567"/>
        <w:jc w:val="both"/>
        <w:rPr>
          <w:rFonts w:ascii="Verdana" w:hAnsi="Verdana" w:cs="Calibri"/>
        </w:rPr>
      </w:pPr>
      <w:r w:rsidRPr="007101F1">
        <w:t>-</w:t>
      </w:r>
      <w:r w:rsidRPr="007101F1">
        <w:tab/>
        <w:t>Mgr. Radka Szabó</w:t>
      </w:r>
      <w:r w:rsidR="005B3FBB" w:rsidRPr="007101F1">
        <w:rPr>
          <w:rFonts w:ascii="Verdana" w:hAnsi="Verdana" w:cs="Calibri"/>
        </w:rPr>
        <w:t xml:space="preserve">, tel.: </w:t>
      </w:r>
      <w:r w:rsidR="00C74839" w:rsidRPr="00C74839">
        <w:t>+420 724 932 396</w:t>
      </w:r>
      <w:r w:rsidR="005B3FBB" w:rsidRPr="007101F1">
        <w:rPr>
          <w:rFonts w:ascii="Verdana" w:hAnsi="Verdana" w:cs="Calibri"/>
        </w:rPr>
        <w:t>,</w:t>
      </w:r>
    </w:p>
    <w:p w:rsidR="005B3FBB" w:rsidRPr="007101F1" w:rsidRDefault="005B3FBB" w:rsidP="005B3FBB">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7101F1">
        <w:rPr>
          <w:rFonts w:ascii="Verdana" w:hAnsi="Verdana" w:cs="Calibri"/>
          <w:color w:val="000000"/>
        </w:rPr>
        <w:t>ve věcech technických:</w:t>
      </w:r>
    </w:p>
    <w:p w:rsidR="005B3FBB" w:rsidRPr="007101F1" w:rsidRDefault="00C74839" w:rsidP="005B3FBB">
      <w:pPr>
        <w:spacing w:after="120"/>
        <w:ind w:left="567"/>
        <w:jc w:val="both"/>
        <w:rPr>
          <w:rFonts w:ascii="Verdana" w:hAnsi="Verdana" w:cs="Calibri"/>
        </w:rPr>
      </w:pPr>
      <w:r w:rsidRPr="00C74839">
        <w:t>-</w:t>
      </w:r>
      <w:r w:rsidRPr="00C74839">
        <w:tab/>
        <w:t>Ing. Martin Grečnár</w:t>
      </w:r>
      <w:r w:rsidR="005B3FBB" w:rsidRPr="007101F1">
        <w:rPr>
          <w:rFonts w:ascii="Verdana" w:hAnsi="Verdana" w:cs="Calibri"/>
        </w:rPr>
        <w:t xml:space="preserve">, tel.: </w:t>
      </w:r>
      <w:r w:rsidRPr="00C74839">
        <w:t>+420 724 550 166</w:t>
      </w:r>
      <w:r w:rsidR="005B3FBB" w:rsidRPr="007101F1">
        <w:rPr>
          <w:rFonts w:ascii="Verdana" w:hAnsi="Verdana" w:cs="Arial"/>
        </w:rPr>
        <w:t>,</w:t>
      </w:r>
    </w:p>
    <w:p w:rsidR="005B3FBB" w:rsidRPr="007101F1" w:rsidRDefault="005B3FBB" w:rsidP="005B3FBB">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7101F1">
        <w:rPr>
          <w:rFonts w:ascii="Verdana" w:hAnsi="Verdana" w:cs="Calibri"/>
          <w:color w:val="000000"/>
        </w:rPr>
        <w:t>stavební dozor:</w:t>
      </w:r>
    </w:p>
    <w:p w:rsidR="005B3FBB" w:rsidRDefault="00C74839" w:rsidP="005B3FBB">
      <w:pPr>
        <w:pStyle w:val="Textbezodsazen"/>
        <w:ind w:left="567"/>
      </w:pPr>
      <w:r w:rsidRPr="00C74839">
        <w:t>-</w:t>
      </w:r>
      <w:r w:rsidRPr="00C74839">
        <w:tab/>
        <w:t>Ing. Martin Kypr</w:t>
      </w:r>
      <w:r w:rsidR="005B3FBB" w:rsidRPr="007101F1">
        <w:rPr>
          <w:rFonts w:ascii="Verdana" w:hAnsi="Verdana" w:cs="Calibri"/>
        </w:rPr>
        <w:t xml:space="preserve">, tel.: </w:t>
      </w:r>
      <w:r w:rsidRPr="00C74839">
        <w:t>+420 724 932 322</w:t>
      </w:r>
      <w:r w:rsidR="005B3FBB" w:rsidRPr="007101F1">
        <w:rPr>
          <w:rFonts w:ascii="Verdana" w:hAnsi="Verdana" w:cs="Arial"/>
        </w:rPr>
        <w:t>.</w:t>
      </w:r>
    </w:p>
    <w:p w:rsidR="00F422D3" w:rsidRDefault="005B3FBB" w:rsidP="005B3FBB">
      <w:pPr>
        <w:pStyle w:val="Textbezodsazen"/>
      </w:pPr>
      <w:r>
        <w:t xml:space="preserve"> </w:t>
      </w:r>
      <w:r w:rsidR="00F422D3">
        <w:t>(</w:t>
      </w:r>
      <w:r w:rsidR="00F422D3" w:rsidRPr="00B42F40">
        <w:t>dále</w:t>
      </w:r>
      <w:r w:rsidR="00F422D3">
        <w:t xml:space="preserve"> jen „</w:t>
      </w:r>
      <w:r w:rsidR="009222E1">
        <w:rPr>
          <w:b/>
        </w:rPr>
        <w:t>Objednatel</w:t>
      </w:r>
      <w:r w:rsidR="00F422D3">
        <w:t>“)</w:t>
      </w:r>
    </w:p>
    <w:p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rsidR="00F422D3" w:rsidRDefault="00F422D3" w:rsidP="00B42F40">
      <w:pPr>
        <w:pStyle w:val="Textbezodsazen"/>
      </w:pPr>
      <w:r>
        <w:t xml:space="preserve">ISPROFOND: </w:t>
      </w:r>
      <w:r w:rsidR="005F498B" w:rsidRPr="005F498B">
        <w:t>5723520026</w:t>
      </w:r>
      <w:bookmarkStart w:id="0" w:name="_GoBack"/>
      <w:bookmarkEnd w:id="0"/>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lastRenderedPageBreak/>
        <w:t>ve věcech technických:</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13733C">
      <w:pPr>
        <w:pStyle w:val="Nadpis1-1"/>
        <w:numPr>
          <w:ilvl w:val="0"/>
          <w:numId w:val="8"/>
        </w:numPr>
      </w:pPr>
      <w:r w:rsidRPr="007F2FC8">
        <w:t>PŘEDMĚT SMLOUVY</w:t>
      </w:r>
    </w:p>
    <w:p w:rsidR="00F91101" w:rsidRDefault="009222E1" w:rsidP="009F6257">
      <w:pPr>
        <w:pStyle w:val="Text1-1"/>
        <w:numPr>
          <w:ilvl w:val="1"/>
          <w:numId w:val="8"/>
        </w:numPr>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5B3FBB" w:rsidRPr="005B3FBB">
        <w:rPr>
          <w:b/>
        </w:rPr>
        <w:t>„</w:t>
      </w:r>
      <w:r w:rsidR="009F6257" w:rsidRPr="009F6257">
        <w:rPr>
          <w:b/>
        </w:rPr>
        <w:t>Rekonstrukce ŽST Vsetín</w:t>
      </w:r>
      <w:r w:rsidR="005B3FBB" w:rsidRPr="005B3FBB">
        <w:t xml:space="preserve">“ </w:t>
      </w:r>
      <w:r w:rsidR="00F91101" w:rsidRPr="005C7EED">
        <w:t xml:space="preserve">(dále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dávat podněty a na vyžádání zhotovitele a/nebo poddodavatele doporučovat technická řešení nebo opatření k zajištění BOZP pro stanovení pracovních nebo technologických postupů a plánování bezpečného provádění prací, které se </w:t>
      </w:r>
      <w:r w:rsidRPr="005C7EED">
        <w:rPr>
          <w:rFonts w:ascii="Verdana" w:hAnsi="Verdana" w:cs="Calibri"/>
          <w:color w:val="000000"/>
        </w:rPr>
        <w:lastRenderedPageBreak/>
        <w:t>s ohledem na věcné a časové vazby při realizaci stavby uskuteční současně nebo na sebe budou bezprostředně navazovat,</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databázi zjištěných závad, vytváří přehledové listy zjištěných závad pro různé úrovně řízení stavby, včetně průkazné fotodokumentace,</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13733C">
      <w:pPr>
        <w:pStyle w:val="Nadpis1-1"/>
        <w:numPr>
          <w:ilvl w:val="0"/>
          <w:numId w:val="8"/>
        </w:numPr>
      </w:pPr>
      <w:r w:rsidRPr="007F2FC8">
        <w:t>PRÁVA A POVINNOSTI KOORDINÁTORA BOZP</w:t>
      </w:r>
    </w:p>
    <w:p w:rsidR="00F91101" w:rsidRPr="005C7EED" w:rsidRDefault="00F91101" w:rsidP="006A7164">
      <w:pPr>
        <w:pStyle w:val="Text1-1"/>
        <w:numPr>
          <w:ilvl w:val="1"/>
          <w:numId w:val="8"/>
        </w:numPr>
        <w:tabs>
          <w:tab w:val="clear" w:pos="1446"/>
          <w:tab w:val="num" w:pos="737"/>
        </w:tabs>
        <w:ind w:left="737"/>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lastRenderedPageBreak/>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 xml:space="preserve">bude v průběhu realizace Stavby zajištěn osobou (osobami) </w:t>
      </w:r>
      <w:proofErr w:type="gramStart"/>
      <w:r w:rsidRPr="00EE221B">
        <w:t>disponující(mi</w:t>
      </w:r>
      <w:proofErr w:type="gramEnd"/>
      <w:r w:rsidRPr="00EE221B">
        <w:t>) elektronickým podpisem</w:t>
      </w:r>
      <w:r>
        <w:t>, bude-li takového elektronického podepisování k plnění předmětu Díla třeba</w:t>
      </w:r>
      <w:r w:rsidRPr="00EE221B">
        <w:t>.</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6A7164">
      <w:pPr>
        <w:pStyle w:val="Text1-1"/>
        <w:numPr>
          <w:ilvl w:val="1"/>
          <w:numId w:val="8"/>
        </w:numPr>
        <w:tabs>
          <w:tab w:val="clear" w:pos="1446"/>
          <w:tab w:val="num" w:pos="737"/>
        </w:tabs>
        <w:ind w:left="737"/>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 xml:space="preserve">e a třetích osob určených dohodou smluvních stran nebo třetích osob v nezbytném rozsahu za účelem plnění </w:t>
      </w:r>
      <w:r w:rsidRPr="005C7EED">
        <w:lastRenderedPageBreak/>
        <w:t>povinností koordinátora BOZP vyplývajících z této smlouvy a nesmějí být použity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13733C">
      <w:pPr>
        <w:pStyle w:val="Nadpis1-1"/>
        <w:numPr>
          <w:ilvl w:val="0"/>
          <w:numId w:val="8"/>
        </w:numPr>
      </w:pPr>
      <w:r w:rsidRPr="007F2FC8">
        <w:t>CENA A PLATEBNÍ PODMÍNKY</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Koordinátor BOZP povinen předložit Objednateli dle povahy dodatečných služeb i bližší specifikaci jejich rozsahu, cenovou kalkulaci a/nebo dopad na dobu plnění.</w:t>
      </w:r>
    </w:p>
    <w:p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lastRenderedPageBreak/>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rsidR="00F91101" w:rsidRPr="004C64C5" w:rsidRDefault="00F91101" w:rsidP="0013733C">
      <w:pPr>
        <w:pStyle w:val="Nadpis1-1"/>
        <w:numPr>
          <w:ilvl w:val="0"/>
          <w:numId w:val="8"/>
        </w:numPr>
      </w:pPr>
      <w:r w:rsidRPr="004C64C5">
        <w:t>DOBA PLNĚNÍ A UKONČENÍ SMLOUVY</w:t>
      </w:r>
    </w:p>
    <w:p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rsidR="00F91101" w:rsidRPr="005C7EED" w:rsidRDefault="00F91101" w:rsidP="00F7247A">
      <w:pPr>
        <w:pStyle w:val="Text1-2"/>
        <w:numPr>
          <w:ilvl w:val="2"/>
          <w:numId w:val="8"/>
        </w:numPr>
        <w:tabs>
          <w:tab w:val="clear" w:pos="1474"/>
        </w:tabs>
        <w:ind w:left="737"/>
      </w:pPr>
      <w:r w:rsidRPr="005C7EED">
        <w:t xml:space="preserve">Ukončení výkonu činnosti: </w:t>
      </w:r>
      <w:r w:rsidRPr="005B3FBB">
        <w:t xml:space="preserve">do </w:t>
      </w:r>
      <w:r w:rsidR="009F6257" w:rsidRPr="009F6257">
        <w:rPr>
          <w:b/>
        </w:rPr>
        <w:t>39</w:t>
      </w:r>
      <w:r w:rsidR="005B3FBB" w:rsidRPr="005B3FBB">
        <w:rPr>
          <w:rFonts w:cs="Arial"/>
          <w:b/>
        </w:rPr>
        <w:t xml:space="preserve"> </w:t>
      </w:r>
      <w:r w:rsidRPr="005B3FBB">
        <w:rPr>
          <w:b/>
        </w:rPr>
        <w:t xml:space="preserve">měsíců </w:t>
      </w:r>
      <w:r w:rsidRPr="005B3FBB">
        <w:t>ode dne</w:t>
      </w:r>
      <w:r w:rsidRPr="005C7EED">
        <w:t xml:space="preserve"> zahájení stavebních prací na předmětné stavbě, kdy je předpokládáno ukončení stavebních prací.</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13733C">
      <w:pPr>
        <w:pStyle w:val="Nadpis1-1"/>
        <w:numPr>
          <w:ilvl w:val="0"/>
          <w:numId w:val="8"/>
        </w:numPr>
      </w:pPr>
      <w:r w:rsidRPr="004C64C5">
        <w:t>OSTATNÍ UJEDNÁNÍ</w:t>
      </w:r>
    </w:p>
    <w:p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F7247A">
      <w:pPr>
        <w:pStyle w:val="Text1-1"/>
        <w:numPr>
          <w:ilvl w:val="1"/>
          <w:numId w:val="8"/>
        </w:numPr>
        <w:tabs>
          <w:tab w:val="clear" w:pos="1446"/>
          <w:tab w:val="num" w:pos="737"/>
        </w:tabs>
        <w:ind w:left="737"/>
      </w:pPr>
      <w:r w:rsidRPr="005C7EED">
        <w:lastRenderedPageBreak/>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rsidR="00FC6B68" w:rsidRPr="002D4C7D" w:rsidRDefault="00FC6B68" w:rsidP="00A91699">
      <w:pPr>
        <w:pStyle w:val="Text1-2"/>
        <w:numPr>
          <w:ilvl w:val="2"/>
          <w:numId w:val="8"/>
        </w:numPr>
        <w:tabs>
          <w:tab w:val="clear" w:pos="1474"/>
        </w:tabs>
        <w:ind w:left="737"/>
      </w:pPr>
      <w:r w:rsidRPr="002D4C7D">
        <w:t xml:space="preserve">Případné porady, které </w:t>
      </w:r>
      <w:r w:rsidR="003F0D9A" w:rsidRPr="005C7EED">
        <w:t xml:space="preserve">Koordinátor BOZP </w:t>
      </w:r>
      <w:r w:rsidRPr="002D4C7D">
        <w:t xml:space="preserve">pro účely plnění předmětu Díla svolá, budou probíhat primárně distančním způsobem (elektronicky, např. MS </w:t>
      </w:r>
      <w:proofErr w:type="spellStart"/>
      <w:r w:rsidRPr="002D4C7D">
        <w:t>Teams</w:t>
      </w:r>
      <w:proofErr w:type="spellEnd"/>
      <w:r w:rsidRPr="002D4C7D">
        <w:t xml:space="preserve">, Google </w:t>
      </w:r>
      <w:proofErr w:type="spellStart"/>
      <w:r w:rsidRPr="002D4C7D">
        <w:t>meet</w:t>
      </w:r>
      <w:proofErr w:type="spellEnd"/>
      <w:r w:rsidRPr="002D4C7D">
        <w:t>, atp.), pokud nebude nutné, aby byly spojeny s místním šetřením.</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rsidR="00FC6B68" w:rsidRPr="002D4C7D" w:rsidRDefault="00FC6B68" w:rsidP="00A91699">
      <w:pPr>
        <w:pStyle w:val="Text1-2"/>
        <w:numPr>
          <w:ilvl w:val="2"/>
          <w:numId w:val="8"/>
        </w:numPr>
        <w:tabs>
          <w:tab w:val="clear" w:pos="1474"/>
        </w:tabs>
        <w:ind w:left="737"/>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rsidR="00FC6B68" w:rsidRPr="002D4C7D" w:rsidRDefault="00FC6B68" w:rsidP="00A91699">
      <w:pPr>
        <w:pStyle w:val="Text1-2"/>
        <w:numPr>
          <w:ilvl w:val="2"/>
          <w:numId w:val="8"/>
        </w:numPr>
        <w:tabs>
          <w:tab w:val="clear" w:pos="1474"/>
        </w:tabs>
        <w:ind w:left="737"/>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rsidR="00FC6B68" w:rsidRDefault="00FC6B68" w:rsidP="00A91699">
      <w:pPr>
        <w:pStyle w:val="Text1-2"/>
        <w:numPr>
          <w:ilvl w:val="2"/>
          <w:numId w:val="8"/>
        </w:numPr>
        <w:tabs>
          <w:tab w:val="clear" w:pos="1474"/>
        </w:tabs>
        <w:ind w:left="737"/>
      </w:pPr>
      <w:r w:rsidRPr="002D4C7D">
        <w:lastRenderedPageBreak/>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rsidR="000B58CF" w:rsidRP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rsidR="00F91101" w:rsidRPr="004C64C5" w:rsidRDefault="00F91101" w:rsidP="0013733C">
      <w:pPr>
        <w:pStyle w:val="Nadpis1-1"/>
        <w:numPr>
          <w:ilvl w:val="0"/>
          <w:numId w:val="8"/>
        </w:numPr>
      </w:pPr>
      <w:r w:rsidRPr="004C64C5">
        <w:t>SMLUVNÍ POKUTY A ÚROK Z PRODLENÍ</w:t>
      </w:r>
    </w:p>
    <w:p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tavcích</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em nejpozději do 60-ti dnů od vzniku události</w:t>
      </w:r>
      <w:r>
        <w:rPr>
          <w:rFonts w:ascii="Verdana" w:hAnsi="Verdana" w:cs="Calibri"/>
        </w:rPr>
        <w:t>;</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rsidR="00F91101" w:rsidRPr="004C64C5" w:rsidRDefault="00F91101" w:rsidP="00F7247A">
      <w:pPr>
        <w:pStyle w:val="Text1-1"/>
        <w:numPr>
          <w:ilvl w:val="1"/>
          <w:numId w:val="8"/>
        </w:numPr>
        <w:tabs>
          <w:tab w:val="clear" w:pos="1446"/>
          <w:tab w:val="num" w:pos="737"/>
        </w:tabs>
        <w:ind w:left="737"/>
      </w:pPr>
      <w:r w:rsidRPr="004C64C5">
        <w:lastRenderedPageBreak/>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13733C">
      <w:pPr>
        <w:pStyle w:val="Nadpis1-1"/>
        <w:numPr>
          <w:ilvl w:val="0"/>
          <w:numId w:val="8"/>
        </w:numPr>
      </w:pPr>
      <w:r w:rsidRPr="004C64C5">
        <w:t>KONTROLY A AUDITY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13733C">
      <w:pPr>
        <w:pStyle w:val="Nadpis1-1"/>
        <w:numPr>
          <w:ilvl w:val="0"/>
          <w:numId w:val="8"/>
        </w:numPr>
      </w:pPr>
      <w:r w:rsidRPr="004C64C5">
        <w:t>ZÁVĚREČNÁ USTANOVENÍ</w:t>
      </w:r>
    </w:p>
    <w:p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F7247A">
      <w:pPr>
        <w:pStyle w:val="Text1-1"/>
        <w:numPr>
          <w:ilvl w:val="1"/>
          <w:numId w:val="8"/>
        </w:numPr>
        <w:tabs>
          <w:tab w:val="clear" w:pos="1446"/>
          <w:tab w:val="num" w:pos="737"/>
        </w:tabs>
        <w:ind w:left="737"/>
      </w:pPr>
      <w:r w:rsidRPr="005C7EED">
        <w:t xml:space="preserve">Podléhá-li tato smlouva uveřejnění v registru smluv podle zákona č. 340/2015 Sb., o zvláštních podmínkách účinnosti některých smluv, uveřejňování těchto smluv </w:t>
      </w:r>
      <w:r w:rsidRPr="005C7EED">
        <w:lastRenderedPageBreak/>
        <w:t>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F7247A">
      <w:pPr>
        <w:pStyle w:val="Text1-1"/>
        <w:numPr>
          <w:ilvl w:val="1"/>
          <w:numId w:val="8"/>
        </w:numPr>
        <w:tabs>
          <w:tab w:val="clear" w:pos="1446"/>
          <w:tab w:val="num" w:pos="737"/>
        </w:tabs>
        <w:ind w:left="737"/>
      </w:pPr>
      <w:r w:rsidRPr="005C7EED">
        <w:lastRenderedPageBreak/>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F7247A">
      <w:pPr>
        <w:pStyle w:val="Text1-1"/>
        <w:numPr>
          <w:ilvl w:val="1"/>
          <w:numId w:val="8"/>
        </w:numPr>
        <w:tabs>
          <w:tab w:val="clear" w:pos="1446"/>
          <w:tab w:val="num" w:pos="737"/>
        </w:tabs>
        <w:ind w:left="737"/>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rsidR="00F91101" w:rsidRPr="005C7EED"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p w:rsidR="00E901A3" w:rsidRDefault="00E901A3" w:rsidP="009F0867">
      <w:pPr>
        <w:pStyle w:val="Textbezodsazen"/>
      </w:pPr>
    </w:p>
    <w:p w:rsidR="00F762A8" w:rsidRDefault="00F762A8" w:rsidP="00E175B2">
      <w:pPr>
        <w:pStyle w:val="Nadpisbezsl1-1"/>
      </w:pPr>
    </w:p>
    <w:sectPr w:rsidR="00F762A8" w:rsidSect="00A21A01">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498B">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498B">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6"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7"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7"/>
  </w:num>
  <w:num w:numId="4">
    <w:abstractNumId w:val="10"/>
  </w:num>
  <w:num w:numId="5">
    <w:abstractNumId w:val="12"/>
  </w:num>
  <w:num w:numId="6">
    <w:abstractNumId w:val="21"/>
  </w:num>
  <w:num w:numId="7">
    <w:abstractNumId w:val="23"/>
  </w:num>
  <w:num w:numId="8">
    <w:abstractNumId w:val="0"/>
  </w:num>
  <w:num w:numId="9">
    <w:abstractNumId w:val="4"/>
  </w:num>
  <w:num w:numId="10">
    <w:abstractNumId w:val="28"/>
  </w:num>
  <w:num w:numId="11">
    <w:abstractNumId w:val="3"/>
  </w:num>
  <w:num w:numId="12">
    <w:abstractNumId w:val="16"/>
  </w:num>
  <w:num w:numId="13">
    <w:abstractNumId w:val="18"/>
  </w:num>
  <w:num w:numId="14">
    <w:abstractNumId w:val="2"/>
  </w:num>
  <w:num w:numId="15">
    <w:abstractNumId w:val="24"/>
  </w:num>
  <w:num w:numId="16">
    <w:abstractNumId w:val="6"/>
  </w:num>
  <w:num w:numId="17">
    <w:abstractNumId w:val="17"/>
  </w:num>
  <w:num w:numId="18">
    <w:abstractNumId w:val="15"/>
  </w:num>
  <w:num w:numId="19">
    <w:abstractNumId w:val="22"/>
  </w:num>
  <w:num w:numId="20">
    <w:abstractNumId w:val="11"/>
  </w:num>
  <w:num w:numId="21">
    <w:abstractNumId w:val="20"/>
  </w:num>
  <w:num w:numId="22">
    <w:abstractNumId w:val="25"/>
  </w:num>
  <w:num w:numId="23">
    <w:abstractNumId w:val="14"/>
  </w:num>
  <w:num w:numId="24">
    <w:abstractNumId w:val="13"/>
  </w:num>
  <w:num w:numId="25">
    <w:abstractNumId w:val="8"/>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 w:numId="30">
    <w:abstractNumId w:val="0"/>
  </w:num>
  <w:num w:numId="31">
    <w:abstractNumId w:val="9"/>
  </w:num>
  <w:num w:numId="32">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719E"/>
    <w:rsid w:val="00034722"/>
    <w:rsid w:val="00041EC8"/>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733C"/>
    <w:rsid w:val="00143EC0"/>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3D6"/>
    <w:rsid w:val="003C33F2"/>
    <w:rsid w:val="003D756E"/>
    <w:rsid w:val="003E420D"/>
    <w:rsid w:val="003E4C13"/>
    <w:rsid w:val="003F0D9A"/>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3216"/>
    <w:rsid w:val="004F4B9B"/>
    <w:rsid w:val="004F5EF6"/>
    <w:rsid w:val="00502690"/>
    <w:rsid w:val="0050666E"/>
    <w:rsid w:val="00511AB9"/>
    <w:rsid w:val="00512D3A"/>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B3FBB"/>
    <w:rsid w:val="005D3C39"/>
    <w:rsid w:val="005D6794"/>
    <w:rsid w:val="005E7125"/>
    <w:rsid w:val="005F498B"/>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4D1E"/>
    <w:rsid w:val="007101F1"/>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257"/>
    <w:rsid w:val="009F638B"/>
    <w:rsid w:val="00A0740E"/>
    <w:rsid w:val="00A21A01"/>
    <w:rsid w:val="00A349C6"/>
    <w:rsid w:val="00A50641"/>
    <w:rsid w:val="00A530BF"/>
    <w:rsid w:val="00A6177B"/>
    <w:rsid w:val="00A66136"/>
    <w:rsid w:val="00A71189"/>
    <w:rsid w:val="00A7364A"/>
    <w:rsid w:val="00A74DCC"/>
    <w:rsid w:val="00A753ED"/>
    <w:rsid w:val="00A77512"/>
    <w:rsid w:val="00A91699"/>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A2D9F"/>
    <w:rsid w:val="00BB3C3C"/>
    <w:rsid w:val="00BC06C4"/>
    <w:rsid w:val="00BC5BDD"/>
    <w:rsid w:val="00BD5DE9"/>
    <w:rsid w:val="00BD7E91"/>
    <w:rsid w:val="00BD7F0D"/>
    <w:rsid w:val="00BF7940"/>
    <w:rsid w:val="00C02D0A"/>
    <w:rsid w:val="00C02F8B"/>
    <w:rsid w:val="00C03A6E"/>
    <w:rsid w:val="00C226C0"/>
    <w:rsid w:val="00C42FE6"/>
    <w:rsid w:val="00C441C8"/>
    <w:rsid w:val="00C44F6A"/>
    <w:rsid w:val="00C47CF5"/>
    <w:rsid w:val="00C530B3"/>
    <w:rsid w:val="00C6198E"/>
    <w:rsid w:val="00C708EA"/>
    <w:rsid w:val="00C74839"/>
    <w:rsid w:val="00C778A5"/>
    <w:rsid w:val="00C779E3"/>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55ACB07"/>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F16BA79F-5E4E-4A14-8C68-CB22941C8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51</TotalTime>
  <Pages>12</Pages>
  <Words>5841</Words>
  <Characters>34463</Characters>
  <Application>Microsoft Office Word</Application>
  <DocSecurity>0</DocSecurity>
  <Lines>287</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8</cp:revision>
  <cp:lastPrinted>2019-03-12T14:16:00Z</cp:lastPrinted>
  <dcterms:created xsi:type="dcterms:W3CDTF">2021-06-01T05:51:00Z</dcterms:created>
  <dcterms:modified xsi:type="dcterms:W3CDTF">2021-08-30T11:27:00Z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