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726FF7">
        <w:t>10</w:t>
      </w:r>
    </w:p>
    <w:p w:rsidR="004E7FF6" w:rsidRDefault="00726FF7" w:rsidP="009D5BB6">
      <w:pPr>
        <w:pStyle w:val="TPTitul2"/>
        <w:rPr>
          <w:bCs/>
        </w:rPr>
      </w:pPr>
      <w:r w:rsidRPr="00726FF7">
        <w:rPr>
          <w:sz w:val="48"/>
          <w:szCs w:val="48"/>
        </w:rPr>
        <w:t>Zásady pro stanovení rozsahu a výše uvolňovací rychlosti při nasazení systému ETCS na stávající infrastrukturu (č. j. 47270/2018-SŽDC-GŘ-O14)</w:t>
      </w:r>
    </w:p>
    <w:p w:rsidR="00726FF7" w:rsidRDefault="00726FF7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„ETCS</w:t>
      </w:r>
      <w:r w:rsidR="00FB0554">
        <w:rPr>
          <w:bCs/>
        </w:rPr>
        <w:t>+DOZ Votice – České Budějovice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FB0554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12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2020</w:t>
      </w:r>
    </w:p>
    <w:p w:rsidR="00A84E21" w:rsidRDefault="00A84E21" w:rsidP="00A84E21">
      <w:pPr>
        <w:rPr>
          <w:noProof/>
        </w:rPr>
      </w:pPr>
      <w:bookmarkStart w:id="0" w:name="_GoBack"/>
      <w:bookmarkEnd w:id="0"/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62" w:rsidRDefault="00973062">
      <w:r>
        <w:separator/>
      </w:r>
    </w:p>
  </w:endnote>
  <w:endnote w:type="continuationSeparator" w:id="0">
    <w:p w:rsidR="00973062" w:rsidRDefault="0097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FB0554" w:rsidP="00FB055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570" r:id="rId2"/>
      </w:object>
    </w: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5D19D8" w:rsidRDefault="00FB0554" w:rsidP="00FB055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62" w:rsidRDefault="00973062">
      <w:r>
        <w:separator/>
      </w:r>
    </w:p>
  </w:footnote>
  <w:footnote w:type="continuationSeparator" w:id="0">
    <w:p w:rsidR="00973062" w:rsidRDefault="00973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30D30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4E49F90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B2F9-1CA6-4808-8D6F-5E129187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2020-12-17T14:36:00Z</dcterms:created>
  <dcterms:modified xsi:type="dcterms:W3CDTF">2020-12-17T14:36:00Z</dcterms:modified>
</cp:coreProperties>
</file>