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72182C">
        <w:rPr>
          <w:rFonts w:ascii="Verdana" w:hAnsi="Verdana"/>
          <w:b/>
          <w:sz w:val="18"/>
          <w:szCs w:val="18"/>
        </w:rPr>
        <w:t>„</w:t>
      </w:r>
      <w:r w:rsidR="0072182C" w:rsidRPr="0072182C">
        <w:rPr>
          <w:rFonts w:ascii="Verdana" w:hAnsi="Verdana"/>
          <w:b/>
          <w:sz w:val="18"/>
          <w:szCs w:val="18"/>
        </w:rPr>
        <w:t>Svoz a zpracování finanční hotovosti z platebních automatů 2021 - 2024</w:t>
      </w:r>
      <w:r w:rsidRPr="0072182C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18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182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2182C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38BF3E"/>
  <w15:docId w15:val="{6797E1EF-9CB2-4759-B2E3-1B8B4E36F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A5D673-BD88-43FB-9308-4F616D29C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2018-12-07T16:21:00Z</dcterms:created>
  <dcterms:modified xsi:type="dcterms:W3CDTF">2021-06-28T12:17:00Z</dcterms:modified>
</cp:coreProperties>
</file>