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0E9" w:rsidRPr="003440E9" w:rsidRDefault="003440E9" w:rsidP="003440E9">
      <w:pPr>
        <w:pStyle w:val="Nadpis1"/>
        <w:rPr>
          <w:rFonts w:asciiTheme="minorHAnsi" w:hAnsiTheme="minorHAnsi"/>
          <w:b w:val="0"/>
          <w:color w:val="auto"/>
          <w:sz w:val="18"/>
          <w:szCs w:val="18"/>
        </w:rPr>
      </w:pPr>
      <w:r w:rsidRPr="003440E9">
        <w:rPr>
          <w:rFonts w:asciiTheme="minorHAnsi" w:hAnsiTheme="minorHAnsi"/>
          <w:b w:val="0"/>
          <w:color w:val="auto"/>
          <w:sz w:val="18"/>
          <w:szCs w:val="18"/>
        </w:rPr>
        <w:t xml:space="preserve">Příloha č. 1 </w:t>
      </w:r>
      <w:r w:rsidR="0056457B">
        <w:rPr>
          <w:rFonts w:asciiTheme="minorHAnsi" w:hAnsiTheme="minorHAnsi"/>
          <w:b w:val="0"/>
          <w:color w:val="auto"/>
          <w:sz w:val="18"/>
          <w:szCs w:val="18"/>
        </w:rPr>
        <w:t>Smlouvy</w:t>
      </w:r>
      <w:bookmarkStart w:id="0" w:name="_GoBack"/>
      <w:bookmarkEnd w:id="0"/>
    </w:p>
    <w:p w:rsidR="003440E9" w:rsidRDefault="003440E9" w:rsidP="003440E9">
      <w:pPr>
        <w:pStyle w:val="Nadpis1"/>
      </w:pPr>
      <w:r>
        <w:t>Bližší specifikace předmětu plnění</w:t>
      </w:r>
    </w:p>
    <w:p w:rsidR="003440E9" w:rsidRPr="00FF3369" w:rsidRDefault="003440E9" w:rsidP="003440E9">
      <w:pPr>
        <w:rPr>
          <w:b/>
        </w:rPr>
      </w:pPr>
      <w:r w:rsidRPr="00FF3369">
        <w:t xml:space="preserve">Z důvodů platnosti nové Vyhlášky o vyúčtování dodávek a souvisejících služeb v energetických odvětvích č. 207/2021 Sb. účinné </w:t>
      </w:r>
      <w:proofErr w:type="gramStart"/>
      <w:r w:rsidRPr="00FF3369">
        <w:t>od  01</w:t>
      </w:r>
      <w:proofErr w:type="gramEnd"/>
      <w:r w:rsidRPr="00FF3369">
        <w:t>. 01. 2022 je nezbytné provést úpravy ve všech formuláři faktur za netrakční elektrickou energii vystavovaných v SAP/ISU.</w:t>
      </w:r>
      <w:r w:rsidRPr="00FF3369">
        <w:rPr>
          <w:b/>
        </w:rPr>
        <w:t xml:space="preserve"> </w:t>
      </w:r>
    </w:p>
    <w:tbl>
      <w:tblPr>
        <w:tblW w:w="7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3"/>
        <w:gridCol w:w="2479"/>
        <w:gridCol w:w="3350"/>
      </w:tblGrid>
      <w:tr w:rsidR="003440E9" w:rsidRPr="00FF3369" w:rsidTr="00CB6C56">
        <w:trPr>
          <w:trHeight w:val="26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3440E9" w:rsidRPr="00FF3369" w:rsidRDefault="003440E9" w:rsidP="00CB6C56">
            <w:r w:rsidRPr="00FF3369">
              <w:t>Aplikační formulář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3440E9" w:rsidRPr="00FF3369" w:rsidRDefault="003440E9" w:rsidP="00CB6C56">
            <w:r w:rsidRPr="00FF3369">
              <w:t xml:space="preserve">PDF formuláře 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3440E9" w:rsidRPr="00FF3369" w:rsidRDefault="003440E9" w:rsidP="00CB6C56">
            <w:r w:rsidRPr="00FF3369">
              <w:t>Označení</w:t>
            </w:r>
          </w:p>
        </w:tc>
      </w:tr>
      <w:tr w:rsidR="003440E9" w:rsidRPr="00FF3369" w:rsidTr="00CB6C56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0E9" w:rsidRPr="00FF3369" w:rsidRDefault="003440E9" w:rsidP="00CB6C56">
            <w:pPr>
              <w:rPr>
                <w:b/>
              </w:rPr>
            </w:pPr>
            <w:r w:rsidRPr="00FF3369">
              <w:rPr>
                <w:b/>
              </w:rPr>
              <w:t>ZISU_FA_NETR_AGRR_AF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r w:rsidRPr="00FF3369">
              <w:t>ZISU_FA_NETR_AGRR 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r w:rsidRPr="00FF3369">
              <w:t>Agregovaná faktura</w:t>
            </w:r>
          </w:p>
        </w:tc>
      </w:tr>
      <w:tr w:rsidR="003440E9" w:rsidRPr="00FF3369" w:rsidTr="00CB6C56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pPr>
              <w:rPr>
                <w:b/>
              </w:rPr>
            </w:pPr>
            <w:r w:rsidRPr="00FF3369">
              <w:rPr>
                <w:b/>
              </w:rPr>
              <w:t>ZISU_FA_NETRA_SP_AF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r w:rsidRPr="00FF3369">
              <w:t xml:space="preserve">ZISU_FA_NETR_SP       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r w:rsidRPr="00FF3369">
              <w:t>Opravná faktura - daňový doklad netrakční všech typů sazeb, včetně PDP a velkoodběru</w:t>
            </w:r>
          </w:p>
        </w:tc>
      </w:tr>
      <w:tr w:rsidR="003440E9" w:rsidRPr="00FF3369" w:rsidTr="00CB6C56">
        <w:trPr>
          <w:trHeight w:val="408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pPr>
              <w:rPr>
                <w:b/>
              </w:rPr>
            </w:pPr>
            <w:r w:rsidRPr="00FF3369">
              <w:rPr>
                <w:b/>
              </w:rPr>
              <w:t>ZISU_FA_NETR_AF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0E9" w:rsidRPr="00FF3369" w:rsidRDefault="003440E9" w:rsidP="00CB6C56">
            <w:r w:rsidRPr="00FF3369">
              <w:t>ZISU_FA_NETR_DOPLN  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0E9" w:rsidRPr="00FF3369" w:rsidRDefault="003440E9" w:rsidP="00CB6C56">
            <w:r w:rsidRPr="00FF3369">
              <w:t xml:space="preserve">Faktura za dodávku netrakční elektrické energie všech typů sazeb včetně </w:t>
            </w:r>
            <w:proofErr w:type="gramStart"/>
            <w:r w:rsidRPr="00FF3369">
              <w:t>PDP a   velkoodběru</w:t>
            </w:r>
            <w:proofErr w:type="gramEnd"/>
          </w:p>
        </w:tc>
      </w:tr>
    </w:tbl>
    <w:p w:rsidR="003440E9" w:rsidRDefault="003440E9" w:rsidP="003440E9"/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6" w:hanging="576"/>
      </w:pPr>
      <w:r>
        <w:t>Obecné ustanovení</w:t>
      </w:r>
    </w:p>
    <w:p w:rsidR="003440E9" w:rsidRDefault="003440E9" w:rsidP="003440E9">
      <w:pPr>
        <w:spacing w:after="120" w:line="240" w:lineRule="auto"/>
      </w:pPr>
    </w:p>
    <w:p w:rsidR="003440E9" w:rsidRDefault="003440E9" w:rsidP="003440E9">
      <w:r>
        <w:t xml:space="preserve">Ve vztahu k energetickému zákonu nadále platí, že doklad o vyúčtování se poskytuje zákazníkovi. Zákazník je v energetickém zákoně definován prostřednictvím svého odběrného místa. Zákazník má uzavřenu smlouvu na dodávku energie do svého odběrného místa. V tomto ohledu se tedy nic nemění ani na systematice vyúčtování, které znamená vyhodnocení uskutečněných plateb za poskytnuté plnění a určení celkové výše platby za poskytnuté plnění – a tímto plněním je dodávka energie na podkladě dodávkové smlouvy (resp. distribuce/přenos/přeprava energie na základě příslušné smlouvy) do odběrného místa. </w:t>
      </w:r>
    </w:p>
    <w:p w:rsidR="003440E9" w:rsidRDefault="003440E9" w:rsidP="003440E9">
      <w:r>
        <w:t>Obecné požadavky na vystavování daňových dokladů stanovuje zákon č. 235/2004 Sb., o dani z přidané hodnoty, ve znění pozdějších předpisů, který stanoví jak termíny, ve kterých má být takový daňový doklad vystaven, tak i minimální obsahové náležitosti daňového dokladu. Návrh vyhlášky je s tímto zákonem v souladu.</w:t>
      </w:r>
    </w:p>
    <w:p w:rsidR="003440E9" w:rsidRPr="00DE3404" w:rsidRDefault="003440E9" w:rsidP="003440E9"/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6" w:hanging="576"/>
      </w:pPr>
      <w:r w:rsidRPr="008D397E">
        <w:lastRenderedPageBreak/>
        <w:t xml:space="preserve">Změna konstrukce rozsahu vyúčtování </w:t>
      </w:r>
      <w:r>
        <w:t xml:space="preserve">§ 4 </w:t>
      </w:r>
    </w:p>
    <w:p w:rsidR="003440E9" w:rsidRDefault="003440E9" w:rsidP="003440E9">
      <w:pPr>
        <w:spacing w:after="120" w:line="240" w:lineRule="auto"/>
      </w:pPr>
    </w:p>
    <w:p w:rsidR="003440E9" w:rsidRPr="00682269" w:rsidRDefault="003440E9" w:rsidP="003440E9">
      <w:r w:rsidRPr="00682269">
        <w:t>Energetický regulační úřad respektuje dlouhodobé fungování struktury vyúčtování, proto také zachovává strukturování na části A (základní část), B (podrobná část) a C (doprovodná část), platné již od roku 2011</w:t>
      </w:r>
    </w:p>
    <w:p w:rsidR="003440E9" w:rsidRDefault="003440E9" w:rsidP="003440E9">
      <w:pPr>
        <w:spacing w:after="0"/>
      </w:pPr>
      <w:r w:rsidRPr="00682269">
        <w:t>V současné právní úpravě (vyhláška č. 70/2016 Sb.) obdrží zákazník automaticky vyúčtování v rozsahu A, B a C. Teprve pokud o to zákazník písemně požádá</w:t>
      </w:r>
      <w:r w:rsidRPr="00F07B58">
        <w:t xml:space="preserve">, </w:t>
      </w:r>
      <w:r>
        <w:t>bude</w:t>
      </w:r>
      <w:r w:rsidRPr="00682269">
        <w:t xml:space="preserve"> doklad o vyúčtování poskytovaný pouze v rozsahu základní části (A), popřípadě základní části (A) a podrobné části (B).</w:t>
      </w:r>
    </w:p>
    <w:p w:rsidR="003440E9" w:rsidRDefault="003440E9" w:rsidP="003440E9">
      <w:pPr>
        <w:spacing w:after="0"/>
      </w:pPr>
    </w:p>
    <w:p w:rsidR="003440E9" w:rsidRDefault="003440E9" w:rsidP="003440E9">
      <w:pPr>
        <w:spacing w:after="0"/>
      </w:pPr>
      <w:r>
        <w:t>Pokud zákazník písemně požádá o opětovné zasílání všech částí, poskytuje se mu doklad o vyúčtování opět v plném rozsahu.</w:t>
      </w:r>
    </w:p>
    <w:p w:rsidR="003440E9" w:rsidRDefault="003440E9" w:rsidP="003440E9">
      <w:pPr>
        <w:spacing w:after="0"/>
      </w:pPr>
    </w:p>
    <w:p w:rsidR="003440E9" w:rsidRDefault="003440E9" w:rsidP="003440E9">
      <w:pPr>
        <w:spacing w:after="0"/>
      </w:pPr>
      <w:r>
        <w:t>Údaje nezbytné pro přístup zákazníka k doprovodné, případně podrobné a doprovodné části dokladu o vyúčtování, pokud je doklad o vyúčtování dodávky elektřiny a související služby v elektroenergetice zákazníkovi poskytován v rozsahu:</w:t>
      </w:r>
    </w:p>
    <w:p w:rsidR="003440E9" w:rsidRDefault="003440E9" w:rsidP="003440E9">
      <w:pPr>
        <w:spacing w:after="0"/>
      </w:pPr>
    </w:p>
    <w:p w:rsidR="003440E9" w:rsidRDefault="003440E9" w:rsidP="003440E9">
      <w:pPr>
        <w:spacing w:after="0"/>
        <w:rPr>
          <w:u w:val="single"/>
        </w:rPr>
      </w:pPr>
      <w:r w:rsidRPr="00682269">
        <w:rPr>
          <w:u w:val="single"/>
        </w:rPr>
        <w:t>Požadované úpravy:</w:t>
      </w:r>
    </w:p>
    <w:p w:rsidR="003440E9" w:rsidRDefault="003440E9" w:rsidP="003440E9">
      <w:pPr>
        <w:spacing w:after="0"/>
        <w:rPr>
          <w:u w:val="single"/>
        </w:rPr>
      </w:pPr>
    </w:p>
    <w:p w:rsidR="003440E9" w:rsidRDefault="003440E9" w:rsidP="003440E9">
      <w:pPr>
        <w:pStyle w:val="Odstavecseseznamem"/>
        <w:numPr>
          <w:ilvl w:val="0"/>
          <w:numId w:val="34"/>
        </w:numPr>
        <w:spacing w:after="0" w:line="264" w:lineRule="auto"/>
      </w:pPr>
      <w:r w:rsidRPr="00682269">
        <w:t xml:space="preserve">Na úrovni smluvního účtu </w:t>
      </w:r>
      <w:r>
        <w:t>v záložce řízení korespondence nastavit výběr rozsahu vyúčtování. Tento údaj bude časově závislý. Příznak bude řídit, v jakém rozsahu bude vypravena faktura.</w:t>
      </w:r>
    </w:p>
    <w:p w:rsidR="003440E9" w:rsidRDefault="003440E9" w:rsidP="003440E9">
      <w:pPr>
        <w:pStyle w:val="Odstavecseseznamem"/>
        <w:spacing w:after="0"/>
      </w:pPr>
      <w:r>
        <w:t xml:space="preserve">Nutno též zakomponovat výběr již při uzavírání smluv a ve formuláři  oznámení o změně smluvních údajů. </w:t>
      </w:r>
    </w:p>
    <w:p w:rsidR="003440E9" w:rsidRDefault="003440E9" w:rsidP="003440E9">
      <w:pPr>
        <w:pStyle w:val="Odstavecseseznamem"/>
        <w:numPr>
          <w:ilvl w:val="0"/>
          <w:numId w:val="36"/>
        </w:numPr>
        <w:spacing w:after="0" w:line="264" w:lineRule="auto"/>
      </w:pPr>
      <w:r>
        <w:t>defaultně bude nastaven plný rozsah A+B+C</w:t>
      </w:r>
    </w:p>
    <w:p w:rsidR="003440E9" w:rsidRDefault="003440E9" w:rsidP="003440E9">
      <w:pPr>
        <w:pStyle w:val="Odstavecseseznamem"/>
        <w:numPr>
          <w:ilvl w:val="0"/>
          <w:numId w:val="36"/>
        </w:numPr>
        <w:spacing w:after="0" w:line="264" w:lineRule="auto"/>
      </w:pPr>
      <w:r>
        <w:t>A+B</w:t>
      </w:r>
    </w:p>
    <w:p w:rsidR="003440E9" w:rsidRDefault="003440E9" w:rsidP="003440E9">
      <w:pPr>
        <w:pStyle w:val="Odstavecseseznamem"/>
        <w:numPr>
          <w:ilvl w:val="0"/>
          <w:numId w:val="36"/>
        </w:numPr>
        <w:spacing w:after="0" w:line="264" w:lineRule="auto"/>
      </w:pPr>
      <w:r>
        <w:t>A</w:t>
      </w:r>
    </w:p>
    <w:p w:rsidR="003440E9" w:rsidRDefault="003440E9" w:rsidP="003440E9">
      <w:pPr>
        <w:spacing w:after="0"/>
        <w:rPr>
          <w:noProof/>
          <w:lang w:eastAsia="cs-CZ"/>
        </w:rPr>
      </w:pPr>
    </w:p>
    <w:p w:rsidR="003440E9" w:rsidRDefault="003440E9" w:rsidP="003440E9">
      <w:pPr>
        <w:spacing w:after="0"/>
        <w:rPr>
          <w:noProof/>
          <w:lang w:eastAsia="cs-CZ"/>
        </w:rPr>
      </w:pPr>
    </w:p>
    <w:p w:rsidR="003440E9" w:rsidRDefault="003440E9" w:rsidP="003440E9">
      <w:pPr>
        <w:spacing w:after="0"/>
      </w:pPr>
      <w:r>
        <w:rPr>
          <w:noProof/>
          <w:lang w:eastAsia="cs-CZ"/>
        </w:rPr>
        <w:drawing>
          <wp:inline distT="0" distB="0" distL="0" distR="0" wp14:anchorId="6A3890A1" wp14:editId="171157BE">
            <wp:extent cx="3931920" cy="17928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49046" cy="1800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0E9" w:rsidRDefault="003440E9" w:rsidP="003440E9">
      <w:pPr>
        <w:spacing w:after="0"/>
      </w:pPr>
    </w:p>
    <w:p w:rsidR="003440E9" w:rsidRDefault="003440E9" w:rsidP="003440E9">
      <w:pPr>
        <w:spacing w:after="0"/>
        <w:rPr>
          <w:b/>
        </w:rPr>
      </w:pPr>
    </w:p>
    <w:p w:rsidR="003440E9" w:rsidRDefault="003440E9" w:rsidP="003440E9">
      <w:pPr>
        <w:spacing w:after="0"/>
        <w:rPr>
          <w:b/>
        </w:rPr>
      </w:pPr>
      <w:r w:rsidRPr="00644AB7">
        <w:rPr>
          <w:b/>
        </w:rPr>
        <w:t>Doplnění stávající záložky řízení korespondence</w:t>
      </w:r>
      <w:r>
        <w:rPr>
          <w:b/>
        </w:rPr>
        <w:t>:</w:t>
      </w:r>
    </w:p>
    <w:p w:rsidR="003440E9" w:rsidRDefault="003440E9" w:rsidP="003440E9">
      <w:pPr>
        <w:spacing w:after="0"/>
        <w:rPr>
          <w:b/>
        </w:rPr>
      </w:pPr>
    </w:p>
    <w:p w:rsidR="003440E9" w:rsidRPr="00644AB7" w:rsidRDefault="003440E9" w:rsidP="003440E9">
      <w:pPr>
        <w:spacing w:after="0"/>
        <w:rPr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380"/>
        <w:gridCol w:w="1720"/>
        <w:gridCol w:w="1720"/>
      </w:tblGrid>
      <w:tr w:rsidR="003440E9" w:rsidRPr="00F07B58" w:rsidTr="00CB6C56">
        <w:trPr>
          <w:trHeight w:val="252"/>
        </w:trPr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Rozsah vyúčtování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Varianta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Platnost od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b/>
                <w:bCs/>
                <w:color w:val="000000"/>
                <w:szCs w:val="20"/>
                <w:lang w:eastAsia="cs-CZ"/>
              </w:rPr>
              <w:t>Platnost do</w:t>
            </w:r>
          </w:p>
        </w:tc>
      </w:tr>
      <w:tr w:rsidR="003440E9" w:rsidRPr="00F07B58" w:rsidTr="00CB6C56">
        <w:trPr>
          <w:trHeight w:val="252"/>
        </w:trPr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A+B+C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cs-CZ"/>
              </w:rPr>
              <w:t>x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01.01.0001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gramStart"/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31.12.9999</w:t>
            </w:r>
            <w:proofErr w:type="gramEnd"/>
          </w:p>
        </w:tc>
      </w:tr>
      <w:tr w:rsidR="003440E9" w:rsidRPr="00F07B58" w:rsidTr="00CB6C56">
        <w:trPr>
          <w:trHeight w:val="252"/>
        </w:trPr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A+B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01.01.0001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gramStart"/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31.12.9999</w:t>
            </w:r>
            <w:proofErr w:type="gramEnd"/>
          </w:p>
        </w:tc>
      </w:tr>
      <w:tr w:rsidR="003440E9" w:rsidRPr="00F07B58" w:rsidTr="00CB6C56">
        <w:trPr>
          <w:trHeight w:val="252"/>
        </w:trPr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01.01.0001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40E9" w:rsidRPr="00F07B58" w:rsidRDefault="003440E9" w:rsidP="00CB6C5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0"/>
                <w:lang w:eastAsia="cs-CZ"/>
              </w:rPr>
            </w:pPr>
            <w:proofErr w:type="gramStart"/>
            <w:r w:rsidRPr="00F07B58">
              <w:rPr>
                <w:rFonts w:eastAsia="Times New Roman" w:cs="Times New Roman"/>
                <w:color w:val="000000"/>
                <w:szCs w:val="20"/>
                <w:lang w:eastAsia="cs-CZ"/>
              </w:rPr>
              <w:t>31.12.9999</w:t>
            </w:r>
            <w:proofErr w:type="gramEnd"/>
          </w:p>
        </w:tc>
      </w:tr>
    </w:tbl>
    <w:p w:rsidR="003440E9" w:rsidRDefault="003440E9" w:rsidP="003440E9">
      <w:pPr>
        <w:pStyle w:val="Odstavecseseznamem"/>
        <w:spacing w:after="0"/>
        <w:ind w:left="1440"/>
      </w:pPr>
    </w:p>
    <w:p w:rsidR="003440E9" w:rsidRDefault="003440E9" w:rsidP="003440E9">
      <w:pPr>
        <w:pStyle w:val="Odstavecseseznamem"/>
        <w:spacing w:after="0"/>
        <w:ind w:left="1440"/>
      </w:pPr>
    </w:p>
    <w:p w:rsidR="003440E9" w:rsidRDefault="003440E9" w:rsidP="003440E9">
      <w:pPr>
        <w:pStyle w:val="Odstavecseseznamem"/>
        <w:numPr>
          <w:ilvl w:val="0"/>
          <w:numId w:val="34"/>
        </w:numPr>
        <w:spacing w:after="0" w:line="264" w:lineRule="auto"/>
        <w:rPr>
          <w:b/>
        </w:rPr>
      </w:pPr>
      <w:r>
        <w:t>Stejné nastavení nutné provést v</w:t>
      </w:r>
      <w:r w:rsidRPr="00B50148">
        <w:t xml:space="preserve"> reportu řízení korespondence</w:t>
      </w:r>
      <w:r>
        <w:t xml:space="preserve"> -</w:t>
      </w:r>
      <w:r w:rsidRPr="00B50148">
        <w:t xml:space="preserve"> </w:t>
      </w:r>
      <w:r w:rsidRPr="00B50148">
        <w:rPr>
          <w:b/>
        </w:rPr>
        <w:t>transakce ZSKZ_CORR_UPD</w:t>
      </w:r>
    </w:p>
    <w:p w:rsidR="003440E9" w:rsidRPr="00B50148" w:rsidRDefault="003440E9" w:rsidP="003440E9">
      <w:pPr>
        <w:pStyle w:val="Odstavecseseznamem"/>
        <w:spacing w:after="0"/>
        <w:rPr>
          <w:b/>
        </w:rPr>
      </w:pPr>
    </w:p>
    <w:p w:rsidR="003440E9" w:rsidRDefault="003440E9" w:rsidP="003440E9">
      <w:pPr>
        <w:pStyle w:val="Odstavecseseznamem"/>
        <w:numPr>
          <w:ilvl w:val="0"/>
          <w:numId w:val="34"/>
        </w:numPr>
        <w:spacing w:after="0" w:line="264" w:lineRule="auto"/>
      </w:pPr>
      <w:r>
        <w:t xml:space="preserve">V části A </w:t>
      </w:r>
      <w:proofErr w:type="gramStart"/>
      <w:r>
        <w:t>uvést  údaje</w:t>
      </w:r>
      <w:proofErr w:type="gramEnd"/>
      <w:r>
        <w:t xml:space="preserve"> nezbytné pro přístup zákazníka k doprovodné, případně podrobné a doprovodné části dokladu o vyúčtování, pokud je doklad o vyúčtování dodávky elektřiny a související služby v elektroenergetice zákazníkovi poskytován ve zkráceném rozsahu  </w:t>
      </w:r>
    </w:p>
    <w:p w:rsidR="003440E9" w:rsidRDefault="003440E9" w:rsidP="003440E9">
      <w:pPr>
        <w:pStyle w:val="Odstavecseseznamem"/>
        <w:spacing w:after="0"/>
        <w:rPr>
          <w:rFonts w:cs="Verdana-Bold"/>
          <w:b/>
          <w:bCs/>
          <w:szCs w:val="20"/>
        </w:rPr>
      </w:pPr>
      <w:r w:rsidRPr="00C63D4D">
        <w:rPr>
          <w:rFonts w:cs="Verdana-Bold"/>
          <w:b/>
          <w:bCs/>
          <w:szCs w:val="20"/>
        </w:rPr>
        <w:t xml:space="preserve">Zákaznický portál: </w:t>
      </w:r>
      <w:hyperlink r:id="rId12" w:history="1">
        <w:r w:rsidRPr="00E45D19">
          <w:rPr>
            <w:rStyle w:val="Hypertextovodkaz"/>
            <w:rFonts w:cs="Verdana-Bold"/>
            <w:b/>
            <w:bCs/>
            <w:szCs w:val="20"/>
          </w:rPr>
          <w:t>https://energie.spravazeleznic.cz/</w:t>
        </w:r>
      </w:hyperlink>
    </w:p>
    <w:p w:rsidR="003440E9" w:rsidRDefault="003440E9" w:rsidP="003440E9">
      <w:pPr>
        <w:pStyle w:val="Odstavecseseznamem"/>
        <w:spacing w:after="0"/>
        <w:rPr>
          <w:szCs w:val="20"/>
        </w:rPr>
      </w:pPr>
    </w:p>
    <w:p w:rsidR="003440E9" w:rsidRPr="00405F7A" w:rsidRDefault="003440E9" w:rsidP="003440E9">
      <w:pPr>
        <w:pStyle w:val="Odstavecseseznamem"/>
        <w:numPr>
          <w:ilvl w:val="0"/>
          <w:numId w:val="34"/>
        </w:numPr>
        <w:spacing w:after="0" w:line="264" w:lineRule="auto"/>
      </w:pPr>
      <w:r w:rsidRPr="00405F7A">
        <w:t>V rámci tiskového modulu</w:t>
      </w:r>
      <w:r>
        <w:t xml:space="preserve"> bude tedy do ERMS odeslána a vypravena požadovaná verze faktury (dle vybraného rozsahu).  </w:t>
      </w:r>
    </w:p>
    <w:p w:rsidR="003440E9" w:rsidRDefault="003440E9" w:rsidP="003440E9">
      <w:pPr>
        <w:spacing w:after="0"/>
      </w:pPr>
    </w:p>
    <w:p w:rsidR="003440E9" w:rsidRPr="00B50148" w:rsidRDefault="003440E9" w:rsidP="003440E9">
      <w:pPr>
        <w:pStyle w:val="Odstavecseseznamem"/>
        <w:numPr>
          <w:ilvl w:val="0"/>
          <w:numId w:val="34"/>
        </w:numPr>
        <w:spacing w:after="0" w:line="264" w:lineRule="auto"/>
        <w:rPr>
          <w:b/>
        </w:rPr>
      </w:pPr>
      <w:r>
        <w:t xml:space="preserve">Plný rozsah musí být prostřednictvím příslušného odkazu v ERMS zpřístupněn v Zákaznickém portálu Energie – </w:t>
      </w:r>
      <w:r w:rsidRPr="00F07B58">
        <w:rPr>
          <w:b/>
        </w:rPr>
        <w:t>nemusí být ale vždy odesílá</w:t>
      </w:r>
      <w:r>
        <w:rPr>
          <w:b/>
        </w:rPr>
        <w:t>n</w:t>
      </w:r>
      <w:r w:rsidRPr="00F07B58">
        <w:rPr>
          <w:b/>
        </w:rPr>
        <w:t xml:space="preserve"> zákazníkovi přes tiskový modul (ERMS). </w:t>
      </w:r>
      <w:r>
        <w:t xml:space="preserve">Tzn. </w:t>
      </w:r>
      <w:r w:rsidRPr="00644AB7">
        <w:t>tiskov</w:t>
      </w:r>
      <w:r>
        <w:t>ý</w:t>
      </w:r>
      <w:r w:rsidRPr="00644AB7">
        <w:t>m modul</w:t>
      </w:r>
      <w:r>
        <w:t xml:space="preserve">em bude odeslána i plná verze, která ale </w:t>
      </w:r>
      <w:proofErr w:type="gramStart"/>
      <w:r>
        <w:t xml:space="preserve">nebude </w:t>
      </w:r>
      <w:r w:rsidRPr="00644AB7">
        <w:t xml:space="preserve"> </w:t>
      </w:r>
      <w:r>
        <w:t>vypravena</w:t>
      </w:r>
      <w:proofErr w:type="gramEnd"/>
      <w:r>
        <w:t>.</w:t>
      </w:r>
    </w:p>
    <w:p w:rsidR="003440E9" w:rsidRDefault="003440E9" w:rsidP="003440E9">
      <w:pPr>
        <w:pStyle w:val="Odstavecseseznamem"/>
        <w:rPr>
          <w:b/>
        </w:rPr>
      </w:pPr>
    </w:p>
    <w:p w:rsidR="003440E9" w:rsidRDefault="003440E9" w:rsidP="003440E9"/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6" w:hanging="576"/>
      </w:pPr>
      <w:r>
        <w:t>Označení produktu obchodníka (je-li sjednán) § 6 (3b)</w:t>
      </w:r>
      <w:r w:rsidRPr="006B2C2F">
        <w:t xml:space="preserve"> </w:t>
      </w:r>
    </w:p>
    <w:p w:rsidR="003440E9" w:rsidRDefault="003440E9" w:rsidP="003440E9">
      <w:pPr>
        <w:rPr>
          <w:szCs w:val="20"/>
        </w:rPr>
      </w:pPr>
    </w:p>
    <w:p w:rsidR="003440E9" w:rsidRDefault="003440E9" w:rsidP="003440E9">
      <w:r>
        <w:rPr>
          <w:szCs w:val="20"/>
        </w:rPr>
        <w:t xml:space="preserve"> </w:t>
      </w:r>
      <w:r w:rsidRPr="002C2711">
        <w:rPr>
          <w:u w:val="single"/>
        </w:rPr>
        <w:t>Požadovaná úprava</w:t>
      </w:r>
      <w:r>
        <w:t>:</w:t>
      </w:r>
    </w:p>
    <w:p w:rsidR="003440E9" w:rsidRPr="002C2711" w:rsidRDefault="003440E9" w:rsidP="003440E9">
      <w:pPr>
        <w:pStyle w:val="Odstavecseseznamem"/>
        <w:numPr>
          <w:ilvl w:val="0"/>
          <w:numId w:val="34"/>
        </w:numPr>
        <w:spacing w:after="240" w:line="264" w:lineRule="auto"/>
      </w:pPr>
      <w:r>
        <w:t>D</w:t>
      </w:r>
      <w:r w:rsidRPr="002C2711">
        <w:t>oplnit u sazby produkt „Modrá energie“</w:t>
      </w:r>
      <w:r>
        <w:t xml:space="preserve"> (pouze u sdružených dodávek) viz níže</w:t>
      </w:r>
    </w:p>
    <w:p w:rsidR="003440E9" w:rsidRDefault="003440E9" w:rsidP="003440E9">
      <w:pPr>
        <w:rPr>
          <w:szCs w:val="20"/>
        </w:rPr>
      </w:pPr>
      <w:r>
        <w:rPr>
          <w:noProof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FD30B" wp14:editId="6A2FF741">
                <wp:simplePos x="0" y="0"/>
                <wp:positionH relativeFrom="column">
                  <wp:posOffset>3772610</wp:posOffset>
                </wp:positionH>
                <wp:positionV relativeFrom="paragraph">
                  <wp:posOffset>722300</wp:posOffset>
                </wp:positionV>
                <wp:extent cx="1733347" cy="241401"/>
                <wp:effectExtent l="0" t="0" r="19685" b="25400"/>
                <wp:wrapNone/>
                <wp:docPr id="9" name="Ová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347" cy="24140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7EFDE0" id="Ovál 9" o:spid="_x0000_s1026" style="position:absolute;margin-left:297.05pt;margin-top:56.85pt;width:136.5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P/CkwIAAIQFAAAOAAAAZHJzL2Uyb0RvYy54bWysVF9r2zAQfx/sOwi9r7bTdF1NnRJaMgal&#10;DWtHnxVZigWyTpOUONm32WfZF+tJdtywlg3G/CDf39/pTnd3ebVrNdkK5xWYihYnOSXCcKiVWVf0&#10;2+PiwydKfGCmZhqMqOheeHo1e//usrOlmEADuhaOIIjxZWcr2oRgyyzzvBEt8ydghUGlBNeygKxb&#10;Z7VjHaK3Opvk+cesA1dbB1x4j9KbXklnCV9KwcO9lF4EoiuKdwvpdOlcxTObXbJy7ZhtFB+uwf7h&#10;Fi1TBoOOUDcsMLJx6hVUq7gDDzKccGgzkFJxkXLAbIr8t2weGmZFygWL4+1YJv//YPnddumIqit6&#10;QYlhLT7R/fbXT00uYmk660u0eLBLN3AeyZjnTro2/jEDskvl3I/lFLtAOAqL89PT0+k5JRx1k2kx&#10;zYsImr14W+fDZwEtiURFhdbK+pgxK9n21ofe+mAVxQYWSmuUs1KbeHrQqo6yxLj16lo7smX43ItF&#10;jt8Q8cgM40fXLCbXp5OosNeih/0qJFYEE5ikm6ReFCMs41yYMKgaVos+2tlxsNi90SMlqw0CRmSJ&#10;txyxiz9h93kP9tFVpFYenfO/O48eKTKYMDq3yoB7C0CHw/vI3v5QpL40sUorqPfYLw76QfKWLxQ+&#10;3S3zYckcTg7OGG6DcI+H1NBVFAaKkgbcj7fk0R4bGrWUdDiJFfXfN8wJSvQXg61+UUyncXQTMz07&#10;nyDjjjWrY43ZtNeAr1/g3rE8kdE+6AMpHbRPuDTmMSqqmOEYu6I8uANzHfoNgWuHi/k8meG4WhZu&#10;zYPlETxWNfbl4+6JOTv0b8DOv4PD1L7q4d42ehqYbwJIlRr8pa5DvXHUU+MMaynukmM+Wb0sz9kz&#10;AAAA//8DAFBLAwQUAAYACAAAACEAYlXaP90AAAALAQAADwAAAGRycy9kb3ducmV2LnhtbEyPwU7D&#10;MBBE70j8g7VIXBB1AtRJQ5yqQuqBY1skrm68JBH2OordNv17lhMcd+ZpdqZez96JM05xCKQhX2Qg&#10;kNpgB+o0fBy2jyWImAxZ4wKhhitGWDe3N7WpbLjQDs/71AkOoVgZDX1KYyVlbHv0Ji7CiMTeV5i8&#10;SXxOnbSTuXC4d/Ipy5T0ZiD+0JsR33psv/cnr2Fzlcnt4mr7YBUplT7ju3Gl1vd38+YVRMI5/cHw&#10;W5+rQ8OdjuFENgqnYbl6yRllI38uQDBRqoKVIyvLvADZ1PL/huYHAAD//wMAUEsBAi0AFAAGAAgA&#10;AAAhALaDOJL+AAAA4QEAABMAAAAAAAAAAAAAAAAAAAAAAFtDb250ZW50X1R5cGVzXS54bWxQSwEC&#10;LQAUAAYACAAAACEAOP0h/9YAAACUAQAACwAAAAAAAAAAAAAAAAAvAQAAX3JlbHMvLnJlbHNQSwEC&#10;LQAUAAYACAAAACEA8CD/wpMCAACEBQAADgAAAAAAAAAAAAAAAAAuAgAAZHJzL2Uyb0RvYy54bWxQ&#10;SwECLQAUAAYACAAAACEAYlXaP90AAAAL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>
        <w:rPr>
          <w:szCs w:val="20"/>
        </w:rPr>
        <w:t xml:space="preserve"> </w:t>
      </w:r>
      <w:r>
        <w:rPr>
          <w:noProof/>
          <w:lang w:eastAsia="cs-CZ"/>
        </w:rPr>
        <w:drawing>
          <wp:inline distT="0" distB="0" distL="0" distR="0" wp14:anchorId="4D2D6389" wp14:editId="61506053">
            <wp:extent cx="5507990" cy="97663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0E9" w:rsidRDefault="003440E9" w:rsidP="003440E9">
      <w:pPr>
        <w:rPr>
          <w:szCs w:val="20"/>
        </w:rPr>
      </w:pPr>
    </w:p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8" w:hanging="578"/>
      </w:pPr>
      <w:r>
        <w:t xml:space="preserve">Rozpis plateb a cen v členění </w:t>
      </w:r>
      <w:r w:rsidRPr="001949D4">
        <w:t>celkem</w:t>
      </w:r>
      <w:r>
        <w:t xml:space="preserve"> za dodávku a celkem za související služby v </w:t>
      </w:r>
      <w:proofErr w:type="gramStart"/>
      <w:r>
        <w:t>elektroenergetice   § 6 (3c-d</w:t>
      </w:r>
      <w:proofErr w:type="gramEnd"/>
      <w:r>
        <w:t>)</w:t>
      </w:r>
    </w:p>
    <w:p w:rsidR="003440E9" w:rsidRPr="004043B2" w:rsidRDefault="003440E9" w:rsidP="003440E9"/>
    <w:p w:rsidR="003440E9" w:rsidRDefault="003440E9" w:rsidP="003440E9">
      <w:pPr>
        <w:pStyle w:val="Odstavecseseznamem"/>
        <w:numPr>
          <w:ilvl w:val="0"/>
          <w:numId w:val="34"/>
        </w:numPr>
        <w:spacing w:after="240" w:line="264" w:lineRule="auto"/>
      </w:pPr>
      <w:r>
        <w:t xml:space="preserve">Ve formulářích vytvořit </w:t>
      </w:r>
      <w:proofErr w:type="gramStart"/>
      <w:r>
        <w:t>mezisoučty  (bude</w:t>
      </w:r>
      <w:proofErr w:type="gramEnd"/>
      <w:r>
        <w:t xml:space="preserve"> se sčítat jen na formuláři)</w:t>
      </w:r>
    </w:p>
    <w:p w:rsidR="003440E9" w:rsidRDefault="003440E9" w:rsidP="003440E9">
      <w:pPr>
        <w:pStyle w:val="Odstavecseseznamem"/>
        <w:numPr>
          <w:ilvl w:val="0"/>
          <w:numId w:val="35"/>
        </w:numPr>
        <w:spacing w:after="240" w:line="264" w:lineRule="auto"/>
      </w:pPr>
      <w:r>
        <w:t xml:space="preserve"> „</w:t>
      </w:r>
      <w:r w:rsidRPr="001949D4">
        <w:t>Celkem za dodávku elektřiny (součet plateb za dodávku, plateb za stálé platy</w:t>
      </w:r>
      <w:r>
        <w:t>“</w:t>
      </w:r>
    </w:p>
    <w:p w:rsidR="003440E9" w:rsidRDefault="003440E9" w:rsidP="003440E9">
      <w:pPr>
        <w:pStyle w:val="Odstavecseseznamem"/>
        <w:numPr>
          <w:ilvl w:val="0"/>
          <w:numId w:val="35"/>
        </w:numPr>
        <w:spacing w:after="240" w:line="264" w:lineRule="auto"/>
      </w:pPr>
      <w:r>
        <w:t xml:space="preserve">„Celkem za související služby v </w:t>
      </w:r>
      <w:r w:rsidRPr="00F362BC">
        <w:t>elektroenergetice</w:t>
      </w:r>
      <w:r>
        <w:t xml:space="preserve"> (zajištění distribuce, systémové služby, POZE)</w:t>
      </w:r>
    </w:p>
    <w:p w:rsidR="003440E9" w:rsidRDefault="003440E9" w:rsidP="003440E9">
      <w:pPr>
        <w:pStyle w:val="Odstavecseseznamem"/>
        <w:numPr>
          <w:ilvl w:val="0"/>
          <w:numId w:val="35"/>
        </w:numPr>
        <w:spacing w:after="240" w:line="264" w:lineRule="auto"/>
      </w:pPr>
      <w:r>
        <w:t>„Daň z elektřiny“</w:t>
      </w:r>
    </w:p>
    <w:p w:rsidR="003440E9" w:rsidRPr="00AF7B45" w:rsidRDefault="003440E9" w:rsidP="003440E9">
      <w:r>
        <w:rPr>
          <w:noProof/>
          <w:lang w:eastAsia="cs-CZ"/>
        </w:rPr>
        <w:lastRenderedPageBreak/>
        <w:drawing>
          <wp:inline distT="0" distB="0" distL="0" distR="0" wp14:anchorId="638C3D05" wp14:editId="160DE619">
            <wp:extent cx="5507990" cy="2811145"/>
            <wp:effectExtent l="0" t="0" r="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0E9" w:rsidRPr="00B60883" w:rsidRDefault="003440E9" w:rsidP="003440E9">
      <w:pPr>
        <w:rPr>
          <w:szCs w:val="20"/>
        </w:rPr>
      </w:pPr>
    </w:p>
    <w:p w:rsidR="003440E9" w:rsidRDefault="003440E9" w:rsidP="003440E9"/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6" w:hanging="576"/>
      </w:pPr>
      <w:r>
        <w:t>Datum ukončení závazku uvést v části C § 6 (4e)</w:t>
      </w:r>
    </w:p>
    <w:p w:rsidR="003440E9" w:rsidRDefault="003440E9" w:rsidP="003440E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>
        <w:rPr>
          <w:rFonts w:cs="TimesNewRomanPSMT"/>
        </w:rPr>
        <w:t xml:space="preserve">Na dokladu musí být uvedeno </w:t>
      </w:r>
      <w:r w:rsidRPr="004E553E">
        <w:rPr>
          <w:rFonts w:cs="TimesNewRomanPSMT"/>
        </w:rPr>
        <w:t>datu</w:t>
      </w:r>
      <w:r>
        <w:rPr>
          <w:rFonts w:cs="TimesNewRomanPSMT"/>
        </w:rPr>
        <w:t>m</w:t>
      </w:r>
      <w:r w:rsidRPr="004E553E">
        <w:rPr>
          <w:rFonts w:cs="TimesNewRomanPSMT"/>
        </w:rPr>
        <w:t xml:space="preserve"> ukončení závazku ze smlouvy a datu</w:t>
      </w:r>
      <w:r>
        <w:rPr>
          <w:rFonts w:cs="TimesNewRomanPSMT"/>
        </w:rPr>
        <w:t>m</w:t>
      </w:r>
      <w:r w:rsidRPr="004E553E">
        <w:rPr>
          <w:rFonts w:cs="TimesNewRomanPSMT"/>
        </w:rPr>
        <w:t xml:space="preserve">, kdy dochází ke změně produktu nebo ceny, je-li </w:t>
      </w:r>
      <w:r>
        <w:rPr>
          <w:rFonts w:cs="TimesNewRomanPSMT"/>
        </w:rPr>
        <w:t>sjednáno.</w:t>
      </w:r>
    </w:p>
    <w:p w:rsidR="003440E9" w:rsidRPr="004E553E" w:rsidRDefault="003440E9" w:rsidP="003440E9">
      <w:pPr>
        <w:autoSpaceDE w:val="0"/>
        <w:autoSpaceDN w:val="0"/>
        <w:adjustRightInd w:val="0"/>
        <w:spacing w:after="0" w:line="240" w:lineRule="auto"/>
        <w:rPr>
          <w:rFonts w:cs="TimesNewRomanPSMT"/>
          <w:sz w:val="4"/>
          <w:szCs w:val="4"/>
        </w:rPr>
      </w:pPr>
    </w:p>
    <w:p w:rsidR="003440E9" w:rsidRDefault="003440E9" w:rsidP="003440E9">
      <w:pPr>
        <w:spacing w:after="120"/>
        <w:rPr>
          <w:u w:val="single"/>
        </w:rPr>
      </w:pPr>
    </w:p>
    <w:p w:rsidR="003440E9" w:rsidRDefault="003440E9" w:rsidP="003440E9">
      <w:pPr>
        <w:spacing w:after="120"/>
      </w:pPr>
      <w:r w:rsidRPr="002C2711">
        <w:rPr>
          <w:u w:val="single"/>
        </w:rPr>
        <w:t>Požadovaná úprava</w:t>
      </w:r>
      <w:r>
        <w:t>:</w:t>
      </w:r>
    </w:p>
    <w:p w:rsidR="003440E9" w:rsidRDefault="003440E9" w:rsidP="003440E9">
      <w:pPr>
        <w:pStyle w:val="Odstavecseseznamem"/>
        <w:numPr>
          <w:ilvl w:val="0"/>
          <w:numId w:val="34"/>
        </w:numPr>
        <w:spacing w:after="240" w:line="264" w:lineRule="auto"/>
        <w:jc w:val="both"/>
      </w:pPr>
      <w:r>
        <w:t>p</w:t>
      </w:r>
      <w:r w:rsidRPr="000C0E71">
        <w:t>rotože</w:t>
      </w:r>
      <w:r>
        <w:t xml:space="preserve"> může být vyfakturováno v rámci jednoho dokladu více smluv, přesunout tuto informaci do části „C“ k sazbě</w:t>
      </w:r>
    </w:p>
    <w:p w:rsidR="003440E9" w:rsidRDefault="003440E9" w:rsidP="003440E9">
      <w:pPr>
        <w:pStyle w:val="Odstavecseseznamem"/>
        <w:numPr>
          <w:ilvl w:val="0"/>
          <w:numId w:val="34"/>
        </w:numPr>
        <w:spacing w:after="240" w:line="264" w:lineRule="auto"/>
        <w:jc w:val="both"/>
      </w:pPr>
      <w:r>
        <w:t xml:space="preserve">data možno přebírat pouze z data odhlášení </w:t>
      </w:r>
    </w:p>
    <w:p w:rsidR="003440E9" w:rsidRDefault="003440E9" w:rsidP="003440E9">
      <w:pPr>
        <w:pStyle w:val="Odstavecseseznamem"/>
        <w:numPr>
          <w:ilvl w:val="0"/>
          <w:numId w:val="34"/>
        </w:numPr>
        <w:spacing w:after="240" w:line="264" w:lineRule="auto"/>
        <w:jc w:val="both"/>
      </w:pPr>
      <w:r>
        <w:t xml:space="preserve">pokud nebude vyplněna datum odhlášení, </w:t>
      </w:r>
      <w:proofErr w:type="gramStart"/>
      <w:r>
        <w:t xml:space="preserve">uvést:  </w:t>
      </w:r>
      <w:r w:rsidRPr="00F07B58">
        <w:rPr>
          <w:b/>
        </w:rPr>
        <w:t>na</w:t>
      </w:r>
      <w:proofErr w:type="gramEnd"/>
      <w:r w:rsidRPr="00F07B58">
        <w:rPr>
          <w:b/>
        </w:rPr>
        <w:t xml:space="preserve"> dobu neurčitou</w:t>
      </w:r>
    </w:p>
    <w:p w:rsidR="003440E9" w:rsidRDefault="003440E9" w:rsidP="003440E9">
      <w:pPr>
        <w:pStyle w:val="Odstavecseseznamem"/>
        <w:numPr>
          <w:ilvl w:val="0"/>
          <w:numId w:val="34"/>
        </w:numPr>
        <w:spacing w:after="240" w:line="264" w:lineRule="auto"/>
        <w:jc w:val="both"/>
      </w:pPr>
      <w:r>
        <w:t xml:space="preserve">v případě ukončení uvést přesné datum: </w:t>
      </w:r>
      <w:proofErr w:type="spellStart"/>
      <w:proofErr w:type="gramStart"/>
      <w:r w:rsidRPr="00F07B58">
        <w:rPr>
          <w:b/>
        </w:rPr>
        <w:t>dd.mm</w:t>
      </w:r>
      <w:proofErr w:type="gramEnd"/>
      <w:r w:rsidRPr="00F07B58">
        <w:rPr>
          <w:b/>
        </w:rPr>
        <w:t>.rrrr</w:t>
      </w:r>
      <w:proofErr w:type="spellEnd"/>
    </w:p>
    <w:p w:rsidR="003440E9" w:rsidRDefault="003440E9" w:rsidP="003440E9">
      <w:pPr>
        <w:pStyle w:val="Odstavecseseznamem"/>
        <w:jc w:val="both"/>
      </w:pPr>
    </w:p>
    <w:p w:rsidR="003440E9" w:rsidRDefault="003440E9" w:rsidP="003440E9">
      <w:pPr>
        <w:pStyle w:val="Odstavecseseznamem"/>
        <w:jc w:val="both"/>
      </w:pPr>
    </w:p>
    <w:p w:rsidR="003440E9" w:rsidRPr="000C0E71" w:rsidRDefault="003440E9" w:rsidP="003440E9">
      <w:pPr>
        <w:pStyle w:val="Odstavecseseznamem"/>
        <w:jc w:val="both"/>
      </w:pPr>
      <w:r>
        <w:rPr>
          <w:noProof/>
          <w:lang w:eastAsia="cs-CZ"/>
        </w:rPr>
        <w:drawing>
          <wp:inline distT="0" distB="0" distL="0" distR="0" wp14:anchorId="2E411B89" wp14:editId="12CA1111">
            <wp:extent cx="5507990" cy="2552065"/>
            <wp:effectExtent l="0" t="0" r="0" b="63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6" w:hanging="576"/>
      </w:pPr>
      <w:r>
        <w:lastRenderedPageBreak/>
        <w:t>Doplnění dalších údajů v části C § 4 (4f-g)</w:t>
      </w:r>
    </w:p>
    <w:p w:rsidR="003440E9" w:rsidRDefault="003440E9" w:rsidP="003440E9">
      <w:pPr>
        <w:spacing w:after="120" w:line="240" w:lineRule="auto"/>
      </w:pPr>
    </w:p>
    <w:p w:rsidR="003440E9" w:rsidRDefault="003440E9" w:rsidP="003440E9">
      <w:pPr>
        <w:spacing w:after="120"/>
      </w:pPr>
      <w:r w:rsidRPr="002C2711">
        <w:rPr>
          <w:u w:val="single"/>
        </w:rPr>
        <w:t>Požadovaná úprava</w:t>
      </w:r>
      <w:r>
        <w:t>:</w:t>
      </w:r>
    </w:p>
    <w:p w:rsidR="003440E9" w:rsidRDefault="003440E9" w:rsidP="003440E9">
      <w:pPr>
        <w:pStyle w:val="Odstavecseseznamem"/>
        <w:numPr>
          <w:ilvl w:val="0"/>
          <w:numId w:val="38"/>
        </w:numPr>
        <w:spacing w:after="240" w:line="264" w:lineRule="auto"/>
      </w:pPr>
      <w:r>
        <w:t xml:space="preserve">v části C </w:t>
      </w:r>
      <w:proofErr w:type="gramStart"/>
      <w:r>
        <w:t>vložit  odkaz</w:t>
      </w:r>
      <w:proofErr w:type="gramEnd"/>
      <w:r>
        <w:t xml:space="preserve"> </w:t>
      </w:r>
    </w:p>
    <w:p w:rsidR="003440E9" w:rsidRDefault="003440E9" w:rsidP="003440E9">
      <w:pPr>
        <w:spacing w:after="120" w:line="240" w:lineRule="auto"/>
        <w:rPr>
          <w:rFonts w:cs="TimesNewRomanPSMT"/>
        </w:rPr>
      </w:pPr>
      <w:r w:rsidRPr="006A2822">
        <w:rPr>
          <w:rFonts w:cs="TimesNewRomanPSMT"/>
        </w:rPr>
        <w:t>Možnosti změny obchodníka s elektřinou nebo výrobce elektřiny</w:t>
      </w:r>
      <w:r>
        <w:rPr>
          <w:rFonts w:cs="TimesNewRomanPSMT"/>
        </w:rPr>
        <w:t xml:space="preserve"> najdete na:</w:t>
      </w:r>
    </w:p>
    <w:p w:rsidR="003440E9" w:rsidRDefault="0056457B" w:rsidP="003440E9">
      <w:pPr>
        <w:rPr>
          <w:color w:val="000000"/>
          <w:szCs w:val="20"/>
        </w:rPr>
      </w:pPr>
      <w:hyperlink r:id="rId16" w:history="1">
        <w:r w:rsidR="003440E9">
          <w:rPr>
            <w:rStyle w:val="Hypertextovodkaz"/>
            <w:szCs w:val="20"/>
          </w:rPr>
          <w:t>https://www.eru.cz/cs/informacni-centrum/zmena-dodavatele</w:t>
        </w:r>
      </w:hyperlink>
    </w:p>
    <w:p w:rsidR="003440E9" w:rsidRDefault="003440E9" w:rsidP="003440E9">
      <w:pPr>
        <w:pStyle w:val="Odstavecseseznamem"/>
        <w:numPr>
          <w:ilvl w:val="0"/>
          <w:numId w:val="37"/>
        </w:numPr>
        <w:spacing w:after="240" w:line="264" w:lineRule="auto"/>
      </w:pPr>
      <w:r>
        <w:t xml:space="preserve">v části C </w:t>
      </w:r>
      <w:proofErr w:type="gramStart"/>
      <w:r>
        <w:t>vložit  odkaz</w:t>
      </w:r>
      <w:proofErr w:type="gramEnd"/>
      <w:r>
        <w:t xml:space="preserve"> </w:t>
      </w:r>
    </w:p>
    <w:p w:rsidR="003440E9" w:rsidRDefault="003440E9" w:rsidP="003440E9">
      <w:pPr>
        <w:pStyle w:val="Odstavecseseznamem"/>
        <w:spacing w:after="120"/>
      </w:pPr>
    </w:p>
    <w:p w:rsidR="003440E9" w:rsidRDefault="003440E9" w:rsidP="003440E9">
      <w:pPr>
        <w:spacing w:after="120"/>
      </w:pPr>
      <w:r>
        <w:t xml:space="preserve">Srovnávací </w:t>
      </w:r>
      <w:proofErr w:type="gramStart"/>
      <w:r>
        <w:t>nástroj  nabídek</w:t>
      </w:r>
      <w:proofErr w:type="gramEnd"/>
      <w:r>
        <w:t xml:space="preserve"> naleznete na:</w:t>
      </w:r>
    </w:p>
    <w:p w:rsidR="003440E9" w:rsidRPr="00141F17" w:rsidRDefault="003440E9" w:rsidP="003440E9">
      <w:pPr>
        <w:spacing w:after="120"/>
      </w:pPr>
      <w:r>
        <w:t xml:space="preserve"> </w:t>
      </w:r>
      <w:hyperlink r:id="rId17" w:history="1">
        <w:r w:rsidRPr="00141F17">
          <w:rPr>
            <w:rStyle w:val="Hypertextovodkaz"/>
            <w:szCs w:val="20"/>
          </w:rPr>
          <w:t>https://www.eru.cz/cs/srovnani-nabidek-elektriny</w:t>
        </w:r>
      </w:hyperlink>
    </w:p>
    <w:p w:rsidR="003440E9" w:rsidRDefault="003440E9" w:rsidP="003440E9">
      <w:pPr>
        <w:pStyle w:val="Odstavecseseznamem"/>
        <w:numPr>
          <w:ilvl w:val="0"/>
          <w:numId w:val="37"/>
        </w:numPr>
        <w:spacing w:after="240" w:line="264" w:lineRule="auto"/>
      </w:pPr>
      <w:r>
        <w:t xml:space="preserve">v části C </w:t>
      </w:r>
      <w:proofErr w:type="gramStart"/>
      <w:r>
        <w:t>vložit  odkaz</w:t>
      </w:r>
      <w:proofErr w:type="gramEnd"/>
      <w:r>
        <w:t xml:space="preserve"> </w:t>
      </w:r>
    </w:p>
    <w:p w:rsidR="003440E9" w:rsidRDefault="003440E9" w:rsidP="003440E9">
      <w:pPr>
        <w:autoSpaceDE w:val="0"/>
        <w:autoSpaceDN w:val="0"/>
        <w:adjustRightInd w:val="0"/>
        <w:spacing w:after="0" w:line="240" w:lineRule="auto"/>
      </w:pPr>
      <w:r>
        <w:rPr>
          <w:rFonts w:cs="TimesNewRomanPSMT"/>
        </w:rPr>
        <w:t xml:space="preserve">Kontaktní údaje na </w:t>
      </w:r>
      <w:r w:rsidRPr="00141F17">
        <w:rPr>
          <w:rFonts w:cs="TimesNewRomanPSMT"/>
        </w:rPr>
        <w:t>nezávislé spotřebitelské organizace nebo obdobné energetické agentury</w:t>
      </w:r>
      <w:r>
        <w:rPr>
          <w:rFonts w:cs="TimesNewRomanPSMT"/>
        </w:rPr>
        <w:t xml:space="preserve"> jsou zveřejněny na:</w:t>
      </w:r>
      <w:r>
        <w:rPr>
          <w:rFonts w:cs="TimesNewRomanPSMT"/>
        </w:rPr>
        <w:br/>
      </w:r>
    </w:p>
    <w:p w:rsidR="003440E9" w:rsidRDefault="0056457B" w:rsidP="003440E9">
      <w:pPr>
        <w:spacing w:after="120"/>
      </w:pPr>
      <w:hyperlink r:id="rId18" w:history="1">
        <w:r w:rsidR="003440E9" w:rsidRPr="004B3823">
          <w:rPr>
            <w:rStyle w:val="Hypertextovodkaz"/>
          </w:rPr>
          <w:t>https://mpo.cz/cz/ochrana-spotrebitele/informace-pro-spotrebitele/</w:t>
        </w:r>
      </w:hyperlink>
      <w:r w:rsidR="003440E9">
        <w:t xml:space="preserve">  </w:t>
      </w:r>
    </w:p>
    <w:p w:rsidR="003440E9" w:rsidRDefault="003440E9" w:rsidP="003440E9"/>
    <w:p w:rsidR="003440E9" w:rsidRDefault="003440E9" w:rsidP="003440E9">
      <w:pPr>
        <w:pStyle w:val="Nadpis2"/>
        <w:numPr>
          <w:ilvl w:val="1"/>
          <w:numId w:val="0"/>
        </w:numPr>
        <w:spacing w:line="264" w:lineRule="auto"/>
        <w:ind w:left="576" w:hanging="576"/>
      </w:pPr>
      <w:r>
        <w:t>Přílohy</w:t>
      </w:r>
    </w:p>
    <w:p w:rsidR="003440E9" w:rsidRPr="00644AB7" w:rsidRDefault="003440E9" w:rsidP="003440E9"/>
    <w:p w:rsidR="00527820" w:rsidRPr="00F07B58" w:rsidRDefault="00527820" w:rsidP="00527820">
      <w:pPr>
        <w:pStyle w:val="Odstavecseseznamem"/>
        <w:numPr>
          <w:ilvl w:val="0"/>
          <w:numId w:val="34"/>
        </w:numPr>
        <w:spacing w:after="240" w:line="264" w:lineRule="auto"/>
        <w:jc w:val="both"/>
      </w:pPr>
      <w:r>
        <w:rPr>
          <w:b/>
        </w:rPr>
        <w:t>F</w:t>
      </w:r>
      <w:r w:rsidRPr="00F07B58">
        <w:rPr>
          <w:b/>
        </w:rPr>
        <w:t xml:space="preserve">aktura za </w:t>
      </w:r>
      <w:proofErr w:type="spellStart"/>
      <w:proofErr w:type="gramStart"/>
      <w:r w:rsidRPr="00F07B58">
        <w:rPr>
          <w:b/>
        </w:rPr>
        <w:t>el</w:t>
      </w:r>
      <w:proofErr w:type="gramEnd"/>
      <w:r w:rsidRPr="00F07B58">
        <w:rPr>
          <w:b/>
        </w:rPr>
        <w:t>.</w:t>
      </w:r>
      <w:proofErr w:type="gramStart"/>
      <w:r w:rsidRPr="00F07B58">
        <w:rPr>
          <w:b/>
        </w:rPr>
        <w:t>en</w:t>
      </w:r>
      <w:proofErr w:type="spellEnd"/>
      <w:proofErr w:type="gramEnd"/>
      <w:r w:rsidRPr="00F07B58">
        <w:rPr>
          <w:b/>
        </w:rPr>
        <w:t xml:space="preserve"> -final_QR7-PDP včetně přílohy a zakázek ČD_V8.docx </w:t>
      </w:r>
      <w:r>
        <w:rPr>
          <w:b/>
        </w:rPr>
        <w:t xml:space="preserve"> </w:t>
      </w:r>
      <w:r w:rsidRPr="004043B2">
        <w:t xml:space="preserve">- </w:t>
      </w:r>
      <w:r w:rsidRPr="00F07B58">
        <w:rPr>
          <w:b/>
          <w:i/>
          <w:color w:val="FF0000"/>
        </w:rPr>
        <w:t>vzor faktury se zapracovanými změnami</w:t>
      </w:r>
      <w:r>
        <w:rPr>
          <w:b/>
          <w:i/>
          <w:color w:val="FF0000"/>
        </w:rPr>
        <w:t xml:space="preserve"> </w:t>
      </w:r>
      <w:r>
        <w:rPr>
          <w:b/>
          <w:color w:val="FF0000"/>
        </w:rPr>
        <w:t>- příloha č. 2 Rozvojové smlouvy</w:t>
      </w:r>
      <w:r w:rsidRPr="00F07B58">
        <w:rPr>
          <w:color w:val="FF0000"/>
        </w:rPr>
        <w:t xml:space="preserve"> </w:t>
      </w:r>
    </w:p>
    <w:p w:rsidR="00527820" w:rsidRDefault="00527820" w:rsidP="00527820">
      <w:pPr>
        <w:pStyle w:val="Odstavecseseznamem"/>
        <w:jc w:val="both"/>
      </w:pPr>
    </w:p>
    <w:p w:rsidR="00527820" w:rsidRDefault="00527820" w:rsidP="00527820">
      <w:pPr>
        <w:pStyle w:val="Odstavecseseznamem"/>
        <w:jc w:val="both"/>
        <w:rPr>
          <w:color w:val="FF0000"/>
        </w:rPr>
      </w:pPr>
      <w:r w:rsidRPr="00F07B58">
        <w:rPr>
          <w:b/>
          <w:color w:val="FF0000"/>
        </w:rPr>
        <w:t>Podle uvedeného vzoru upravit i ostatní formuláře uvedené výše</w:t>
      </w:r>
      <w:r>
        <w:rPr>
          <w:b/>
          <w:color w:val="FF0000"/>
        </w:rPr>
        <w:t xml:space="preserve"> - včetně všech jejich variant vycházejících z různých typů sazeb, režimu PDP, velkoodběru a varianty pro ČD</w:t>
      </w:r>
      <w:r w:rsidRPr="00644AB7">
        <w:rPr>
          <w:color w:val="FF0000"/>
        </w:rPr>
        <w:t>:</w:t>
      </w:r>
    </w:p>
    <w:p w:rsidR="00527820" w:rsidRPr="00644AB7" w:rsidRDefault="00527820" w:rsidP="00527820">
      <w:pPr>
        <w:pStyle w:val="Odstavecseseznamem"/>
        <w:jc w:val="both"/>
        <w:rPr>
          <w:b/>
          <w:color w:val="FF0000"/>
        </w:rPr>
      </w:pPr>
    </w:p>
    <w:p w:rsidR="00527820" w:rsidRPr="00F07B58" w:rsidRDefault="00527820" w:rsidP="00527820">
      <w:pPr>
        <w:pStyle w:val="Odstavecseseznamem"/>
        <w:jc w:val="both"/>
        <w:rPr>
          <w:b/>
          <w:color w:val="FF0000"/>
        </w:rPr>
      </w:pPr>
      <w:r w:rsidRPr="00F07B58">
        <w:rPr>
          <w:b/>
          <w:color w:val="FF0000"/>
        </w:rPr>
        <w:t xml:space="preserve">ZISU_FA_NETR_AGRR </w:t>
      </w:r>
    </w:p>
    <w:p w:rsidR="00527820" w:rsidRPr="00F07B58" w:rsidRDefault="00527820" w:rsidP="00527820">
      <w:pPr>
        <w:pStyle w:val="Odstavecseseznamem"/>
        <w:jc w:val="both"/>
        <w:rPr>
          <w:b/>
          <w:color w:val="FF0000"/>
        </w:rPr>
      </w:pPr>
      <w:r w:rsidRPr="00F07B58">
        <w:rPr>
          <w:b/>
          <w:color w:val="FF0000"/>
        </w:rPr>
        <w:t xml:space="preserve">ZISU_FA_NETR_SP       </w:t>
      </w:r>
    </w:p>
    <w:p w:rsidR="00527820" w:rsidRDefault="00527820" w:rsidP="00527820">
      <w:pPr>
        <w:pStyle w:val="Odstavecseseznamem"/>
        <w:jc w:val="both"/>
        <w:rPr>
          <w:color w:val="FF0000"/>
        </w:rPr>
      </w:pPr>
      <w:r w:rsidRPr="00F07B58">
        <w:rPr>
          <w:b/>
          <w:color w:val="FF0000"/>
        </w:rPr>
        <w:t xml:space="preserve">ZISU_FA_NETR_DOPLN  </w:t>
      </w:r>
    </w:p>
    <w:p w:rsidR="00527820" w:rsidRDefault="00527820" w:rsidP="00527820">
      <w:pPr>
        <w:pStyle w:val="Odstavecseseznamem"/>
        <w:jc w:val="both"/>
        <w:rPr>
          <w:color w:val="FF0000"/>
        </w:rPr>
      </w:pPr>
    </w:p>
    <w:p w:rsidR="00527820" w:rsidRPr="00F07B58" w:rsidRDefault="00527820" w:rsidP="00527820">
      <w:pPr>
        <w:pStyle w:val="Odstavecseseznamem"/>
        <w:jc w:val="both"/>
        <w:rPr>
          <w:b/>
        </w:rPr>
      </w:pPr>
    </w:p>
    <w:p w:rsidR="00527820" w:rsidRPr="004043B2" w:rsidRDefault="00527820" w:rsidP="00527820">
      <w:pPr>
        <w:pStyle w:val="Odstavecseseznamem"/>
        <w:numPr>
          <w:ilvl w:val="0"/>
          <w:numId w:val="34"/>
        </w:numPr>
        <w:spacing w:after="240" w:line="264" w:lineRule="auto"/>
        <w:jc w:val="both"/>
      </w:pPr>
      <w:r w:rsidRPr="009F510B">
        <w:rPr>
          <w:b/>
        </w:rPr>
        <w:t>207_2021 Sb. - Vyhláška o vyúčtování dodávek a souvisejících služeb v energetických odvětvích.pdf</w:t>
      </w:r>
      <w:r>
        <w:rPr>
          <w:b/>
        </w:rPr>
        <w:t xml:space="preserve"> – příloha č. 3 Rozvojové smlouvy</w:t>
      </w:r>
    </w:p>
    <w:p w:rsidR="003440E9" w:rsidRPr="00FF3369" w:rsidRDefault="003440E9" w:rsidP="003440E9"/>
    <w:p w:rsidR="009F392E" w:rsidRPr="003440E9" w:rsidRDefault="009F392E" w:rsidP="003440E9"/>
    <w:sectPr w:rsidR="009F392E" w:rsidRPr="003440E9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0E9" w:rsidRDefault="003440E9" w:rsidP="00962258">
      <w:pPr>
        <w:spacing w:after="0" w:line="240" w:lineRule="auto"/>
      </w:pPr>
      <w:r>
        <w:separator/>
      </w:r>
    </w:p>
  </w:endnote>
  <w:endnote w:type="continuationSeparator" w:id="0">
    <w:p w:rsidR="003440E9" w:rsidRDefault="003440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5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45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F4DF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F67E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5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45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44C68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D1A6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0E9" w:rsidRDefault="003440E9" w:rsidP="00962258">
      <w:pPr>
        <w:spacing w:after="0" w:line="240" w:lineRule="auto"/>
      </w:pPr>
      <w:r>
        <w:separator/>
      </w:r>
    </w:p>
  </w:footnote>
  <w:footnote w:type="continuationSeparator" w:id="0">
    <w:p w:rsidR="003440E9" w:rsidRDefault="003440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684FCC"/>
    <w:multiLevelType w:val="hybridMultilevel"/>
    <w:tmpl w:val="3A46E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C261CD"/>
    <w:multiLevelType w:val="hybridMultilevel"/>
    <w:tmpl w:val="6EA092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21B3587"/>
    <w:multiLevelType w:val="hybridMultilevel"/>
    <w:tmpl w:val="4EA23420"/>
    <w:lvl w:ilvl="0" w:tplc="04050019">
      <w:start w:val="1"/>
      <w:numFmt w:val="lowerLetter"/>
      <w:lvlText w:val="%1."/>
      <w:lvlJc w:val="left"/>
      <w:pPr>
        <w:ind w:left="1572" w:hanging="360"/>
      </w:p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48BF7EE0"/>
    <w:multiLevelType w:val="hybridMultilevel"/>
    <w:tmpl w:val="3CA88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C3C77"/>
    <w:multiLevelType w:val="hybridMultilevel"/>
    <w:tmpl w:val="E1D0A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0"/>
  </w:num>
  <w:num w:numId="35">
    <w:abstractNumId w:val="9"/>
  </w:num>
  <w:num w:numId="36">
    <w:abstractNumId w:val="4"/>
  </w:num>
  <w:num w:numId="37">
    <w:abstractNumId w:val="2"/>
  </w:num>
  <w:num w:numId="3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E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40E9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7820"/>
    <w:rsid w:val="00553375"/>
    <w:rsid w:val="00557C28"/>
    <w:rsid w:val="0056457B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7C126D"/>
  <w14:defaultImageDpi w14:val="32767"/>
  <w15:docId w15:val="{E467E221-3F59-4F67-9081-24CEF448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0E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44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mpo.cz/cz/ochrana-spotrebitele/informace-pro-spotrebitel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energie.spravazeleznic.cz/" TargetMode="External"/><Relationship Id="rId17" Type="http://schemas.openxmlformats.org/officeDocument/2006/relationships/hyperlink" Target="https://www.eru.cz/cs/srovnani-nabidek-elektrin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ru.cz/cs/informacni-centrum/zmena-dodavatel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2622A-EDCF-4BA9-8ED5-F8BF00F4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5</Pages>
  <Words>894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2021-06-30T08:08:00Z</dcterms:created>
  <dcterms:modified xsi:type="dcterms:W3CDTF">2021-07-22T13:09:00Z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