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80" w:rsidRPr="00E54442" w:rsidRDefault="00782180" w:rsidP="00782180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b/>
          <w:sz w:val="24"/>
          <w:szCs w:val="24"/>
        </w:rPr>
        <w:t>Příloha č. 4</w:t>
      </w:r>
      <w:r w:rsidRPr="00E54442">
        <w:rPr>
          <w:rFonts w:ascii="Times New Roman" w:hAnsi="Times New Roman"/>
          <w:sz w:val="24"/>
          <w:szCs w:val="24"/>
        </w:rPr>
        <w:t xml:space="preserve"> </w:t>
      </w:r>
      <w:r w:rsidR="00040AF0">
        <w:rPr>
          <w:rFonts w:ascii="Times New Roman" w:hAnsi="Times New Roman"/>
          <w:sz w:val="24"/>
          <w:szCs w:val="24"/>
        </w:rPr>
        <w:t>–</w:t>
      </w:r>
      <w:r w:rsidRPr="00E544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4442">
        <w:rPr>
          <w:rFonts w:ascii="Times New Roman" w:hAnsi="Times New Roman"/>
          <w:sz w:val="24"/>
          <w:szCs w:val="24"/>
        </w:rPr>
        <w:t>Security</w:t>
      </w:r>
      <w:proofErr w:type="spellEnd"/>
      <w:r w:rsidR="00040AF0">
        <w:rPr>
          <w:rFonts w:ascii="Times New Roman" w:hAnsi="Times New Roman"/>
          <w:sz w:val="24"/>
          <w:szCs w:val="24"/>
        </w:rPr>
        <w:t xml:space="preserve"> služby</w:t>
      </w:r>
    </w:p>
    <w:p w:rsidR="00782180" w:rsidRPr="00E54442" w:rsidRDefault="00782180" w:rsidP="00782180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Pro účely výkladu čl. 3.1.3 Smlouvy se službami </w:t>
      </w:r>
      <w:proofErr w:type="spellStart"/>
      <w:r w:rsidRPr="00E54442">
        <w:rPr>
          <w:rFonts w:ascii="Times New Roman" w:hAnsi="Times New Roman"/>
          <w:sz w:val="24"/>
          <w:szCs w:val="24"/>
        </w:rPr>
        <w:t>Security</w:t>
      </w:r>
      <w:proofErr w:type="spellEnd"/>
      <w:r w:rsidRPr="00E54442">
        <w:rPr>
          <w:rFonts w:ascii="Times New Roman" w:hAnsi="Times New Roman"/>
          <w:sz w:val="24"/>
          <w:szCs w:val="24"/>
        </w:rPr>
        <w:t xml:space="preserve"> rozumí tyto činnosti</w:t>
      </w:r>
    </w:p>
    <w:p w:rsidR="00782180" w:rsidRPr="00873CFA" w:rsidRDefault="00782180" w:rsidP="00782180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zajištění </w:t>
      </w:r>
      <w:r w:rsidR="00873CFA">
        <w:rPr>
          <w:rFonts w:ascii="Times New Roman" w:hAnsi="Times New Roman"/>
          <w:sz w:val="24"/>
          <w:szCs w:val="24"/>
        </w:rPr>
        <w:t xml:space="preserve">nepřetržitého </w:t>
      </w:r>
      <w:r w:rsidRPr="00E54442">
        <w:rPr>
          <w:rFonts w:ascii="Times New Roman" w:hAnsi="Times New Roman"/>
          <w:sz w:val="24"/>
          <w:szCs w:val="24"/>
        </w:rPr>
        <w:t xml:space="preserve">H24/365 </w:t>
      </w:r>
      <w:r w:rsidR="00873CFA">
        <w:rPr>
          <w:rFonts w:ascii="Times New Roman" w:hAnsi="Times New Roman"/>
          <w:sz w:val="24"/>
          <w:szCs w:val="24"/>
        </w:rPr>
        <w:t xml:space="preserve">(H24/365 se rozumí nepřetržitý výkon činnosti 24 hodin denně, 365 dní v roce) </w:t>
      </w:r>
      <w:r w:rsidRPr="00E54442">
        <w:rPr>
          <w:rFonts w:ascii="Times New Roman" w:hAnsi="Times New Roman"/>
          <w:sz w:val="24"/>
          <w:szCs w:val="24"/>
        </w:rPr>
        <w:t xml:space="preserve">dohledu nad kamerovým systémem včetně vyhodnocení případných rizik a správy datového úložiště </w:t>
      </w:r>
      <w:r w:rsidRPr="00873CFA">
        <w:rPr>
          <w:rFonts w:ascii="Times New Roman" w:hAnsi="Times New Roman"/>
          <w:sz w:val="24"/>
          <w:szCs w:val="24"/>
        </w:rPr>
        <w:t xml:space="preserve">– viz Příloha č. 7 Provoz </w:t>
      </w:r>
      <w:proofErr w:type="spellStart"/>
      <w:r w:rsidRPr="00873CFA">
        <w:rPr>
          <w:rFonts w:ascii="Times New Roman" w:hAnsi="Times New Roman"/>
          <w:sz w:val="24"/>
          <w:szCs w:val="24"/>
        </w:rPr>
        <w:t>velína</w:t>
      </w:r>
      <w:proofErr w:type="spellEnd"/>
      <w:r w:rsidRPr="00873CFA">
        <w:rPr>
          <w:rFonts w:ascii="Times New Roman" w:hAnsi="Times New Roman"/>
          <w:sz w:val="24"/>
          <w:szCs w:val="24"/>
        </w:rPr>
        <w:t>.</w:t>
      </w:r>
    </w:p>
    <w:p w:rsidR="00782180" w:rsidRPr="00873CFA" w:rsidRDefault="00782180" w:rsidP="00782180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r w:rsidRPr="00873CFA">
        <w:rPr>
          <w:rFonts w:ascii="Times New Roman" w:hAnsi="Times New Roman"/>
          <w:sz w:val="24"/>
          <w:szCs w:val="24"/>
        </w:rPr>
        <w:t>zajištění fyzické ostrahy v Objektech H24/365:</w:t>
      </w:r>
    </w:p>
    <w:p w:rsidR="00782180" w:rsidRPr="00873CFA" w:rsidRDefault="00782180" w:rsidP="00782180">
      <w:pPr>
        <w:pStyle w:val="Table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73CFA">
        <w:rPr>
          <w:rFonts w:ascii="Times New Roman" w:hAnsi="Times New Roman"/>
          <w:sz w:val="24"/>
          <w:szCs w:val="24"/>
        </w:rPr>
        <w:t xml:space="preserve">min 8 pracovníků </w:t>
      </w:r>
      <w:proofErr w:type="spellStart"/>
      <w:r w:rsidRPr="00873CFA">
        <w:rPr>
          <w:rFonts w:ascii="Times New Roman" w:hAnsi="Times New Roman"/>
          <w:sz w:val="24"/>
          <w:szCs w:val="24"/>
        </w:rPr>
        <w:t>Security</w:t>
      </w:r>
      <w:proofErr w:type="spellEnd"/>
      <w:r w:rsidRPr="00873CFA">
        <w:rPr>
          <w:rFonts w:ascii="Times New Roman" w:hAnsi="Times New Roman"/>
          <w:sz w:val="24"/>
          <w:szCs w:val="24"/>
        </w:rPr>
        <w:t>, pochůzky ve dvojicích,</w:t>
      </w:r>
    </w:p>
    <w:p w:rsidR="00782180" w:rsidRPr="00873CFA" w:rsidRDefault="00782180" w:rsidP="00782180">
      <w:pPr>
        <w:pStyle w:val="Table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73CFA">
        <w:rPr>
          <w:rFonts w:ascii="Times New Roman" w:hAnsi="Times New Roman"/>
          <w:sz w:val="24"/>
          <w:szCs w:val="24"/>
        </w:rPr>
        <w:t xml:space="preserve">H24/365 vždy min 4 pracovníci </w:t>
      </w:r>
      <w:proofErr w:type="spellStart"/>
      <w:r w:rsidRPr="00873CFA">
        <w:rPr>
          <w:rFonts w:ascii="Times New Roman" w:hAnsi="Times New Roman"/>
          <w:sz w:val="24"/>
          <w:szCs w:val="24"/>
        </w:rPr>
        <w:t>Security</w:t>
      </w:r>
      <w:proofErr w:type="spellEnd"/>
      <w:r w:rsidRPr="00873CFA">
        <w:rPr>
          <w:rFonts w:ascii="Times New Roman" w:hAnsi="Times New Roman"/>
          <w:sz w:val="24"/>
          <w:szCs w:val="24"/>
        </w:rPr>
        <w:t xml:space="preserve">, po otevírací dobu Objektů vždy min 8 pracovníků </w:t>
      </w:r>
      <w:proofErr w:type="spellStart"/>
      <w:r w:rsidRPr="00873CFA">
        <w:rPr>
          <w:rFonts w:ascii="Times New Roman" w:hAnsi="Times New Roman"/>
          <w:sz w:val="24"/>
          <w:szCs w:val="24"/>
        </w:rPr>
        <w:t>Security</w:t>
      </w:r>
      <w:proofErr w:type="spellEnd"/>
    </w:p>
    <w:p w:rsidR="00782180" w:rsidRPr="00873CFA" w:rsidRDefault="00782180" w:rsidP="00782180">
      <w:pPr>
        <w:pStyle w:val="Table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73CFA">
        <w:rPr>
          <w:rFonts w:ascii="Times New Roman" w:hAnsi="Times New Roman"/>
          <w:sz w:val="24"/>
          <w:szCs w:val="24"/>
        </w:rPr>
        <w:t xml:space="preserve">vždy jeden z dvojice pracovníků </w:t>
      </w:r>
      <w:proofErr w:type="spellStart"/>
      <w:r w:rsidRPr="00873CFA">
        <w:rPr>
          <w:rFonts w:ascii="Times New Roman" w:hAnsi="Times New Roman"/>
          <w:sz w:val="24"/>
          <w:szCs w:val="24"/>
        </w:rPr>
        <w:t>Security</w:t>
      </w:r>
      <w:proofErr w:type="spellEnd"/>
      <w:r w:rsidRPr="00873CFA">
        <w:rPr>
          <w:rFonts w:ascii="Times New Roman" w:hAnsi="Times New Roman"/>
          <w:sz w:val="24"/>
          <w:szCs w:val="24"/>
        </w:rPr>
        <w:t xml:space="preserve"> musí ovládat anglický jazyk alespoň na úrovni B1 dle společného evropského referenčního rámce</w:t>
      </w:r>
    </w:p>
    <w:p w:rsidR="00782180" w:rsidRDefault="00782180" w:rsidP="00782180">
      <w:pPr>
        <w:pStyle w:val="Table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73CFA">
        <w:rPr>
          <w:rFonts w:ascii="Times New Roman" w:hAnsi="Times New Roman"/>
          <w:sz w:val="24"/>
          <w:szCs w:val="24"/>
        </w:rPr>
        <w:t xml:space="preserve">vždy jeden z dvojice pracovníků </w:t>
      </w:r>
      <w:proofErr w:type="spellStart"/>
      <w:r w:rsidRPr="00873CFA">
        <w:rPr>
          <w:rFonts w:ascii="Times New Roman" w:hAnsi="Times New Roman"/>
          <w:sz w:val="24"/>
          <w:szCs w:val="24"/>
        </w:rPr>
        <w:t>Security</w:t>
      </w:r>
      <w:proofErr w:type="spellEnd"/>
      <w:r w:rsidRPr="00873CFA">
        <w:rPr>
          <w:rFonts w:ascii="Times New Roman" w:hAnsi="Times New Roman"/>
          <w:sz w:val="24"/>
          <w:szCs w:val="24"/>
        </w:rPr>
        <w:t xml:space="preserve"> musí být vybaven záznamovým zařízením – kamerou, připnutou na pracovní oděv</w:t>
      </w:r>
    </w:p>
    <w:p w:rsidR="00771329" w:rsidRPr="003B7FB7" w:rsidRDefault="00771329" w:rsidP="00782180">
      <w:pPr>
        <w:pStyle w:val="Table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B7FB7">
        <w:rPr>
          <w:rFonts w:ascii="Times New Roman" w:hAnsi="Times New Roman"/>
          <w:sz w:val="24"/>
          <w:szCs w:val="24"/>
        </w:rPr>
        <w:t xml:space="preserve">pracovník </w:t>
      </w:r>
      <w:proofErr w:type="spellStart"/>
      <w:r w:rsidRPr="003B7FB7">
        <w:rPr>
          <w:rFonts w:ascii="Times New Roman" w:hAnsi="Times New Roman"/>
          <w:sz w:val="24"/>
          <w:szCs w:val="24"/>
        </w:rPr>
        <w:t>Security</w:t>
      </w:r>
      <w:proofErr w:type="spellEnd"/>
      <w:r w:rsidRPr="003B7FB7">
        <w:rPr>
          <w:rFonts w:ascii="Times New Roman" w:hAnsi="Times New Roman"/>
          <w:sz w:val="24"/>
          <w:szCs w:val="24"/>
        </w:rPr>
        <w:t xml:space="preserve"> musí být po dobu výkonu služby oděn do jednotného pracovního oděvu s viditelným nápisem SECURITY, celkový vzhled pracovního oděvu je Správce povinen projednat s Objednatelem</w:t>
      </w:r>
    </w:p>
    <w:p w:rsidR="00771329" w:rsidRPr="003B7FB7" w:rsidRDefault="00782180" w:rsidP="00782180">
      <w:pPr>
        <w:pStyle w:val="Table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B7FB7">
        <w:rPr>
          <w:rFonts w:ascii="Times New Roman" w:hAnsi="Times New Roman"/>
          <w:sz w:val="24"/>
          <w:szCs w:val="24"/>
        </w:rPr>
        <w:t xml:space="preserve">pracovníci </w:t>
      </w:r>
      <w:proofErr w:type="spellStart"/>
      <w:r w:rsidRPr="003B7FB7">
        <w:rPr>
          <w:rFonts w:ascii="Times New Roman" w:hAnsi="Times New Roman"/>
          <w:sz w:val="24"/>
          <w:szCs w:val="24"/>
        </w:rPr>
        <w:t>Security</w:t>
      </w:r>
      <w:proofErr w:type="spellEnd"/>
      <w:r w:rsidRPr="003B7FB7">
        <w:rPr>
          <w:rFonts w:ascii="Times New Roman" w:hAnsi="Times New Roman"/>
          <w:sz w:val="24"/>
          <w:szCs w:val="24"/>
        </w:rPr>
        <w:t xml:space="preserve"> musí splňovat kritéria fyzické </w:t>
      </w:r>
      <w:r w:rsidR="00873CFA" w:rsidRPr="003B7FB7">
        <w:rPr>
          <w:rFonts w:ascii="Times New Roman" w:hAnsi="Times New Roman"/>
          <w:sz w:val="24"/>
          <w:szCs w:val="24"/>
        </w:rPr>
        <w:t>způsobilosti</w:t>
      </w:r>
      <w:r w:rsidRPr="003B7FB7">
        <w:rPr>
          <w:rFonts w:ascii="Times New Roman" w:hAnsi="Times New Roman"/>
          <w:sz w:val="24"/>
          <w:szCs w:val="24"/>
        </w:rPr>
        <w:t xml:space="preserve"> běžné pro výkon činnosti </w:t>
      </w:r>
      <w:proofErr w:type="spellStart"/>
      <w:r w:rsidRPr="003B7FB7">
        <w:rPr>
          <w:rFonts w:ascii="Times New Roman" w:hAnsi="Times New Roman"/>
          <w:sz w:val="24"/>
          <w:szCs w:val="24"/>
        </w:rPr>
        <w:t>Security</w:t>
      </w:r>
      <w:proofErr w:type="spellEnd"/>
      <w:r w:rsidRPr="003B7FB7">
        <w:rPr>
          <w:rFonts w:ascii="Times New Roman" w:hAnsi="Times New Roman"/>
          <w:sz w:val="24"/>
          <w:szCs w:val="24"/>
        </w:rPr>
        <w:t>, v případě zjevně odůvodněné pochybnosti Objednatele o fyzické z</w:t>
      </w:r>
      <w:r w:rsidR="00873CFA" w:rsidRPr="003B7FB7">
        <w:rPr>
          <w:rFonts w:ascii="Times New Roman" w:hAnsi="Times New Roman"/>
          <w:sz w:val="24"/>
          <w:szCs w:val="24"/>
        </w:rPr>
        <w:t>působilosti</w:t>
      </w:r>
      <w:r w:rsidRPr="003B7FB7">
        <w:rPr>
          <w:rFonts w:ascii="Times New Roman" w:hAnsi="Times New Roman"/>
          <w:sz w:val="24"/>
          <w:szCs w:val="24"/>
        </w:rPr>
        <w:t xml:space="preserve"> pracovníka </w:t>
      </w:r>
      <w:proofErr w:type="spellStart"/>
      <w:r w:rsidRPr="003B7FB7">
        <w:rPr>
          <w:rFonts w:ascii="Times New Roman" w:hAnsi="Times New Roman"/>
          <w:sz w:val="24"/>
          <w:szCs w:val="24"/>
        </w:rPr>
        <w:t>Security</w:t>
      </w:r>
      <w:proofErr w:type="spellEnd"/>
      <w:r w:rsidRPr="003B7FB7">
        <w:rPr>
          <w:rFonts w:ascii="Times New Roman" w:hAnsi="Times New Roman"/>
          <w:sz w:val="24"/>
          <w:szCs w:val="24"/>
        </w:rPr>
        <w:t xml:space="preserve"> je Objednatel oprávněn požádat Správce o nahrazení takového pracovníka jiným, který bude dané kritérium splňovat</w:t>
      </w:r>
      <w:r w:rsidR="00873CFA" w:rsidRPr="003B7FB7">
        <w:rPr>
          <w:rFonts w:ascii="Times New Roman" w:hAnsi="Times New Roman"/>
          <w:sz w:val="24"/>
          <w:szCs w:val="24"/>
        </w:rPr>
        <w:t xml:space="preserve">. Objednatel má právo fyzickou způsobilost pracovníků </w:t>
      </w:r>
      <w:proofErr w:type="spellStart"/>
      <w:r w:rsidR="00873CFA" w:rsidRPr="003B7FB7">
        <w:rPr>
          <w:rFonts w:ascii="Times New Roman" w:hAnsi="Times New Roman"/>
          <w:sz w:val="24"/>
          <w:szCs w:val="24"/>
        </w:rPr>
        <w:t>Security</w:t>
      </w:r>
      <w:proofErr w:type="spellEnd"/>
      <w:r w:rsidR="00873CFA" w:rsidRPr="003B7FB7">
        <w:rPr>
          <w:rFonts w:ascii="Times New Roman" w:hAnsi="Times New Roman"/>
          <w:sz w:val="24"/>
          <w:szCs w:val="24"/>
        </w:rPr>
        <w:t xml:space="preserve"> namátkově ověřovat, přičemž Správce se zavazuje poskytnout v této věci veškerou nezbytnou součinnost. Fyzická způsobilost a její testování je podrobně popsána v příloze </w:t>
      </w:r>
      <w:r w:rsidR="00932D02" w:rsidRPr="003B7FB7">
        <w:rPr>
          <w:rFonts w:ascii="Times New Roman" w:hAnsi="Times New Roman"/>
          <w:sz w:val="24"/>
          <w:szCs w:val="24"/>
        </w:rPr>
        <w:t>č. 16</w:t>
      </w:r>
      <w:r w:rsidR="00873CFA" w:rsidRPr="003B7FB7">
        <w:rPr>
          <w:rFonts w:ascii="Times New Roman" w:hAnsi="Times New Roman"/>
          <w:sz w:val="24"/>
          <w:szCs w:val="24"/>
        </w:rPr>
        <w:t xml:space="preserve"> Smlouvy.</w:t>
      </w:r>
      <w:r w:rsidR="00771329" w:rsidRPr="003B7FB7">
        <w:rPr>
          <w:rFonts w:ascii="Times New Roman" w:hAnsi="Times New Roman"/>
          <w:sz w:val="24"/>
          <w:szCs w:val="24"/>
        </w:rPr>
        <w:t xml:space="preserve"> </w:t>
      </w:r>
    </w:p>
    <w:p w:rsidR="00782180" w:rsidRPr="003B7FB7" w:rsidRDefault="00771329" w:rsidP="00782180">
      <w:pPr>
        <w:pStyle w:val="Table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B7FB7">
        <w:rPr>
          <w:rFonts w:ascii="Times New Roman" w:hAnsi="Times New Roman"/>
          <w:sz w:val="24"/>
          <w:szCs w:val="24"/>
        </w:rPr>
        <w:t xml:space="preserve">V případě důvodné nespokojenosti Objednatele s činností pracovníka </w:t>
      </w:r>
      <w:proofErr w:type="spellStart"/>
      <w:r w:rsidRPr="003B7FB7">
        <w:rPr>
          <w:rFonts w:ascii="Times New Roman" w:hAnsi="Times New Roman"/>
          <w:sz w:val="24"/>
          <w:szCs w:val="24"/>
        </w:rPr>
        <w:t>Security</w:t>
      </w:r>
      <w:proofErr w:type="spellEnd"/>
      <w:r w:rsidRPr="003B7FB7">
        <w:rPr>
          <w:rFonts w:ascii="Times New Roman" w:hAnsi="Times New Roman"/>
          <w:sz w:val="24"/>
          <w:szCs w:val="24"/>
        </w:rPr>
        <w:t xml:space="preserve"> je Správce povinen tohoto pracovníka </w:t>
      </w:r>
      <w:proofErr w:type="spellStart"/>
      <w:r w:rsidRPr="003B7FB7">
        <w:rPr>
          <w:rFonts w:ascii="Times New Roman" w:hAnsi="Times New Roman"/>
          <w:sz w:val="24"/>
          <w:szCs w:val="24"/>
        </w:rPr>
        <w:t>Security</w:t>
      </w:r>
      <w:proofErr w:type="spellEnd"/>
      <w:r w:rsidRPr="003B7FB7">
        <w:rPr>
          <w:rFonts w:ascii="Times New Roman" w:hAnsi="Times New Roman"/>
          <w:sz w:val="24"/>
          <w:szCs w:val="24"/>
        </w:rPr>
        <w:t xml:space="preserve"> nahradit v přiměřené lhůtě jiným pracovníkem</w:t>
      </w:r>
      <w:r w:rsidR="00C2501F" w:rsidRPr="003B7FB7">
        <w:rPr>
          <w:rFonts w:ascii="Times New Roman" w:hAnsi="Times New Roman"/>
          <w:sz w:val="24"/>
          <w:szCs w:val="24"/>
        </w:rPr>
        <w:t xml:space="preserve"> splňujícím všechna uvedená kritéria</w:t>
      </w:r>
    </w:p>
    <w:p w:rsidR="00782180" w:rsidRPr="00E54442" w:rsidRDefault="00782180" w:rsidP="00782180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zajištění a provádění pravidelných kontrol Objektů s vyhodnocením případných bezpečnostních rizik</w:t>
      </w:r>
    </w:p>
    <w:p w:rsidR="00782180" w:rsidRPr="00E54442" w:rsidRDefault="00782180" w:rsidP="00782180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>uzamykání a odemykání Objektů</w:t>
      </w:r>
    </w:p>
    <w:p w:rsidR="00782180" w:rsidRDefault="00782180" w:rsidP="00782180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sz w:val="24"/>
          <w:szCs w:val="24"/>
        </w:rPr>
        <w:t xml:space="preserve">správa klíčového systému </w:t>
      </w:r>
    </w:p>
    <w:p w:rsidR="00AF1B66" w:rsidRDefault="00782180" w:rsidP="00782180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r w:rsidRPr="005E7EC1">
        <w:rPr>
          <w:rFonts w:ascii="Times New Roman" w:hAnsi="Times New Roman"/>
          <w:sz w:val="24"/>
          <w:szCs w:val="24"/>
        </w:rPr>
        <w:t>pochůzková činnost s prevencí proti závadovým osobám a ochrana majetku</w:t>
      </w:r>
    </w:p>
    <w:p w:rsidR="00771329" w:rsidRDefault="00771329" w:rsidP="00782180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r w:rsidRPr="00BC3B13">
        <w:rPr>
          <w:rFonts w:ascii="Times New Roman" w:hAnsi="Times New Roman"/>
          <w:sz w:val="24"/>
          <w:szCs w:val="24"/>
        </w:rPr>
        <w:t xml:space="preserve">Vypracování manuálu pro </w:t>
      </w:r>
      <w:proofErr w:type="spellStart"/>
      <w:r w:rsidRPr="00BC3B13">
        <w:rPr>
          <w:rFonts w:ascii="Times New Roman" w:hAnsi="Times New Roman"/>
          <w:sz w:val="24"/>
          <w:szCs w:val="24"/>
        </w:rPr>
        <w:t>Security</w:t>
      </w:r>
      <w:proofErr w:type="spellEnd"/>
      <w:r w:rsidRPr="00BC3B13">
        <w:rPr>
          <w:rFonts w:ascii="Times New Roman" w:hAnsi="Times New Roman"/>
          <w:sz w:val="24"/>
          <w:szCs w:val="24"/>
        </w:rPr>
        <w:t xml:space="preserve"> službu se stanovenými standardy pro pracovníky </w:t>
      </w:r>
      <w:proofErr w:type="spellStart"/>
      <w:r w:rsidRPr="00BC3B13">
        <w:rPr>
          <w:rFonts w:ascii="Times New Roman" w:hAnsi="Times New Roman"/>
          <w:sz w:val="24"/>
          <w:szCs w:val="24"/>
        </w:rPr>
        <w:t>Security</w:t>
      </w:r>
      <w:proofErr w:type="spellEnd"/>
      <w:r w:rsidRPr="00BC3B13">
        <w:rPr>
          <w:rFonts w:ascii="Times New Roman" w:hAnsi="Times New Roman"/>
          <w:sz w:val="24"/>
          <w:szCs w:val="24"/>
        </w:rPr>
        <w:t xml:space="preserve"> nad rámec této přílohy, s vytipováním bezpečnostních rizik a míst Objektů podléhajících zvýšené kontrole a dále s návrhem obchůzkových tras. Tento manuál bude vytvořen v rámci jednání s Objednatelem a podléhá jeho odsouhlasení. Pracovníci </w:t>
      </w:r>
      <w:proofErr w:type="spellStart"/>
      <w:r w:rsidRPr="00BC3B13">
        <w:rPr>
          <w:rFonts w:ascii="Times New Roman" w:hAnsi="Times New Roman"/>
          <w:sz w:val="24"/>
          <w:szCs w:val="24"/>
        </w:rPr>
        <w:t>Security</w:t>
      </w:r>
      <w:proofErr w:type="spellEnd"/>
      <w:r w:rsidRPr="00BC3B13">
        <w:rPr>
          <w:rFonts w:ascii="Times New Roman" w:hAnsi="Times New Roman"/>
          <w:sz w:val="24"/>
          <w:szCs w:val="24"/>
        </w:rPr>
        <w:t xml:space="preserve"> jsou povinni se takto odsouhlaseným manuálem řídit. </w:t>
      </w:r>
    </w:p>
    <w:p w:rsidR="00DA79A1" w:rsidRPr="00DA79A1" w:rsidRDefault="00DA79A1" w:rsidP="00DA79A1">
      <w:pPr>
        <w:pStyle w:val="Table1"/>
        <w:numPr>
          <w:ilvl w:val="0"/>
          <w:numId w:val="1"/>
        </w:numPr>
        <w:ind w:left="567" w:hanging="567"/>
        <w:rPr>
          <w:rFonts w:ascii="Times New Roman" w:hAnsi="Times New Roman"/>
          <w:sz w:val="24"/>
          <w:szCs w:val="24"/>
        </w:rPr>
      </w:pPr>
      <w:bookmarkStart w:id="0" w:name="_Ref494265612"/>
      <w:r w:rsidRPr="00DA79A1">
        <w:rPr>
          <w:rFonts w:ascii="Times New Roman" w:hAnsi="Times New Roman"/>
          <w:sz w:val="24"/>
          <w:szCs w:val="24"/>
        </w:rPr>
        <w:t>Správce</w:t>
      </w:r>
      <w:r w:rsidRPr="00DA79A1">
        <w:rPr>
          <w:rFonts w:ascii="Times New Roman" w:hAnsi="Times New Roman"/>
          <w:sz w:val="24"/>
          <w:szCs w:val="24"/>
        </w:rPr>
        <w:t xml:space="preserve"> se zavazuje:</w:t>
      </w:r>
      <w:bookmarkEnd w:id="0"/>
    </w:p>
    <w:p w:rsidR="00DA79A1" w:rsidRDefault="00DA79A1" w:rsidP="00DA79A1">
      <w:pPr>
        <w:pStyle w:val="FSCodrka1"/>
        <w:numPr>
          <w:ilvl w:val="0"/>
          <w:numId w:val="5"/>
        </w:numPr>
        <w:spacing w:before="120" w:after="0" w:line="276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bookmarkStart w:id="1" w:name="_Ref500261655"/>
      <w:r>
        <w:rPr>
          <w:rFonts w:ascii="Times New Roman" w:hAnsi="Times New Roman" w:cs="Times New Roman"/>
          <w:sz w:val="24"/>
          <w:szCs w:val="24"/>
        </w:rPr>
        <w:t xml:space="preserve">že </w:t>
      </w:r>
      <w:r>
        <w:rPr>
          <w:rFonts w:ascii="Times New Roman" w:hAnsi="Times New Roman" w:cs="Times New Roman"/>
          <w:sz w:val="24"/>
          <w:szCs w:val="24"/>
        </w:rPr>
        <w:t xml:space="preserve">pracovníci </w:t>
      </w:r>
      <w:proofErr w:type="spellStart"/>
      <w:r>
        <w:rPr>
          <w:rFonts w:ascii="Times New Roman" w:hAnsi="Times New Roman" w:cs="Times New Roman"/>
          <w:sz w:val="24"/>
          <w:szCs w:val="24"/>
        </w:rPr>
        <w:t>Security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budou při výkonu těchto činností postupovat v souladu s právními předpisy, interními předpisy Objednatele včetně jejich změn a náhrad, </w:t>
      </w:r>
      <w:r>
        <w:rPr>
          <w:rFonts w:ascii="Times New Roman" w:hAnsi="Times New Roman" w:cs="Times New Roman"/>
          <w:sz w:val="24"/>
          <w:szCs w:val="24"/>
        </w:rPr>
        <w:lastRenderedPageBreak/>
        <w:t>se kterými byli seznámeni, jakož i se Smlouvou a jejími přílohami, při maximálním zohlednění zejména:</w:t>
      </w:r>
    </w:p>
    <w:p w:rsidR="00DA79A1" w:rsidRDefault="00DA79A1" w:rsidP="00DA79A1">
      <w:pPr>
        <w:pStyle w:val="FSCodrka1"/>
        <w:numPr>
          <w:ilvl w:val="1"/>
          <w:numId w:val="5"/>
        </w:numPr>
        <w:spacing w:before="120" w:after="0" w:line="276" w:lineRule="auto"/>
        <w:ind w:left="1701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nutné obrany</w:t>
      </w:r>
      <w:r>
        <w:rPr>
          <w:rFonts w:ascii="Times New Roman" w:hAnsi="Times New Roman" w:cs="Times New Roman"/>
          <w:sz w:val="24"/>
          <w:szCs w:val="24"/>
        </w:rPr>
        <w:t xml:space="preserve"> ve smyslu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§ 29 </w:t>
      </w:r>
      <w:r>
        <w:rPr>
          <w:rFonts w:ascii="Times New Roman" w:hAnsi="Times New Roman" w:cs="Times New Roman"/>
          <w:i/>
          <w:iCs/>
          <w:sz w:val="24"/>
          <w:szCs w:val="24"/>
        </w:rPr>
        <w:t>zákona č. 40/2009 Sb., trestního zákoníku</w:t>
      </w:r>
      <w:r>
        <w:rPr>
          <w:rFonts w:ascii="Times New Roman" w:hAnsi="Times New Roman" w:cs="Times New Roman"/>
          <w:sz w:val="24"/>
          <w:szCs w:val="24"/>
        </w:rPr>
        <w:t>, ve znění pozdějších předpisů;</w:t>
      </w:r>
    </w:p>
    <w:p w:rsidR="00DA79A1" w:rsidRDefault="00DA79A1" w:rsidP="00DA79A1">
      <w:pPr>
        <w:pStyle w:val="FSCodrka1"/>
        <w:numPr>
          <w:ilvl w:val="1"/>
          <w:numId w:val="5"/>
        </w:numPr>
        <w:spacing w:before="120" w:after="0" w:line="276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krajní nouze</w:t>
      </w:r>
      <w:r>
        <w:rPr>
          <w:rFonts w:ascii="Times New Roman" w:hAnsi="Times New Roman" w:cs="Times New Roman"/>
          <w:sz w:val="24"/>
          <w:szCs w:val="24"/>
        </w:rPr>
        <w:t xml:space="preserve"> ve smyslu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§ 28 </w:t>
      </w:r>
      <w:r>
        <w:rPr>
          <w:rFonts w:ascii="Times New Roman" w:hAnsi="Times New Roman" w:cs="Times New Roman"/>
          <w:i/>
          <w:iCs/>
          <w:sz w:val="24"/>
          <w:szCs w:val="24"/>
        </w:rPr>
        <w:t>zákona č. 40/2009 Sb., trestního zákoníku</w:t>
      </w:r>
      <w:r>
        <w:rPr>
          <w:rFonts w:ascii="Times New Roman" w:hAnsi="Times New Roman" w:cs="Times New Roman"/>
          <w:sz w:val="24"/>
          <w:szCs w:val="24"/>
        </w:rPr>
        <w:t>, ve znění pozdějších předpisů;</w:t>
      </w:r>
    </w:p>
    <w:p w:rsidR="00DA79A1" w:rsidRDefault="00DA79A1" w:rsidP="00DA79A1">
      <w:pPr>
        <w:pStyle w:val="FSCodrka1"/>
        <w:numPr>
          <w:ilvl w:val="1"/>
          <w:numId w:val="5"/>
        </w:numPr>
        <w:spacing w:before="120" w:after="0" w:line="276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omezení osobní svobody</w:t>
      </w:r>
      <w:r>
        <w:rPr>
          <w:rFonts w:ascii="Times New Roman" w:hAnsi="Times New Roman" w:cs="Times New Roman"/>
          <w:sz w:val="24"/>
          <w:szCs w:val="24"/>
        </w:rPr>
        <w:t xml:space="preserve"> ve smyslu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§ 76 odst. 2 </w:t>
      </w:r>
      <w:r>
        <w:rPr>
          <w:rFonts w:ascii="Times New Roman" w:hAnsi="Times New Roman" w:cs="Times New Roman"/>
          <w:i/>
          <w:iCs/>
          <w:sz w:val="24"/>
          <w:szCs w:val="24"/>
        </w:rPr>
        <w:t>zákona č. 141/1961 Sb., trestního řádu</w:t>
      </w:r>
      <w:r>
        <w:rPr>
          <w:rFonts w:ascii="Times New Roman" w:hAnsi="Times New Roman" w:cs="Times New Roman"/>
          <w:sz w:val="24"/>
          <w:szCs w:val="24"/>
        </w:rPr>
        <w:t>, ve znění pozdějších předpisů;</w:t>
      </w:r>
    </w:p>
    <w:p w:rsidR="00DA79A1" w:rsidRDefault="00DA79A1" w:rsidP="00DA79A1">
      <w:pPr>
        <w:pStyle w:val="FSCodrka1"/>
        <w:numPr>
          <w:ilvl w:val="1"/>
          <w:numId w:val="5"/>
        </w:numPr>
        <w:spacing w:before="120" w:after="0" w:line="276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svépomoci </w:t>
      </w:r>
      <w:r>
        <w:rPr>
          <w:rFonts w:ascii="Times New Roman" w:hAnsi="Times New Roman" w:cs="Times New Roman"/>
          <w:sz w:val="24"/>
          <w:szCs w:val="24"/>
        </w:rPr>
        <w:t xml:space="preserve">ve smyslu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>. § 14 Občanského zákoníku,</w:t>
      </w:r>
    </w:p>
    <w:p w:rsidR="00DA79A1" w:rsidRDefault="00DA79A1" w:rsidP="00DA79A1">
      <w:pPr>
        <w:pStyle w:val="FSCodrka1"/>
        <w:numPr>
          <w:ilvl w:val="1"/>
          <w:numId w:val="5"/>
        </w:numPr>
        <w:spacing w:before="120" w:after="0" w:line="276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příslušných ustanovení </w:t>
      </w:r>
      <w:r>
        <w:rPr>
          <w:rFonts w:ascii="Times New Roman" w:hAnsi="Times New Roman" w:cs="Times New Roman"/>
          <w:i/>
          <w:iCs/>
          <w:sz w:val="24"/>
          <w:szCs w:val="24"/>
        </w:rPr>
        <w:t>zákona č. 262/2006 Sb.,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zákoníku práce</w:t>
      </w:r>
      <w:r>
        <w:rPr>
          <w:rFonts w:ascii="Times New Roman" w:hAnsi="Times New Roman" w:cs="Times New Roman"/>
          <w:sz w:val="24"/>
          <w:szCs w:val="24"/>
        </w:rPr>
        <w:t xml:space="preserve">, ve znění pozdějších předpisů, zejm. jeho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>. § 249 a § 251; a</w:t>
      </w:r>
    </w:p>
    <w:p w:rsidR="00DA79A1" w:rsidRPr="00BC3B13" w:rsidRDefault="00DA79A1" w:rsidP="00DA79A1">
      <w:pPr>
        <w:pStyle w:val="Table1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platných právních předpisů k zajištění bezpečnosti a zdraví při práci a požární ochrany</w:t>
      </w:r>
      <w:r>
        <w:rPr>
          <w:rFonts w:ascii="Times New Roman" w:hAnsi="Times New Roman"/>
          <w:sz w:val="24"/>
          <w:szCs w:val="24"/>
        </w:rPr>
        <w:t>.</w:t>
      </w:r>
      <w:bookmarkStart w:id="2" w:name="_GoBack"/>
      <w:bookmarkEnd w:id="2"/>
    </w:p>
    <w:sectPr w:rsidR="00DA79A1" w:rsidRPr="00BC3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C1E5B"/>
    <w:multiLevelType w:val="multilevel"/>
    <w:tmpl w:val="8D7EC3E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58433C43"/>
    <w:multiLevelType w:val="hybridMultilevel"/>
    <w:tmpl w:val="CF8EF668"/>
    <w:lvl w:ilvl="0" w:tplc="0D862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6F8A5A71"/>
    <w:multiLevelType w:val="hybridMultilevel"/>
    <w:tmpl w:val="82AC61B2"/>
    <w:lvl w:ilvl="0" w:tplc="7A92A87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4C2"/>
    <w:rsid w:val="00040AF0"/>
    <w:rsid w:val="003234CD"/>
    <w:rsid w:val="003B7FB7"/>
    <w:rsid w:val="005E7EC1"/>
    <w:rsid w:val="00771329"/>
    <w:rsid w:val="00782180"/>
    <w:rsid w:val="007F04C2"/>
    <w:rsid w:val="00873CFA"/>
    <w:rsid w:val="00932D02"/>
    <w:rsid w:val="00BC3B13"/>
    <w:rsid w:val="00C2501F"/>
    <w:rsid w:val="00DA79A1"/>
    <w:rsid w:val="00D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1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aliases w:val="Text 2"/>
    <w:basedOn w:val="Normln"/>
    <w:link w:val="Nadpis2Char"/>
    <w:uiPriority w:val="99"/>
    <w:semiHidden/>
    <w:unhideWhenUsed/>
    <w:qFormat/>
    <w:rsid w:val="00DA79A1"/>
    <w:pPr>
      <w:suppressAutoHyphens w:val="0"/>
      <w:spacing w:after="200" w:line="276" w:lineRule="auto"/>
      <w:outlineLvl w:val="1"/>
    </w:pPr>
    <w:rPr>
      <w:rFonts w:eastAsiaTheme="minorHAnsi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komenteChar">
    <w:name w:val="Text komentáře Char"/>
    <w:link w:val="Textkomente"/>
    <w:semiHidden/>
    <w:rsid w:val="00782180"/>
  </w:style>
  <w:style w:type="paragraph" w:customStyle="1" w:styleId="Table1">
    <w:name w:val="Table 1"/>
    <w:basedOn w:val="Normln"/>
    <w:uiPriority w:val="99"/>
    <w:rsid w:val="00782180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styleId="Textkomente">
    <w:name w:val="annotation text"/>
    <w:basedOn w:val="Normln"/>
    <w:link w:val="TextkomenteChar"/>
    <w:semiHidden/>
    <w:rsid w:val="00782180"/>
    <w:pPr>
      <w:suppressAutoHyphens w:val="0"/>
      <w:spacing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8218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koment">
    <w:name w:val="annotation reference"/>
    <w:semiHidden/>
    <w:rsid w:val="00782180"/>
    <w:rPr>
      <w:rFonts w:cs="Times New Roman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1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18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semiHidden/>
    <w:rsid w:val="00DA79A1"/>
    <w:rPr>
      <w:rFonts w:ascii="Times New Roman" w:hAnsi="Times New Roman" w:cs="Times New Roman"/>
      <w:color w:val="000000"/>
      <w:sz w:val="24"/>
      <w:szCs w:val="24"/>
      <w:lang w:eastAsia="cs-CZ"/>
    </w:rPr>
  </w:style>
  <w:style w:type="character" w:customStyle="1" w:styleId="FSCodrka1Char">
    <w:name w:val="FSCodrážka1 Char"/>
    <w:basedOn w:val="Standardnpsmoodstavce"/>
    <w:link w:val="FSCodrka1"/>
    <w:locked/>
    <w:rsid w:val="00DA79A1"/>
    <w:rPr>
      <w:rFonts w:ascii="Tahoma" w:hAnsi="Tahoma" w:cs="Tahoma"/>
    </w:rPr>
  </w:style>
  <w:style w:type="paragraph" w:customStyle="1" w:styleId="FSCodrka1">
    <w:name w:val="FSCodrážka1"/>
    <w:basedOn w:val="Normln"/>
    <w:link w:val="FSCodrka1Char"/>
    <w:rsid w:val="00DA79A1"/>
    <w:pPr>
      <w:numPr>
        <w:numId w:val="3"/>
      </w:numPr>
      <w:suppressAutoHyphens w:val="0"/>
      <w:spacing w:after="120" w:line="300" w:lineRule="atLeast"/>
      <w:jc w:val="both"/>
    </w:pPr>
    <w:rPr>
      <w:rFonts w:ascii="Tahoma" w:eastAsiaTheme="minorHAnsi" w:hAnsi="Tahoma" w:cs="Tahom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1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aliases w:val="Text 2"/>
    <w:basedOn w:val="Normln"/>
    <w:link w:val="Nadpis2Char"/>
    <w:uiPriority w:val="99"/>
    <w:semiHidden/>
    <w:unhideWhenUsed/>
    <w:qFormat/>
    <w:rsid w:val="00DA79A1"/>
    <w:pPr>
      <w:suppressAutoHyphens w:val="0"/>
      <w:spacing w:after="200" w:line="276" w:lineRule="auto"/>
      <w:outlineLvl w:val="1"/>
    </w:pPr>
    <w:rPr>
      <w:rFonts w:eastAsiaTheme="minorHAnsi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komenteChar">
    <w:name w:val="Text komentáře Char"/>
    <w:link w:val="Textkomente"/>
    <w:semiHidden/>
    <w:rsid w:val="00782180"/>
  </w:style>
  <w:style w:type="paragraph" w:customStyle="1" w:styleId="Table1">
    <w:name w:val="Table 1"/>
    <w:basedOn w:val="Normln"/>
    <w:uiPriority w:val="99"/>
    <w:rsid w:val="00782180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paragraph" w:styleId="Textkomente">
    <w:name w:val="annotation text"/>
    <w:basedOn w:val="Normln"/>
    <w:link w:val="TextkomenteChar"/>
    <w:semiHidden/>
    <w:rsid w:val="00782180"/>
    <w:pPr>
      <w:suppressAutoHyphens w:val="0"/>
      <w:spacing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8218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koment">
    <w:name w:val="annotation reference"/>
    <w:semiHidden/>
    <w:rsid w:val="00782180"/>
    <w:rPr>
      <w:rFonts w:cs="Times New Roman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1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18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semiHidden/>
    <w:rsid w:val="00DA79A1"/>
    <w:rPr>
      <w:rFonts w:ascii="Times New Roman" w:hAnsi="Times New Roman" w:cs="Times New Roman"/>
      <w:color w:val="000000"/>
      <w:sz w:val="24"/>
      <w:szCs w:val="24"/>
      <w:lang w:eastAsia="cs-CZ"/>
    </w:rPr>
  </w:style>
  <w:style w:type="character" w:customStyle="1" w:styleId="FSCodrka1Char">
    <w:name w:val="FSCodrážka1 Char"/>
    <w:basedOn w:val="Standardnpsmoodstavce"/>
    <w:link w:val="FSCodrka1"/>
    <w:locked/>
    <w:rsid w:val="00DA79A1"/>
    <w:rPr>
      <w:rFonts w:ascii="Tahoma" w:hAnsi="Tahoma" w:cs="Tahoma"/>
    </w:rPr>
  </w:style>
  <w:style w:type="paragraph" w:customStyle="1" w:styleId="FSCodrka1">
    <w:name w:val="FSCodrážka1"/>
    <w:basedOn w:val="Normln"/>
    <w:link w:val="FSCodrka1Char"/>
    <w:rsid w:val="00DA79A1"/>
    <w:pPr>
      <w:numPr>
        <w:numId w:val="3"/>
      </w:numPr>
      <w:suppressAutoHyphens w:val="0"/>
      <w:spacing w:after="120" w:line="300" w:lineRule="atLeast"/>
      <w:jc w:val="both"/>
    </w:pPr>
    <w:rPr>
      <w:rFonts w:ascii="Tahoma" w:eastAsiaTheme="minorHAnsi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Skála Daniel, Mgr.</dc:creator>
  <cp:lastModifiedBy>Skála Daniel, Mgr.</cp:lastModifiedBy>
  <cp:revision>8</cp:revision>
  <dcterms:created xsi:type="dcterms:W3CDTF">2017-12-19T09:26:00Z</dcterms:created>
  <dcterms:modified xsi:type="dcterms:W3CDTF">2018-03-09T08:25:00Z</dcterms:modified>
</cp:coreProperties>
</file>