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780B48CA" w:rsidR="008F4AEA" w:rsidRPr="0017695A" w:rsidRDefault="00561DB7" w:rsidP="008F4AEA">
          <w:pPr>
            <w:pStyle w:val="Titul2"/>
          </w:pPr>
          <w:r w:rsidRPr="00561DB7">
            <w:rPr>
              <w:rStyle w:val="Nzevakce"/>
              <w:b/>
            </w:rPr>
            <w:t xml:space="preserve">„Dokončení I. žel. </w:t>
          </w:r>
          <w:proofErr w:type="gramStart"/>
          <w:r w:rsidRPr="00561DB7">
            <w:rPr>
              <w:rStyle w:val="Nzevakce"/>
              <w:b/>
            </w:rPr>
            <w:t>koridoru</w:t>
          </w:r>
          <w:proofErr w:type="gramEnd"/>
          <w:r w:rsidRPr="00561DB7">
            <w:rPr>
              <w:rStyle w:val="Nzevakce"/>
              <w:b/>
            </w:rPr>
            <w:t xml:space="preserve"> v trať. úseku Lanžhot (ČR) – </w:t>
          </w:r>
          <w:proofErr w:type="spellStart"/>
          <w:r w:rsidRPr="00561DB7">
            <w:rPr>
              <w:rStyle w:val="Nzevakce"/>
              <w:b/>
            </w:rPr>
            <w:t>Kúty</w:t>
          </w:r>
          <w:proofErr w:type="spellEnd"/>
          <w:r w:rsidRPr="00561DB7">
            <w:rPr>
              <w:rStyle w:val="Nzevakce"/>
              <w:b/>
            </w:rPr>
            <w:t xml:space="preserve"> (SR)“</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3305271D" w14:textId="77777777" w:rsidR="00C96E7C" w:rsidRDefault="00C96E7C" w:rsidP="00C732F0">
      <w:pPr>
        <w:pStyle w:val="Bezmezer"/>
        <w:jc w:val="both"/>
      </w:pPr>
      <w:r>
        <w:t xml:space="preserve">se sídlem: Dlážděná 1003/7, 110 00 Praha 1 - Nové Město </w:t>
      </w:r>
    </w:p>
    <w:p w14:paraId="67BA64DD" w14:textId="77777777" w:rsidR="00C96E7C" w:rsidRDefault="00C96E7C" w:rsidP="00C732F0">
      <w:pPr>
        <w:pStyle w:val="Bezmezer"/>
        <w:jc w:val="both"/>
      </w:pPr>
      <w:r>
        <w:t>IČO: 70994234 DIČ: CZ70994234</w:t>
      </w:r>
    </w:p>
    <w:p w14:paraId="74BC709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7C391A50" w14:textId="77777777" w:rsidR="00C96E7C" w:rsidRDefault="00C96E7C" w:rsidP="00C732F0">
      <w:pPr>
        <w:pStyle w:val="Bezmezer"/>
        <w:jc w:val="both"/>
      </w:pPr>
      <w:r>
        <w:t>spisová značka A 48384</w:t>
      </w:r>
    </w:p>
    <w:p w14:paraId="35B362D4" w14:textId="77777777" w:rsidR="00C96E7C" w:rsidRDefault="00C96E7C" w:rsidP="005B7883">
      <w:pPr>
        <w:pStyle w:val="Nadpisbezsl1-2"/>
      </w:pPr>
      <w:proofErr w:type="gramStart"/>
      <w:r>
        <w:t>1.1.2.3  Název</w:t>
      </w:r>
      <w:proofErr w:type="gramEnd"/>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2BA39B64" w14:textId="77777777" w:rsidR="006C1BB8" w:rsidRPr="00B75E92" w:rsidRDefault="006C1BB8" w:rsidP="006C1BB8">
      <w:pPr>
        <w:pStyle w:val="Bezmezer"/>
        <w:jc w:val="both"/>
        <w:rPr>
          <w:b/>
          <w:sz w:val="18"/>
          <w:szCs w:val="18"/>
        </w:rPr>
      </w:pPr>
      <w:r w:rsidRPr="00B75E92">
        <w:rPr>
          <w:b/>
          <w:sz w:val="18"/>
          <w:szCs w:val="18"/>
        </w:rPr>
        <w:t>Správa železnic, státní organizace</w:t>
      </w:r>
    </w:p>
    <w:p w14:paraId="3E8D0818" w14:textId="77777777" w:rsidR="006C1BB8" w:rsidRPr="00B75E92" w:rsidRDefault="006C1BB8" w:rsidP="006C1BB8">
      <w:pPr>
        <w:pStyle w:val="Oslovenvdopisu"/>
      </w:pPr>
      <w:r w:rsidRPr="00B75E92">
        <w:t>organizační jednotka - Stavební správa východ v Olomouci</w:t>
      </w:r>
    </w:p>
    <w:p w14:paraId="3F2A1468" w14:textId="77777777" w:rsidR="0023471E" w:rsidRDefault="006C1BB8" w:rsidP="0023471E">
      <w:pPr>
        <w:pStyle w:val="Druhdokumentu"/>
        <w:spacing w:after="0"/>
        <w:jc w:val="both"/>
        <w:rPr>
          <w:rFonts w:asciiTheme="minorHAnsi" w:eastAsiaTheme="minorHAnsi" w:hAnsiTheme="minorHAnsi" w:cstheme="minorBidi"/>
          <w:b w:val="0"/>
          <w:color w:val="auto"/>
          <w:spacing w:val="0"/>
          <w:sz w:val="18"/>
          <w:szCs w:val="18"/>
        </w:rPr>
      </w:pPr>
      <w:r w:rsidRPr="00B75E92">
        <w:rPr>
          <w:rFonts w:asciiTheme="minorHAnsi" w:eastAsiaTheme="minorHAnsi" w:hAnsiTheme="minorHAnsi" w:cstheme="minorBidi"/>
          <w:b w:val="0"/>
          <w:color w:val="auto"/>
          <w:spacing w:val="0"/>
          <w:sz w:val="18"/>
          <w:szCs w:val="18"/>
        </w:rPr>
        <w:t>Nerudova 773/ 1</w:t>
      </w:r>
    </w:p>
    <w:p w14:paraId="1673FD10" w14:textId="28F7A2B7" w:rsidR="006C1BB8" w:rsidRPr="00B75E92" w:rsidRDefault="006C1BB8" w:rsidP="0023471E">
      <w:pPr>
        <w:pStyle w:val="Druhdokumentu"/>
        <w:spacing w:after="0"/>
        <w:jc w:val="both"/>
        <w:rPr>
          <w:sz w:val="18"/>
          <w:szCs w:val="18"/>
        </w:rPr>
      </w:pPr>
      <w:r w:rsidRPr="0023471E">
        <w:rPr>
          <w:rFonts w:asciiTheme="minorHAnsi" w:eastAsiaTheme="minorHAnsi" w:hAnsiTheme="minorHAnsi" w:cstheme="minorBidi"/>
          <w:b w:val="0"/>
          <w:color w:val="auto"/>
          <w:spacing w:val="0"/>
          <w:sz w:val="18"/>
          <w:szCs w:val="18"/>
        </w:rPr>
        <w:t>779 00 OLOMOUC</w:t>
      </w:r>
    </w:p>
    <w:p w14:paraId="4CB0AE8D" w14:textId="2C0F7641" w:rsidR="00333BF4" w:rsidRDefault="00333BF4" w:rsidP="006C1BB8">
      <w:pPr>
        <w:spacing w:before="120" w:after="120"/>
      </w:pPr>
      <w:r w:rsidRPr="00333BF4">
        <w:rPr>
          <w:sz w:val="18"/>
          <w:szCs w:val="18"/>
        </w:rPr>
        <w:t>Jiří Wágner</w:t>
      </w:r>
      <w:r w:rsidR="006C1BB8" w:rsidRPr="00333BF4">
        <w:rPr>
          <w:sz w:val="18"/>
          <w:szCs w:val="18"/>
        </w:rPr>
        <w:t xml:space="preserve">, tel.: +420 </w:t>
      </w:r>
      <w:r w:rsidRPr="00333BF4">
        <w:rPr>
          <w:sz w:val="18"/>
          <w:szCs w:val="18"/>
        </w:rPr>
        <w:t>724 932 297</w:t>
      </w:r>
      <w:r w:rsidR="006C1BB8" w:rsidRPr="00333BF4">
        <w:rPr>
          <w:sz w:val="18"/>
          <w:szCs w:val="18"/>
        </w:rPr>
        <w:t xml:space="preserve">, e-mail: </w:t>
      </w:r>
      <w:hyperlink r:id="rId11" w:history="1">
        <w:r w:rsidRPr="00FE708A">
          <w:rPr>
            <w:rStyle w:val="Hypertextovodkaz"/>
            <w:noProof w:val="0"/>
          </w:rPr>
          <w:t>Wagner@spravazeleznic.cz</w:t>
        </w:r>
      </w:hyperlink>
    </w:p>
    <w:p w14:paraId="4B172A2A" w14:textId="77777777" w:rsidR="00C96E7C" w:rsidRDefault="00C96E7C" w:rsidP="005B7883">
      <w:pPr>
        <w:pStyle w:val="Nadpisbezsl1-2"/>
      </w:pPr>
      <w:proofErr w:type="gramStart"/>
      <w:r>
        <w:t>1.1.3.7  Záruční</w:t>
      </w:r>
      <w:proofErr w:type="gramEnd"/>
      <w:r>
        <w:t xml:space="preserve">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7777777" w:rsidR="00C96E7C" w:rsidRDefault="00C96E7C" w:rsidP="005B7883">
      <w:pPr>
        <w:pStyle w:val="Nadpisbezsl1-2"/>
      </w:pPr>
      <w:proofErr w:type="gramStart"/>
      <w:r>
        <w:t>1.1.4.15  Faktura</w:t>
      </w:r>
      <w:proofErr w:type="gramEnd"/>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032A976C" w:rsidR="00C96E7C" w:rsidRPr="00A7196E" w:rsidRDefault="00C96E7C" w:rsidP="00B01A2A">
      <w:pPr>
        <w:pStyle w:val="Textbezodsazen"/>
        <w:jc w:val="left"/>
      </w:pPr>
      <w:r w:rsidRPr="00E21F3F">
        <w:lastRenderedPageBreak/>
        <w:t>Pro vyloučení pochybností se uvádí, že Zhotovitel může za účel</w:t>
      </w:r>
      <w:r w:rsidR="00DE3D3E" w:rsidRPr="00E21F3F">
        <w:t>em splnění povinností podle toh</w:t>
      </w:r>
      <w:r w:rsidRPr="00E21F3F">
        <w:t>o odstavce 1.1.4.15 předložit Objednateli společně</w:t>
      </w:r>
      <w:r w:rsidR="00582C15" w:rsidRPr="00E21F3F">
        <w:t xml:space="preserve"> s </w:t>
      </w:r>
      <w:r w:rsidRPr="00E21F3F">
        <w:t>Fakturou také podkladové dokumenty předkládané společně</w:t>
      </w:r>
      <w:r w:rsidR="00582C15" w:rsidRPr="00E21F3F">
        <w:t xml:space="preserve"> s </w:t>
      </w:r>
      <w:r w:rsidRPr="00E21F3F">
        <w:t>Vyúčtováním, obsahují-li informace požadované</w:t>
      </w:r>
      <w:r w:rsidR="00582C15" w:rsidRPr="00E21F3F">
        <w:t xml:space="preserve"> v </w:t>
      </w:r>
      <w:r w:rsidRPr="00E21F3F">
        <w:t>písm. a) až c) tohoto odstavce 1.1.4.15.</w:t>
      </w:r>
    </w:p>
    <w:p w14:paraId="04CFD8E4" w14:textId="30760786" w:rsidR="005F74DD" w:rsidRPr="00A7196E" w:rsidRDefault="005F74DD" w:rsidP="005F74DD">
      <w:pPr>
        <w:pStyle w:val="Text1-1"/>
        <w:numPr>
          <w:ilvl w:val="0"/>
          <w:numId w:val="0"/>
        </w:numPr>
        <w:ind w:hanging="28"/>
      </w:pPr>
      <w:r w:rsidRPr="00A7196E">
        <w:t>Z důvodu centralizace podatelen</w:t>
      </w:r>
      <w:r w:rsidR="00F3058C" w:rsidRPr="00A7196E">
        <w:t xml:space="preserve"> Objednatele</w:t>
      </w:r>
      <w:r w:rsidRPr="00A7196E">
        <w:t xml:space="preserve"> k 1. 7. 2021 bude Zhotovitel s účinností od uvedeného data</w:t>
      </w:r>
      <w:r w:rsidR="008406F7" w:rsidRPr="00A7196E">
        <w:t xml:space="preserve"> Faktury vystavené v souladu s</w:t>
      </w:r>
      <w:r w:rsidR="00F3058C" w:rsidRPr="00A7196E">
        <w:t> </w:t>
      </w:r>
      <w:r w:rsidR="008406F7" w:rsidRPr="00A7196E">
        <w:t>článkem</w:t>
      </w:r>
      <w:r w:rsidR="00F3058C" w:rsidRPr="00A7196E">
        <w:t xml:space="preserve"> 14 </w:t>
      </w:r>
      <w:r w:rsidR="008406F7" w:rsidRPr="00A7196E">
        <w:t>doručovat</w:t>
      </w:r>
      <w:r w:rsidR="00F3058C" w:rsidRPr="00A7196E">
        <w:t xml:space="preserve"> </w:t>
      </w:r>
      <w:r w:rsidRPr="00A7196E">
        <w:t xml:space="preserve">některým </w:t>
      </w:r>
      <w:r w:rsidR="00F3215F" w:rsidRPr="00A7196E">
        <w:t xml:space="preserve">(jedním) </w:t>
      </w:r>
      <w:r w:rsidRPr="00A7196E">
        <w:t>z níže uvedených způsobů:</w:t>
      </w:r>
    </w:p>
    <w:p w14:paraId="34C048F8" w14:textId="77777777" w:rsidR="005F74DD" w:rsidRPr="001F3E94" w:rsidRDefault="005F74DD" w:rsidP="005F74DD">
      <w:pPr>
        <w:pStyle w:val="Text1-1"/>
        <w:numPr>
          <w:ilvl w:val="0"/>
          <w:numId w:val="0"/>
        </w:numPr>
        <w:ind w:left="1276" w:hanging="283"/>
      </w:pPr>
      <w:r w:rsidRPr="00A7196E">
        <w:t>•</w:t>
      </w:r>
      <w:r w:rsidRPr="00A7196E">
        <w:tab/>
        <w:t xml:space="preserve">v listinné podobě na adresu Správa železnic, státní organizace, Centrální finanční účtárna Čechy, Náměstí Jana </w:t>
      </w:r>
      <w:proofErr w:type="spellStart"/>
      <w:r w:rsidRPr="00A7196E">
        <w:t>Pernera</w:t>
      </w:r>
      <w:proofErr w:type="spellEnd"/>
      <w:r w:rsidRPr="00A7196E">
        <w:t xml:space="preserve"> 217, 530 02 </w:t>
      </w:r>
      <w:r w:rsidRPr="001F3E94">
        <w:t>Pardubice, nebo</w:t>
      </w:r>
    </w:p>
    <w:p w14:paraId="4FBC1707" w14:textId="77777777" w:rsidR="005F74DD" w:rsidRPr="001F3E94" w:rsidRDefault="005F74DD" w:rsidP="005F74DD">
      <w:pPr>
        <w:pStyle w:val="Text1-1"/>
        <w:numPr>
          <w:ilvl w:val="0"/>
          <w:numId w:val="0"/>
        </w:numPr>
        <w:ind w:left="1276" w:hanging="283"/>
      </w:pPr>
      <w:r w:rsidRPr="001F3E94">
        <w:t>•</w:t>
      </w:r>
      <w:r w:rsidRPr="001F3E94">
        <w:tab/>
        <w:t xml:space="preserve">v elektronické podobě na e-mailovou adresu: </w:t>
      </w:r>
      <w:hyperlink r:id="rId12" w:history="1">
        <w:r w:rsidRPr="001F3E94">
          <w:t>ePodatelnaCFU@spravazeleznic.cz</w:t>
        </w:r>
      </w:hyperlink>
      <w:r w:rsidRPr="001F3E94">
        <w:t>, nebo</w:t>
      </w:r>
    </w:p>
    <w:p w14:paraId="7DCC4593" w14:textId="77777777" w:rsidR="005F74DD" w:rsidRPr="001F3E94" w:rsidRDefault="005F74DD" w:rsidP="005F74DD">
      <w:pPr>
        <w:pStyle w:val="Text1-1"/>
        <w:numPr>
          <w:ilvl w:val="0"/>
          <w:numId w:val="0"/>
        </w:numPr>
        <w:ind w:left="1276" w:hanging="283"/>
      </w:pPr>
      <w:r w:rsidRPr="001F3E94">
        <w:t>•</w:t>
      </w:r>
      <w:r w:rsidRPr="001F3E94">
        <w:tab/>
        <w:t xml:space="preserve">datovou zprávou na identifikátor datové schránky: </w:t>
      </w:r>
      <w:proofErr w:type="spellStart"/>
      <w:r w:rsidRPr="001F3E94">
        <w:t>uccchjm</w:t>
      </w:r>
      <w:proofErr w:type="spellEnd"/>
      <w:r w:rsidRPr="001F3E94">
        <w:t>.</w:t>
      </w:r>
    </w:p>
    <w:p w14:paraId="030F9C58" w14:textId="77777777" w:rsidR="00B01A2A" w:rsidRPr="00B01A2A" w:rsidRDefault="00B01A2A" w:rsidP="00B01A2A">
      <w:pPr>
        <w:pStyle w:val="Text2-1"/>
        <w:numPr>
          <w:ilvl w:val="0"/>
          <w:numId w:val="0"/>
        </w:numPr>
      </w:pPr>
    </w:p>
    <w:p w14:paraId="76521FB1" w14:textId="7E0C1631" w:rsidR="00C96E7C" w:rsidRPr="00EB6216" w:rsidRDefault="00C96E7C" w:rsidP="005B7883">
      <w:pPr>
        <w:pStyle w:val="Nadpisbezsl1-2"/>
        <w:rPr>
          <w:color w:val="00B050"/>
        </w:rPr>
      </w:pPr>
      <w:proofErr w:type="gramStart"/>
      <w:r>
        <w:t>1.1.5.6  Definice</w:t>
      </w:r>
      <w:proofErr w:type="gramEnd"/>
      <w:r>
        <w:t xml:space="preserve"> sekcí </w:t>
      </w:r>
    </w:p>
    <w:p w14:paraId="4E5EAE80" w14:textId="77777777" w:rsidR="00C96E7C" w:rsidRDefault="00C96E7C" w:rsidP="00C732F0">
      <w:pPr>
        <w:pStyle w:val="Bezmezer"/>
        <w:jc w:val="both"/>
      </w:pPr>
    </w:p>
    <w:p w14:paraId="2159496E" w14:textId="77777777" w:rsidR="00C96E7C" w:rsidRPr="00AA7F27" w:rsidRDefault="00C96E7C" w:rsidP="00C732F0">
      <w:pPr>
        <w:pStyle w:val="Nadpistabulky"/>
        <w:jc w:val="both"/>
        <w:rPr>
          <w:sz w:val="18"/>
          <w:szCs w:val="18"/>
        </w:rPr>
      </w:pPr>
      <w:r w:rsidRPr="00AA7F27">
        <w:rPr>
          <w:sz w:val="18"/>
          <w:szCs w:val="18"/>
        </w:rPr>
        <w:t xml:space="preserve">Specifikace jednotlivých Sekcí: </w:t>
      </w:r>
    </w:p>
    <w:tbl>
      <w:tblPr>
        <w:tblStyle w:val="Tabulka10"/>
        <w:tblW w:w="8868" w:type="dxa"/>
        <w:tblLook w:val="04E0" w:firstRow="1" w:lastRow="1" w:firstColumn="1" w:lastColumn="0" w:noHBand="0" w:noVBand="1"/>
      </w:tblPr>
      <w:tblGrid>
        <w:gridCol w:w="2947"/>
        <w:gridCol w:w="5921"/>
      </w:tblGrid>
      <w:tr w:rsidR="00E41EEA" w:rsidRPr="005D168C" w14:paraId="1372C963" w14:textId="77777777" w:rsidTr="008F4A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7962CE22" w14:textId="77777777" w:rsidR="00E41EEA" w:rsidRPr="00D828B2" w:rsidRDefault="00E41EEA" w:rsidP="005D168C">
            <w:pPr>
              <w:pStyle w:val="Tabulka"/>
              <w:rPr>
                <w:b/>
              </w:rPr>
            </w:pPr>
            <w:r w:rsidRPr="00D828B2">
              <w:rPr>
                <w:b/>
              </w:rPr>
              <w:t>Popis</w:t>
            </w:r>
          </w:p>
        </w:tc>
        <w:tc>
          <w:tcPr>
            <w:tcW w:w="5921" w:type="dxa"/>
          </w:tcPr>
          <w:p w14:paraId="5E8AF200" w14:textId="77777777" w:rsidR="00E41EEA" w:rsidRPr="00D828B2"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D828B2">
              <w:rPr>
                <w:b/>
              </w:rPr>
              <w:t>Doba pro dokončení</w:t>
            </w:r>
          </w:p>
        </w:tc>
      </w:tr>
      <w:tr w:rsidR="005F74DD" w14:paraId="280EC3D5" w14:textId="77777777" w:rsidTr="008F4A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713D663D" w14:textId="77777777" w:rsidR="005F74DD" w:rsidRPr="001404BA" w:rsidRDefault="005F74DD" w:rsidP="005F74DD">
            <w:pPr>
              <w:pStyle w:val="Tabulka"/>
              <w:rPr>
                <w:b/>
              </w:rPr>
            </w:pPr>
            <w:r w:rsidRPr="001404BA">
              <w:rPr>
                <w:b/>
              </w:rPr>
              <w:t>Sekce 1 stavební</w:t>
            </w:r>
          </w:p>
          <w:p w14:paraId="69731987" w14:textId="2AB68B3A" w:rsidR="00176D4F" w:rsidRPr="00F11025" w:rsidRDefault="00176D4F" w:rsidP="00176D4F">
            <w:pPr>
              <w:pStyle w:val="Tabulka-9"/>
            </w:pPr>
            <w:r>
              <w:t>Z</w:t>
            </w:r>
            <w:r w:rsidRPr="00F11025">
              <w:t>ahrnující všechny SO a PS a</w:t>
            </w:r>
            <w:r>
              <w:t> </w:t>
            </w:r>
            <w:r w:rsidRPr="00F11025">
              <w:t xml:space="preserve">SO 98-98 Všeobecný objekt zahrnující položky č. </w:t>
            </w:r>
            <w:r>
              <w:t>4, 7, 8, 9, 10</w:t>
            </w:r>
          </w:p>
          <w:p w14:paraId="77D963AB" w14:textId="39AA56AE" w:rsidR="005F74DD" w:rsidRPr="003259C2" w:rsidRDefault="00176D4F" w:rsidP="00176D4F">
            <w:pPr>
              <w:pStyle w:val="Tabulka"/>
              <w:rPr>
                <w:b/>
              </w:rPr>
            </w:pPr>
            <w:r>
              <w:t>V</w:t>
            </w:r>
            <w:r w:rsidRPr="00F11025">
              <w:t>yjma směrové a výškové úpravy koleje</w:t>
            </w:r>
            <w:r>
              <w:t xml:space="preserve"> (viz Sekce 2)</w:t>
            </w:r>
          </w:p>
        </w:tc>
        <w:tc>
          <w:tcPr>
            <w:tcW w:w="5921" w:type="dxa"/>
            <w:tcBorders>
              <w:bottom w:val="single" w:sz="2" w:space="0" w:color="auto"/>
            </w:tcBorders>
          </w:tcPr>
          <w:p w14:paraId="69D1935A" w14:textId="45307C3A" w:rsidR="005F74DD" w:rsidRPr="003259C2" w:rsidRDefault="005F74DD" w:rsidP="00A7196E">
            <w:pPr>
              <w:pStyle w:val="Tabulka"/>
              <w:cnfStyle w:val="000000000000" w:firstRow="0" w:lastRow="0" w:firstColumn="0" w:lastColumn="0" w:oddVBand="0" w:evenVBand="0" w:oddHBand="0" w:evenHBand="0" w:firstRowFirstColumn="0" w:firstRowLastColumn="0" w:lastRowFirstColumn="0" w:lastRowLastColumn="0"/>
              <w:rPr>
                <w:b/>
              </w:rPr>
            </w:pPr>
            <w:r w:rsidRPr="001404BA">
              <w:rPr>
                <w:b/>
              </w:rPr>
              <w:t>2</w:t>
            </w:r>
            <w:r w:rsidR="00A7196E">
              <w:rPr>
                <w:b/>
              </w:rPr>
              <w:t>6</w:t>
            </w:r>
            <w:r w:rsidRPr="001404BA">
              <w:rPr>
                <w:b/>
              </w:rPr>
              <w:t xml:space="preserve"> měsíců</w:t>
            </w:r>
            <w:r w:rsidR="00176D4F">
              <w:t xml:space="preserve"> od D</w:t>
            </w:r>
            <w:r>
              <w:t>ata zahájení prací</w:t>
            </w:r>
          </w:p>
        </w:tc>
      </w:tr>
      <w:tr w:rsidR="005F74DD" w14:paraId="5B7F484F" w14:textId="77777777" w:rsidTr="005F74DD">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bottom w:val="single" w:sz="2" w:space="0" w:color="auto"/>
            </w:tcBorders>
            <w:shd w:val="clear" w:color="auto" w:fill="auto"/>
          </w:tcPr>
          <w:p w14:paraId="5150FB8E" w14:textId="77777777" w:rsidR="005F74DD" w:rsidRPr="001404BA" w:rsidRDefault="005F74DD" w:rsidP="005F74DD">
            <w:pPr>
              <w:pStyle w:val="Tabulka"/>
              <w:rPr>
                <w:b/>
              </w:rPr>
            </w:pPr>
            <w:r w:rsidRPr="001404BA">
              <w:rPr>
                <w:b/>
              </w:rPr>
              <w:t>Sekce 2</w:t>
            </w:r>
          </w:p>
          <w:p w14:paraId="597B7794" w14:textId="14D69E9D" w:rsidR="005F74DD" w:rsidRPr="003259C2" w:rsidRDefault="005F74DD" w:rsidP="008D13CD">
            <w:pPr>
              <w:pStyle w:val="Tabulka"/>
            </w:pPr>
            <w:r w:rsidRPr="0097629C">
              <w:t xml:space="preserve">Zahrnující </w:t>
            </w:r>
            <w:r>
              <w:t>následnou směrovou a výškovou úpravu koleje</w:t>
            </w:r>
            <w:r w:rsidRPr="0097629C">
              <w:t xml:space="preserve"> </w:t>
            </w:r>
          </w:p>
        </w:tc>
        <w:tc>
          <w:tcPr>
            <w:tcW w:w="5921" w:type="dxa"/>
            <w:tcBorders>
              <w:top w:val="single" w:sz="2" w:space="0" w:color="auto"/>
              <w:bottom w:val="single" w:sz="2" w:space="0" w:color="auto"/>
            </w:tcBorders>
            <w:shd w:val="clear" w:color="auto" w:fill="auto"/>
          </w:tcPr>
          <w:p w14:paraId="021F3AA0" w14:textId="0BC1BCFE" w:rsidR="005F74DD" w:rsidRDefault="005F74DD" w:rsidP="005F74DD">
            <w:pPr>
              <w:pStyle w:val="Tabulka"/>
              <w:cnfStyle w:val="000000000000" w:firstRow="0" w:lastRow="0" w:firstColumn="0" w:lastColumn="0" w:oddVBand="0" w:evenVBand="0" w:oddHBand="0" w:evenHBand="0" w:firstRowFirstColumn="0" w:firstRowLastColumn="0" w:lastRowFirstColumn="0" w:lastRowLastColumn="0"/>
            </w:pPr>
            <w:r>
              <w:t xml:space="preserve">Do </w:t>
            </w:r>
            <w:r w:rsidRPr="001404BA">
              <w:rPr>
                <w:b/>
              </w:rPr>
              <w:t>6 měsíců</w:t>
            </w:r>
            <w:r w:rsidR="00500145">
              <w:t xml:space="preserve"> ode dne vydání P</w:t>
            </w:r>
            <w:r>
              <w:t xml:space="preserve">otvrzení </w:t>
            </w:r>
            <w:r w:rsidR="00806293">
              <w:t>o převzetí</w:t>
            </w:r>
          </w:p>
          <w:p w14:paraId="70A74141" w14:textId="0318C5E6" w:rsidR="005F74DD" w:rsidRPr="003259C2" w:rsidRDefault="005F74DD" w:rsidP="005F74DD">
            <w:pPr>
              <w:pStyle w:val="Tabulka"/>
              <w:cnfStyle w:val="000000000000" w:firstRow="0" w:lastRow="0" w:firstColumn="0" w:lastColumn="0" w:oddVBand="0" w:evenVBand="0" w:oddHBand="0" w:evenHBand="0" w:firstRowFirstColumn="0" w:firstRowLastColumn="0" w:lastRowFirstColumn="0" w:lastRowLastColumn="0"/>
            </w:pPr>
            <w:r>
              <w:t>Sekce 1 stavební</w:t>
            </w:r>
          </w:p>
        </w:tc>
      </w:tr>
      <w:tr w:rsidR="005F74DD" w14:paraId="7D6E3D6D" w14:textId="77777777" w:rsidTr="008F4A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auto"/>
          </w:tcPr>
          <w:p w14:paraId="686CBDC1" w14:textId="77777777" w:rsidR="005F74DD" w:rsidRDefault="005F74DD" w:rsidP="005F74DD">
            <w:pPr>
              <w:pStyle w:val="Tabulka"/>
            </w:pPr>
            <w:r>
              <w:t>Sekce 3</w:t>
            </w:r>
            <w:r w:rsidRPr="0097629C">
              <w:t xml:space="preserve"> </w:t>
            </w:r>
          </w:p>
          <w:p w14:paraId="6A442139" w14:textId="5071B224" w:rsidR="005F74DD" w:rsidRPr="003259C2" w:rsidRDefault="00500145" w:rsidP="005F74DD">
            <w:pPr>
              <w:pStyle w:val="Tabulka"/>
              <w:rPr>
                <w:highlight w:val="green"/>
              </w:rPr>
            </w:pPr>
            <w:r w:rsidRPr="00500145">
              <w:rPr>
                <w:b w:val="0"/>
              </w:rPr>
              <w:t>Zahrnující SO 98-98 Všeobecný objekt, pol. č. 1,</w:t>
            </w:r>
            <w:r>
              <w:rPr>
                <w:b w:val="0"/>
              </w:rPr>
              <w:t xml:space="preserve"> </w:t>
            </w:r>
            <w:r w:rsidRPr="00500145">
              <w:rPr>
                <w:b w:val="0"/>
              </w:rPr>
              <w:t>2,</w:t>
            </w:r>
            <w:r>
              <w:rPr>
                <w:b w:val="0"/>
              </w:rPr>
              <w:t xml:space="preserve"> </w:t>
            </w:r>
            <w:r w:rsidRPr="00500145">
              <w:rPr>
                <w:b w:val="0"/>
              </w:rPr>
              <w:t>3,</w:t>
            </w:r>
            <w:r>
              <w:rPr>
                <w:b w:val="0"/>
              </w:rPr>
              <w:t xml:space="preserve"> </w:t>
            </w:r>
            <w:r w:rsidRPr="00500145">
              <w:rPr>
                <w:b w:val="0"/>
              </w:rPr>
              <w:t>5,</w:t>
            </w:r>
            <w:r>
              <w:rPr>
                <w:b w:val="0"/>
              </w:rPr>
              <w:t xml:space="preserve"> </w:t>
            </w:r>
            <w:r w:rsidRPr="00500145">
              <w:rPr>
                <w:b w:val="0"/>
              </w:rPr>
              <w:t>6</w:t>
            </w:r>
          </w:p>
        </w:tc>
        <w:tc>
          <w:tcPr>
            <w:tcW w:w="5921" w:type="dxa"/>
            <w:tcBorders>
              <w:top w:val="single" w:sz="2" w:space="0" w:color="auto"/>
            </w:tcBorders>
            <w:shd w:val="clear" w:color="auto" w:fill="auto"/>
          </w:tcPr>
          <w:p w14:paraId="77C3E4EE" w14:textId="759472A7" w:rsidR="005F74DD" w:rsidRPr="001404BA" w:rsidRDefault="005F74DD" w:rsidP="005F74DD">
            <w:pPr>
              <w:pStyle w:val="Tabulka"/>
              <w:cnfStyle w:val="010000000000" w:firstRow="0" w:lastRow="1" w:firstColumn="0" w:lastColumn="0" w:oddVBand="0" w:evenVBand="0" w:oddHBand="0" w:evenHBand="0" w:firstRowFirstColumn="0" w:firstRowLastColumn="0" w:lastRowFirstColumn="0" w:lastRowLastColumn="0"/>
              <w:rPr>
                <w:b w:val="0"/>
              </w:rPr>
            </w:pPr>
            <w:r w:rsidRPr="001404BA">
              <w:rPr>
                <w:b w:val="0"/>
              </w:rPr>
              <w:t xml:space="preserve">Do </w:t>
            </w:r>
            <w:r>
              <w:t>9</w:t>
            </w:r>
            <w:r w:rsidRPr="001404BA">
              <w:t xml:space="preserve"> měsíců</w:t>
            </w:r>
            <w:r w:rsidR="00500145">
              <w:rPr>
                <w:b w:val="0"/>
              </w:rPr>
              <w:t xml:space="preserve"> ode dne vydání P</w:t>
            </w:r>
            <w:r w:rsidRPr="001404BA">
              <w:rPr>
                <w:b w:val="0"/>
              </w:rPr>
              <w:t xml:space="preserve">otvrzení </w:t>
            </w:r>
            <w:r w:rsidR="00806293">
              <w:rPr>
                <w:b w:val="0"/>
              </w:rPr>
              <w:t>o převzetí</w:t>
            </w:r>
          </w:p>
          <w:p w14:paraId="52BB7B19" w14:textId="31326843" w:rsidR="005F74DD" w:rsidRPr="003259C2" w:rsidRDefault="005F74DD" w:rsidP="005F74DD">
            <w:pPr>
              <w:pStyle w:val="Tabulka"/>
              <w:cnfStyle w:val="010000000000" w:firstRow="0" w:lastRow="1" w:firstColumn="0" w:lastColumn="0" w:oddVBand="0" w:evenVBand="0" w:oddHBand="0" w:evenHBand="0" w:firstRowFirstColumn="0" w:firstRowLastColumn="0" w:lastRowFirstColumn="0" w:lastRowLastColumn="0"/>
              <w:rPr>
                <w:highlight w:val="green"/>
              </w:rPr>
            </w:pPr>
            <w:r w:rsidRPr="001404BA">
              <w:rPr>
                <w:b w:val="0"/>
              </w:rPr>
              <w:t>Sekce 1 stavební</w:t>
            </w: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proofErr w:type="gramStart"/>
      <w:r>
        <w:t>1.3  Elektronické</w:t>
      </w:r>
      <w:proofErr w:type="gramEnd"/>
      <w:r>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lastRenderedPageBreak/>
        <w:t xml:space="preserve">1.4  </w:t>
      </w:r>
      <w:r w:rsidR="005D168C">
        <w:tab/>
      </w:r>
      <w:r>
        <w:t>Komunikační jazyk</w:t>
      </w:r>
    </w:p>
    <w:p w14:paraId="6CE27B4C" w14:textId="1C0849A4" w:rsidR="00C96E7C" w:rsidRDefault="00C96E7C" w:rsidP="005D168C">
      <w:pPr>
        <w:pStyle w:val="Textbezodsazen"/>
      </w:pPr>
      <w:r>
        <w:t>Komunikačním jazykem je český jazyk.</w:t>
      </w:r>
    </w:p>
    <w:p w14:paraId="510B5551" w14:textId="77777777" w:rsidR="00CF5E49" w:rsidRPr="00A10EEB" w:rsidRDefault="00CF5E49" w:rsidP="00CF5E49">
      <w:pPr>
        <w:spacing w:after="120" w:line="264" w:lineRule="auto"/>
        <w:jc w:val="both"/>
        <w:rPr>
          <w:rFonts w:asciiTheme="minorHAnsi" w:hAnsiTheme="minorHAnsi"/>
          <w:b/>
        </w:rPr>
      </w:pPr>
      <w:proofErr w:type="gramStart"/>
      <w:r w:rsidRPr="00A10EEB">
        <w:rPr>
          <w:rFonts w:asciiTheme="minorHAnsi" w:hAnsiTheme="minorHAnsi"/>
          <w:b/>
        </w:rPr>
        <w:t>1.7       Postoupení</w:t>
      </w:r>
      <w:proofErr w:type="gramEnd"/>
    </w:p>
    <w:p w14:paraId="3AD4D952" w14:textId="6BDB9D05" w:rsidR="00CF5E49" w:rsidRPr="00257B54" w:rsidRDefault="00CF5E49" w:rsidP="00CF5E49">
      <w:pPr>
        <w:spacing w:after="120" w:line="264" w:lineRule="auto"/>
        <w:jc w:val="both"/>
        <w:rPr>
          <w:rFonts w:asciiTheme="minorHAnsi" w:hAnsiTheme="minorHAnsi"/>
          <w:i/>
          <w:sz w:val="18"/>
          <w:szCs w:val="18"/>
        </w:rPr>
      </w:pPr>
      <w:r w:rsidRPr="00257B54">
        <w:rPr>
          <w:rFonts w:asciiTheme="minorHAnsi" w:hAnsiTheme="minorHAnsi"/>
          <w:i/>
          <w:sz w:val="18"/>
          <w:szCs w:val="18"/>
        </w:rPr>
        <w:t>Doplňuje se druhý odstavec, současný druhý odstavec se stává třetím.</w:t>
      </w:r>
    </w:p>
    <w:p w14:paraId="04FDCD8E" w14:textId="7DA0986E" w:rsidR="00726A41" w:rsidRPr="00CF5E49" w:rsidRDefault="00CF5E49" w:rsidP="00CF5E49">
      <w:pPr>
        <w:spacing w:after="240" w:line="264" w:lineRule="auto"/>
        <w:jc w:val="both"/>
        <w:rPr>
          <w:rFonts w:asciiTheme="minorHAnsi" w:hAnsiTheme="minorHAnsi"/>
          <w:sz w:val="18"/>
          <w:szCs w:val="18"/>
        </w:rPr>
      </w:pPr>
      <w:r w:rsidRPr="00257B54">
        <w:rPr>
          <w:rFonts w:asciiTheme="minorHAnsi" w:hAnsiTheme="minorHAnsi"/>
          <w:sz w:val="18"/>
          <w:szCs w:val="18"/>
        </w:rPr>
        <w:t>Pokud dojde v souladu se zákonem č.134/2016 Sb., o zadávání veřejných zakázek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Správce stavby o přerušení prací dle Pod-článku 8.8 [</w:t>
      </w:r>
      <w:r w:rsidRPr="00257B54">
        <w:rPr>
          <w:rFonts w:asciiTheme="minorHAnsi" w:hAnsiTheme="minorHAnsi"/>
          <w:i/>
          <w:sz w:val="18"/>
          <w:szCs w:val="18"/>
        </w:rPr>
        <w:t>Přerušení práce</w:t>
      </w:r>
      <w:r w:rsidRPr="00257B54">
        <w:rPr>
          <w:rFonts w:asciiTheme="minorHAnsi" w:hAnsiTheme="minorHAnsi"/>
          <w:sz w:val="18"/>
          <w:szCs w:val="18"/>
        </w:rPr>
        <w:t>] z důvodů na straně Zhotovitele.</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t xml:space="preserve">Vedoucí zhotovitel musí své zmocnění prokázat doložením příslušného zmocnění, které tvoří Přílohu </w:t>
      </w:r>
      <w:r w:rsidRPr="00A7196E">
        <w:t xml:space="preserve">č. </w:t>
      </w:r>
      <w:r w:rsidR="00AA227A" w:rsidRPr="00A7196E">
        <w:t xml:space="preserve">7 </w:t>
      </w:r>
      <w:r w:rsidRPr="00A7196E">
        <w:t>Smlouvy</w:t>
      </w:r>
      <w:r w:rsidR="00582C15" w:rsidRPr="00A7196E">
        <w:t xml:space="preserve"> o </w:t>
      </w:r>
      <w:r w:rsidRPr="00A7196E">
        <w:t xml:space="preserve">dílo. Zmocnění Vedoucího zhotovitele musí trvat po celou dobu trvání této Smlouvy. Změna Vedoucího zhotovitele musí být oznámena Správci stavby spolu se sdělením souhlasu ostatních Zhotovitelů. </w:t>
      </w:r>
      <w:r>
        <w:t>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3CD10132" w14:textId="77777777" w:rsidR="00852020" w:rsidRPr="003124C5" w:rsidRDefault="00852020" w:rsidP="00852020">
      <w:pPr>
        <w:pStyle w:val="Textbezodsazen"/>
        <w:rPr>
          <w:rFonts w:asciiTheme="minorHAnsi" w:hAnsiTheme="minorHAnsi"/>
        </w:rPr>
      </w:pPr>
      <w:r w:rsidRPr="003124C5">
        <w:rPr>
          <w:rFonts w:asciiTheme="minorHAnsi" w:hAnsiTheme="minorHAnsi"/>
        </w:rPr>
        <w:t>Zhotovitel se zavazuje:</w:t>
      </w:r>
    </w:p>
    <w:p w14:paraId="13F63947" w14:textId="34DC94C0" w:rsidR="00852020" w:rsidRPr="00CA54A1" w:rsidRDefault="00852020" w:rsidP="00852020">
      <w:pPr>
        <w:pStyle w:val="Textbezodsazen"/>
      </w:pPr>
      <w:proofErr w:type="gramStart"/>
      <w:r w:rsidRPr="00CA54A1">
        <w:t>Ustanovení   (a), (1) a (3) pod-článku</w:t>
      </w:r>
      <w:proofErr w:type="gramEnd"/>
      <w:r w:rsidRPr="00CA54A1">
        <w:t xml:space="preserve"> 1.15 se nepoužijí.</w:t>
      </w:r>
    </w:p>
    <w:p w14:paraId="68000BBE" w14:textId="77777777" w:rsidR="00852020" w:rsidRPr="00CA54A1" w:rsidRDefault="00852020" w:rsidP="00852020">
      <w:pPr>
        <w:pStyle w:val="Textbezodsazen"/>
      </w:pPr>
      <w:r w:rsidRPr="00CA54A1">
        <w:t>Podrobnosti a požadavky k </w:t>
      </w:r>
      <w:proofErr w:type="gramStart"/>
      <w:r w:rsidRPr="00CA54A1">
        <w:t>ustanovení  (2) pod</w:t>
      </w:r>
      <w:proofErr w:type="gramEnd"/>
      <w:r w:rsidRPr="00CA54A1">
        <w:t xml:space="preserve"> článku 1.15:</w:t>
      </w:r>
    </w:p>
    <w:p w14:paraId="64CF65A4" w14:textId="77777777" w:rsidR="00852020" w:rsidRPr="00CA54A1" w:rsidRDefault="00852020" w:rsidP="00852020">
      <w:pPr>
        <w:pStyle w:val="Odstavec1-2i"/>
        <w:numPr>
          <w:ilvl w:val="1"/>
          <w:numId w:val="27"/>
        </w:numPr>
      </w:pPr>
      <w:r w:rsidRPr="00CA54A1">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37B3AD2" w14:textId="77777777" w:rsidR="00852020" w:rsidRPr="00CA54A1" w:rsidRDefault="00852020" w:rsidP="00852020">
      <w:pPr>
        <w:pStyle w:val="Odstavec1-2i"/>
        <w:numPr>
          <w:ilvl w:val="1"/>
          <w:numId w:val="27"/>
        </w:numPr>
      </w:pPr>
      <w:r w:rsidRPr="00CA54A1">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66A05C7" w14:textId="1C750CD7" w:rsidR="00953532" w:rsidRPr="00852020" w:rsidRDefault="00852020" w:rsidP="00852020">
      <w:pPr>
        <w:pStyle w:val="Odstavec1-2i"/>
        <w:numPr>
          <w:ilvl w:val="1"/>
          <w:numId w:val="27"/>
        </w:numPr>
      </w:pPr>
      <w:r w:rsidRPr="00CA54A1">
        <w:t>Zhotovitel se zavazuje provést účastníky exkurze po dotčených místech dle podmínek a</w:t>
      </w:r>
      <w:r>
        <w:t xml:space="preserve"> </w:t>
      </w:r>
      <w:r w:rsidRPr="00CA54A1">
        <w:t>omezení stanovených BOZP a poskytnout účastníkům exkurze odborný výklad k aktuálně prováděným činnostem.</w:t>
      </w:r>
    </w:p>
    <w:p w14:paraId="5C6CA4EB" w14:textId="5A451FBB" w:rsidR="00C96E7C" w:rsidRDefault="00C96E7C" w:rsidP="005B7883">
      <w:pPr>
        <w:pStyle w:val="Nadpisbezsl1-2"/>
      </w:pPr>
      <w:r>
        <w:t>2.1 Právo přístupu na staveniště</w:t>
      </w:r>
    </w:p>
    <w:p w14:paraId="4EFFAE80" w14:textId="175123B8" w:rsidR="00C96E7C" w:rsidRDefault="00C96E7C" w:rsidP="005D168C">
      <w:pPr>
        <w:pStyle w:val="Textbezodsazen"/>
      </w:pPr>
      <w:r>
        <w:t xml:space="preserve">Přístup na Staveniště bude Zhotoviteli umožněn od </w:t>
      </w:r>
      <w:r w:rsidR="00855807">
        <w:t>11/2021</w:t>
      </w:r>
      <w:r w:rsidR="00CF5E49">
        <w:t xml:space="preserve"> (předpoklad)</w:t>
      </w:r>
      <w:r>
        <w:t xml:space="preserve"> do dne předání Dokumentů souvisejících</w:t>
      </w:r>
      <w:r w:rsidR="00582C15">
        <w:t xml:space="preserve"> s </w:t>
      </w:r>
      <w:r>
        <w:t xml:space="preserve">předáním Díla dle pod-článku 7.9. </w:t>
      </w:r>
    </w:p>
    <w:p w14:paraId="41D64A41" w14:textId="385A0752" w:rsidR="00C96E7C" w:rsidRDefault="00C96E7C" w:rsidP="005B7883">
      <w:pPr>
        <w:pStyle w:val="Nadpisbezsl1-2"/>
      </w:pPr>
      <w:r>
        <w:lastRenderedPageBreak/>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23BEF665" w14:textId="77777777" w:rsidR="003E1437" w:rsidRPr="003C2001" w:rsidRDefault="003E1437" w:rsidP="003E1437">
      <w:pPr>
        <w:pStyle w:val="Textbezodsazen"/>
        <w:numPr>
          <w:ilvl w:val="0"/>
          <w:numId w:val="49"/>
        </w:numPr>
      </w:pPr>
      <w:r w:rsidRPr="003C2001">
        <w:t xml:space="preserve">Mgr. Markéta Volfová, telefon: +420 725 915 943, e-mail: </w:t>
      </w:r>
      <w:hyperlink r:id="rId13" w:history="1">
        <w:r w:rsidRPr="00DE3D3E">
          <w:rPr>
            <w:rStyle w:val="Hypertextovodkaz"/>
            <w:noProof w:val="0"/>
          </w:rPr>
          <w:t>Volfova@ spravazeleznic.cz</w:t>
        </w:r>
        <w:r w:rsidRPr="003C2001">
          <w:t xml:space="preserve"> </w:t>
        </w:r>
      </w:hyperlink>
    </w:p>
    <w:p w14:paraId="6FFF34C4" w14:textId="77777777" w:rsidR="003E1437" w:rsidRPr="003C2001" w:rsidRDefault="003E1437" w:rsidP="003E1437">
      <w:pPr>
        <w:pStyle w:val="Textbezodsazen"/>
        <w:rPr>
          <w:rFonts w:asciiTheme="minorHAnsi" w:hAnsiTheme="minorHAnsi"/>
          <w:bCs/>
          <w:szCs w:val="22"/>
        </w:rPr>
      </w:pPr>
      <w:r w:rsidRPr="003C2001">
        <w:rPr>
          <w:rFonts w:asciiTheme="minorHAnsi" w:hAnsiTheme="minorHAnsi"/>
          <w:bCs/>
          <w:szCs w:val="22"/>
        </w:rPr>
        <w:t>Ve věcech technických (hlavní inženýr stavby):</w:t>
      </w:r>
    </w:p>
    <w:p w14:paraId="2C982643" w14:textId="13DFE551" w:rsidR="003E1437" w:rsidRPr="003C2001" w:rsidRDefault="003E1437" w:rsidP="003E1437">
      <w:pPr>
        <w:pStyle w:val="Textbezodsazen"/>
        <w:numPr>
          <w:ilvl w:val="0"/>
          <w:numId w:val="49"/>
        </w:numPr>
      </w:pPr>
      <w:r>
        <w:rPr>
          <w:rFonts w:eastAsia="Times New Roman" w:cs="Arial"/>
          <w:lang w:eastAsia="cs-CZ"/>
        </w:rPr>
        <w:t>Ing. Jiří Dittmer</w:t>
      </w:r>
      <w:r w:rsidRPr="003C2001">
        <w:t>, telefon: +420 </w:t>
      </w:r>
      <w:r w:rsidRPr="003E1437">
        <w:t>724 932 287</w:t>
      </w:r>
      <w:r w:rsidRPr="003C2001">
        <w:t xml:space="preserve">, e-mail: </w:t>
      </w:r>
      <w:hyperlink r:id="rId14" w:history="1">
        <w:r w:rsidR="00DE3D3E" w:rsidRPr="00F7465D">
          <w:rPr>
            <w:rStyle w:val="Hypertextovodkaz"/>
            <w:noProof w:val="0"/>
          </w:rPr>
          <w:t xml:space="preserve"> Dittmer@spravazeleznic.cz </w:t>
        </w:r>
      </w:hyperlink>
    </w:p>
    <w:p w14:paraId="640090E9" w14:textId="77777777" w:rsidR="003E1437" w:rsidRPr="003C2001" w:rsidRDefault="003E1437" w:rsidP="003E1437">
      <w:pPr>
        <w:pStyle w:val="Textbezodsazen"/>
      </w:pPr>
      <w:r w:rsidRPr="003C2001">
        <w:t>Ve věci kontroly požití alkoholu a/nebo návykových látek</w:t>
      </w:r>
    </w:p>
    <w:p w14:paraId="1D662143" w14:textId="31ED0F7D" w:rsidR="003E1437" w:rsidRPr="005D168C" w:rsidRDefault="003E1437" w:rsidP="003E1437">
      <w:pPr>
        <w:pStyle w:val="Textbezodsazen"/>
        <w:numPr>
          <w:ilvl w:val="0"/>
          <w:numId w:val="49"/>
        </w:numPr>
      </w:pPr>
      <w:r w:rsidRPr="00333BF4">
        <w:t xml:space="preserve">Jiří Wágner, tel.: +420 724 932 297, e-mail: </w:t>
      </w:r>
      <w:hyperlink r:id="rId15" w:history="1">
        <w:r w:rsidRPr="00FE708A">
          <w:rPr>
            <w:rStyle w:val="Hypertextovodkaz"/>
            <w:noProof w:val="0"/>
          </w:rPr>
          <w:t>Wagner@spravazeleznic.cz</w:t>
        </w:r>
      </w:hyperlink>
    </w:p>
    <w:p w14:paraId="2FC4176E" w14:textId="1944AF99"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411595B2" w14:textId="1199F649" w:rsidR="00CF5E49" w:rsidRPr="0020527C" w:rsidRDefault="00CF5E49" w:rsidP="00CF5E49">
      <w:pPr>
        <w:spacing w:after="240" w:line="264" w:lineRule="auto"/>
        <w:jc w:val="both"/>
        <w:rPr>
          <w:rFonts w:asciiTheme="minorHAnsi" w:hAnsiTheme="minorHAnsi"/>
          <w:sz w:val="18"/>
          <w:szCs w:val="18"/>
        </w:rPr>
      </w:pPr>
      <w:r w:rsidRPr="00B975B4">
        <w:rPr>
          <w:rFonts w:asciiTheme="minorHAnsi" w:hAnsiTheme="minorHAnsi"/>
          <w:sz w:val="18"/>
          <w:szCs w:val="18"/>
        </w:rPr>
        <w:t>V </w:t>
      </w:r>
      <w:r w:rsidRPr="0020527C">
        <w:rPr>
          <w:rFonts w:asciiTheme="minorHAnsi" w:hAnsiTheme="minorHAnsi"/>
          <w:sz w:val="18"/>
          <w:szCs w:val="18"/>
        </w:rPr>
        <w:t xml:space="preserve">případě, že dojde v souladu s Pod-článkem 1.7 ke změně v osobě Zhotovitele, musí být Objednateli do 7 dnů poté, co nastanou právní účinky změny předložena Bankovní záruka za provedení Díla vystavená pro nového Zhotovitele nebo předloženo písemné prohlášení </w:t>
      </w:r>
      <w:r w:rsidRPr="0020527C">
        <w:rPr>
          <w:sz w:val="18"/>
          <w:szCs w:val="18"/>
        </w:rPr>
        <w:t>o trvání práv z původní Bankovní záruky i ve vztahu k novému Zhotoviteli.</w:t>
      </w:r>
      <w:r w:rsidRPr="0020527C">
        <w:rPr>
          <w:rFonts w:asciiTheme="minorHAnsi" w:hAnsiTheme="minorHAnsi"/>
          <w:sz w:val="18"/>
          <w:szCs w:val="18"/>
        </w:rPr>
        <w:t xml:space="preserve"> Objednatel vrátí předchozí Bankovní záruku za provedení Díla Zhotoviteli do 21 dnů poté, co obdrží Bankovní záruku za provedení Díla vystavenou pro nového Zhotovitele.</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447A4361" w14:textId="03E0314D" w:rsidR="00CF5E49" w:rsidRPr="00A13BDF" w:rsidRDefault="00CF5E49" w:rsidP="00726A41">
      <w:pPr>
        <w:spacing w:after="240" w:line="264" w:lineRule="auto"/>
        <w:jc w:val="both"/>
        <w:rPr>
          <w:rFonts w:asciiTheme="minorHAnsi" w:hAnsiTheme="minorHAnsi"/>
          <w:sz w:val="18"/>
          <w:szCs w:val="18"/>
        </w:rPr>
      </w:pPr>
      <w:r w:rsidRPr="00A10EEB">
        <w:rPr>
          <w:rFonts w:asciiTheme="minorHAnsi" w:hAnsiTheme="minorHAnsi"/>
          <w:sz w:val="18"/>
          <w:szCs w:val="18"/>
        </w:rPr>
        <w:t>V </w:t>
      </w:r>
      <w:r w:rsidRPr="0020527C">
        <w:rPr>
          <w:rFonts w:asciiTheme="minorHAnsi" w:hAnsiTheme="minorHAnsi"/>
          <w:sz w:val="18"/>
          <w:szCs w:val="18"/>
        </w:rPr>
        <w:t xml:space="preserve">případě, že dojde v souladu s Pod-článkem 1.7 ke změně v osobě Zhotovitele, musí být Objednateli do 7 dnů poté, co nastanou právní účinky změny, předložena Bankovní záruka za odstranění vad Díla vystavená pro nového Zhotovitele nebo předloženo písemné prohlášení </w:t>
      </w:r>
      <w:r w:rsidRPr="0020527C">
        <w:rPr>
          <w:sz w:val="18"/>
          <w:szCs w:val="18"/>
        </w:rPr>
        <w:t>o trvání práv z původní Bankovní záruky i ve vztahu k novému Zhotoviteli</w:t>
      </w:r>
      <w:r w:rsidRPr="0020527C">
        <w:rPr>
          <w:rFonts w:asciiTheme="minorHAnsi" w:hAnsiTheme="minorHAnsi"/>
          <w:sz w:val="18"/>
          <w:szCs w:val="18"/>
        </w:rPr>
        <w:t>. Objednatel vrátí předchozí Bankovní záruku za odstranění vad Díla Zhotoviteli do 21 dnů poté, co obdrží Bankovní záruku za odstranění vad Díla vystavenou pro nového Zhotovitele</w:t>
      </w:r>
      <w:r w:rsidR="0020527C" w:rsidRPr="0020527C">
        <w:rPr>
          <w:rFonts w:asciiTheme="minorHAnsi" w:hAnsiTheme="minorHAnsi"/>
          <w:sz w:val="18"/>
          <w:szCs w:val="18"/>
        </w:rPr>
        <w:t>.</w:t>
      </w:r>
    </w:p>
    <w:p w14:paraId="0A326A1D" w14:textId="51F5DCAC" w:rsidR="00C96E7C" w:rsidRDefault="00C96E7C" w:rsidP="005B7883">
      <w:pPr>
        <w:pStyle w:val="Nadpisbezsl1-2"/>
      </w:pPr>
      <w:proofErr w:type="gramStart"/>
      <w:r>
        <w:t>4.3  Zástupce</w:t>
      </w:r>
      <w:proofErr w:type="gramEnd"/>
      <w:r>
        <w:t xml:space="preserv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5BC864A1" w14:textId="0E777357" w:rsidR="00094B99" w:rsidRPr="008C1A5C" w:rsidRDefault="00094B99" w:rsidP="00094B99">
      <w:pPr>
        <w:pStyle w:val="Textbezodsazen"/>
        <w:rPr>
          <w:rFonts w:eastAsia="Times New Roman" w:cs="Calibri"/>
          <w:lang w:eastAsia="cs-CZ"/>
        </w:rPr>
      </w:pPr>
      <w:r w:rsidRPr="008C1A5C">
        <w:rPr>
          <w:rFonts w:asciiTheme="minorHAnsi" w:hAnsiTheme="minorHAnsi"/>
        </w:rPr>
        <w:t xml:space="preserve">Za speciální činnosti a zařízení se považují: </w:t>
      </w:r>
      <w:r w:rsidRPr="008C1A5C">
        <w:rPr>
          <w:rFonts w:eastAsia="Times New Roman" w:cs="Calibri"/>
          <w:lang w:eastAsia="cs-CZ"/>
        </w:rPr>
        <w:t>Broušení kolejí.</w:t>
      </w:r>
    </w:p>
    <w:p w14:paraId="3F45824B" w14:textId="64BB6761" w:rsidR="00CE1DA0" w:rsidRPr="00A93557" w:rsidRDefault="00CE1DA0" w:rsidP="00CE1DA0">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lastRenderedPageBreak/>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59D4C9E3" w14:textId="2DCB51B0" w:rsidR="00C96E7C" w:rsidRPr="009C1450" w:rsidRDefault="00C96E7C" w:rsidP="005D168C">
      <w:pPr>
        <w:pStyle w:val="Nadpisbezsl1-2"/>
      </w:pPr>
      <w:r w:rsidRPr="009B641A">
        <w:t>4.</w:t>
      </w:r>
      <w:r w:rsidR="00051E97">
        <w:t xml:space="preserve">27 </w:t>
      </w:r>
      <w:r w:rsidRPr="009C1450">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lastRenderedPageBreak/>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2BA44934" w:rsidR="00617585" w:rsidRDefault="00500582" w:rsidP="00EB6216">
      <w:pPr>
        <w:pStyle w:val="Textbezodsazen"/>
      </w:pPr>
      <w:r w:rsidRPr="00500582">
        <w:t>Pro provádění Díla nejsou stanoveny žádné postupné milníky.</w:t>
      </w:r>
    </w:p>
    <w:p w14:paraId="66854CDD" w14:textId="0BDFA984"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22E2A309" w14:textId="0A5B991D" w:rsidR="00C96E7C" w:rsidRDefault="00C96E7C" w:rsidP="005D168C">
      <w:pPr>
        <w:pStyle w:val="Textbezodsazen"/>
      </w:pPr>
      <w:r>
        <w:t xml:space="preserve">Zhotovitel je povinen dokončit celé Dílo včetně příslušné dokumentace dle pod-článku 7.9 </w:t>
      </w:r>
      <w:r w:rsidR="00837F5C">
        <w:br/>
      </w:r>
      <w:bookmarkStart w:id="0" w:name="_GoBack"/>
      <w:bookmarkEnd w:id="0"/>
      <w:r>
        <w:t>do</w:t>
      </w:r>
      <w:r w:rsidR="004D4B84">
        <w:t xml:space="preserve"> </w:t>
      </w:r>
      <w:r w:rsidR="00E61172" w:rsidRPr="00E61172">
        <w:rPr>
          <w:b/>
        </w:rPr>
        <w:t>3</w:t>
      </w:r>
      <w:r w:rsidR="00A7196E">
        <w:rPr>
          <w:b/>
        </w:rPr>
        <w:t>5</w:t>
      </w:r>
      <w:r w:rsidR="00E61172" w:rsidRPr="00E61172">
        <w:rPr>
          <w:b/>
        </w:rPr>
        <w:t xml:space="preserve"> měsíců</w:t>
      </w:r>
      <w:r>
        <w:t xml:space="preserve"> od Data zahájení prací.</w:t>
      </w:r>
    </w:p>
    <w:p w14:paraId="5DB2CA3D" w14:textId="0F03F83C" w:rsidR="00C96E7C" w:rsidRDefault="00B756A9" w:rsidP="005D168C">
      <w:pPr>
        <w:pStyle w:val="Textbezodsazen"/>
      </w:pPr>
      <w:r w:rsidRPr="00671713">
        <w:t xml:space="preserve">Lhůty uvedené v Pod-článku 7.9 Smluvních podmínek se v případě této Smlouvy nepoužijí. Lhůty jsou stanovené takto: </w:t>
      </w:r>
      <w:r>
        <w:rPr>
          <w:b/>
        </w:rPr>
        <w:t>9</w:t>
      </w:r>
      <w:r w:rsidRPr="00671713">
        <w:rPr>
          <w:b/>
        </w:rPr>
        <w:t xml:space="preserve"> měsíců</w:t>
      </w:r>
      <w:r>
        <w:rPr>
          <w:b/>
        </w:rPr>
        <w:t xml:space="preserve"> </w:t>
      </w:r>
      <w:r w:rsidRPr="0063655A">
        <w:rPr>
          <w:rFonts w:asciiTheme="minorHAnsi" w:eastAsia="Calibri" w:hAnsiTheme="minorHAnsi" w:cs="Times New Roman"/>
        </w:rPr>
        <w:t xml:space="preserve">ode dne vydání Potvrzení o převzetí </w:t>
      </w:r>
      <w:r w:rsidRPr="0063655A">
        <w:rPr>
          <w:rFonts w:asciiTheme="minorHAnsi" w:eastAsia="Calibri" w:hAnsiTheme="minorHAnsi" w:cs="Times New Roman"/>
          <w:b/>
          <w:bCs/>
        </w:rPr>
        <w:t>Sekce 1 Stavební</w:t>
      </w:r>
      <w:r>
        <w:rPr>
          <w:rStyle w:val="Odkaznakoment"/>
          <w:rFonts w:ascii="Arial" w:eastAsia="Times New Roman" w:hAnsi="Arial" w:cs="Arial"/>
          <w:lang w:eastAsia="cs-CZ"/>
        </w:rPr>
        <w:t>.</w:t>
      </w:r>
    </w:p>
    <w:p w14:paraId="2F057894" w14:textId="77777777" w:rsidR="00C96E7C" w:rsidRDefault="00C96E7C" w:rsidP="005B7883">
      <w:pPr>
        <w:pStyle w:val="Nadpisbezsl1-2"/>
      </w:pPr>
      <w:r>
        <w:lastRenderedPageBreak/>
        <w:t xml:space="preserve">8.2, </w:t>
      </w:r>
      <w:proofErr w:type="gramStart"/>
      <w:r>
        <w:t>1.1.3.10  Doba</w:t>
      </w:r>
      <w:proofErr w:type="gramEnd"/>
      <w:r>
        <w:t xml:space="preserve"> pro uvedení do provozu</w:t>
      </w:r>
    </w:p>
    <w:p w14:paraId="7FEF8740" w14:textId="7C0C30A7" w:rsidR="00C96E7C" w:rsidRPr="003878EC" w:rsidRDefault="00E61172" w:rsidP="005D168C">
      <w:pPr>
        <w:pStyle w:val="Textbezodsazen"/>
      </w:pPr>
      <w:r>
        <w:t xml:space="preserve">Zhotovitel je povinen </w:t>
      </w:r>
      <w:r w:rsidRPr="007D079C">
        <w:t xml:space="preserve">dokončit </w:t>
      </w:r>
      <w:r w:rsidRPr="007D079C">
        <w:rPr>
          <w:b/>
        </w:rPr>
        <w:t>Sekci 1</w:t>
      </w:r>
      <w:r w:rsidRPr="007D079C">
        <w:t xml:space="preserve"> stavební v rozsahu nezbytném pro účely uvedení </w:t>
      </w:r>
      <w:r w:rsidRPr="007D079C">
        <w:br/>
        <w:t xml:space="preserve">Sekce 1 stavební do provozu za podmínek </w:t>
      </w:r>
      <w:r w:rsidRPr="003878EC">
        <w:t xml:space="preserve">stavebního zákona a zákona o drahách nejpozději </w:t>
      </w:r>
      <w:r w:rsidRPr="003878EC">
        <w:br/>
        <w:t xml:space="preserve">do </w:t>
      </w:r>
      <w:r w:rsidRPr="003878EC">
        <w:rPr>
          <w:b/>
        </w:rPr>
        <w:t>2</w:t>
      </w:r>
      <w:r w:rsidR="00A7196E">
        <w:rPr>
          <w:b/>
        </w:rPr>
        <w:t>6</w:t>
      </w:r>
      <w:r w:rsidRPr="003878EC">
        <w:rPr>
          <w:b/>
        </w:rPr>
        <w:t xml:space="preserve"> měsíců</w:t>
      </w:r>
      <w:r w:rsidRPr="003878EC">
        <w:t xml:space="preserve"> od Data zahájení prací.</w:t>
      </w:r>
      <w:r w:rsidR="00806293" w:rsidRPr="003878EC">
        <w:rPr>
          <w:b/>
        </w:rPr>
        <w:t xml:space="preserve">, </w:t>
      </w:r>
      <w:r w:rsidR="00806293" w:rsidRPr="003878EC">
        <w:t xml:space="preserve">vyjma </w:t>
      </w:r>
      <w:r w:rsidR="00E86852" w:rsidRPr="003878EC">
        <w:t>následné úpravy</w:t>
      </w:r>
      <w:r w:rsidR="00806293" w:rsidRPr="003878EC">
        <w:t xml:space="preserve"> směrového a výškového uspořádání koleje,</w:t>
      </w:r>
    </w:p>
    <w:p w14:paraId="7644FB76" w14:textId="0D163C13" w:rsidR="008D13CD" w:rsidRPr="00F55162" w:rsidRDefault="008D13CD" w:rsidP="00806293">
      <w:pPr>
        <w:pStyle w:val="Textbezodsazen"/>
      </w:pPr>
      <w:r w:rsidRPr="003878EC">
        <w:t xml:space="preserve">Zhotovitel je povinen dokončit </w:t>
      </w:r>
      <w:r w:rsidRPr="003878EC">
        <w:rPr>
          <w:b/>
        </w:rPr>
        <w:t>Sekci 2</w:t>
      </w:r>
      <w:r w:rsidRPr="003878EC">
        <w:t xml:space="preserve"> </w:t>
      </w:r>
      <w:r w:rsidR="00806293" w:rsidRPr="003878EC">
        <w:t>zahrnující následnou úpravu směrového a výškového uspořádání koleje do 6 měsíců ode dne vydání potvrzení o převzetí Sekce</w:t>
      </w:r>
      <w:r w:rsidR="00806293">
        <w:t xml:space="preserve"> 1 stavební. </w:t>
      </w:r>
    </w:p>
    <w:p w14:paraId="221253DE" w14:textId="77777777" w:rsidR="008D13CD" w:rsidRDefault="008D13CD" w:rsidP="005D168C">
      <w:pPr>
        <w:pStyle w:val="Textbezodsazen"/>
      </w:pPr>
    </w:p>
    <w:p w14:paraId="2B6E7F9A" w14:textId="77777777" w:rsidR="00C96E7C" w:rsidRDefault="00C96E7C" w:rsidP="005B7883">
      <w:pPr>
        <w:pStyle w:val="Nadpisbezsl1-2"/>
      </w:pPr>
      <w:proofErr w:type="gramStart"/>
      <w:r>
        <w:t>8.7  Náhrada</w:t>
      </w:r>
      <w:proofErr w:type="gramEnd"/>
      <w:r>
        <w:t xml:space="preserve">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7777777" w:rsidR="00C96E7C" w:rsidRDefault="00C96E7C" w:rsidP="005B7883">
      <w:pPr>
        <w:pStyle w:val="Nadpisbezsl1-2"/>
      </w:pPr>
      <w:proofErr w:type="gramStart"/>
      <w:r>
        <w:t>8.7  Maximální</w:t>
      </w:r>
      <w:proofErr w:type="gramEnd"/>
      <w:r>
        <w:t xml:space="preserve">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77777777" w:rsidR="00C96E7C" w:rsidRDefault="00C96E7C" w:rsidP="005B7883">
      <w:pPr>
        <w:pStyle w:val="Nadpisbezsl1-2"/>
      </w:pPr>
      <w:proofErr w:type="gramStart"/>
      <w:r>
        <w:t>11.1  Délka</w:t>
      </w:r>
      <w:proofErr w:type="gramEnd"/>
      <w:r>
        <w:t xml:space="preserve">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E18EE44" w14:textId="77777777" w:rsidR="00D90D67" w:rsidRDefault="00D90D67" w:rsidP="00582C15">
      <w:pPr>
        <w:pStyle w:val="Textbezodsazen"/>
      </w:pPr>
    </w:p>
    <w:p w14:paraId="3D796B57" w14:textId="77777777" w:rsidR="00C96E7C" w:rsidRDefault="00C96E7C" w:rsidP="005B7883">
      <w:pPr>
        <w:pStyle w:val="Nadpisbezsl1-2"/>
      </w:pPr>
      <w:proofErr w:type="gramStart"/>
      <w:r>
        <w:t>13.1  Právo</w:t>
      </w:r>
      <w:proofErr w:type="gramEnd"/>
      <w:r>
        <w:t xml:space="preserve">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lastRenderedPageBreak/>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proofErr w:type="gramStart"/>
      <w:r>
        <w:t>14.2  Zálohová</w:t>
      </w:r>
      <w:proofErr w:type="gramEnd"/>
      <w:r>
        <w:t xml:space="preserve">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7F1100B2"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8D13CD">
        <w:t>20 %</w:t>
      </w:r>
      <w:r>
        <w:t xml:space="preserve"> smluvní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6EAD4DD1" w:rsidR="00C96E7C" w:rsidRPr="009B1163"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9B1163">
        <w:t xml:space="preserve">bodu </w:t>
      </w:r>
      <w:r w:rsidR="002B67EF" w:rsidRPr="009B1163">
        <w:t>a)</w:t>
      </w:r>
      <w:r w:rsidRPr="009B1163">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lastRenderedPageBreak/>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77777777" w:rsidR="00C96E7C" w:rsidRDefault="00C96E7C" w:rsidP="005B7883">
      <w:pPr>
        <w:pStyle w:val="Nadpisbezsl1-2"/>
      </w:pPr>
      <w:proofErr w:type="gramStart"/>
      <w:r>
        <w:t>14.5  Technologické</w:t>
      </w:r>
      <w:proofErr w:type="gramEnd"/>
      <w:r>
        <w:t xml:space="preserve"> materiály určené pro dílo</w:t>
      </w:r>
    </w:p>
    <w:p w14:paraId="73CDF6BC" w14:textId="77777777" w:rsidR="009B1163" w:rsidRPr="00671713" w:rsidRDefault="009B1163" w:rsidP="009B1163">
      <w:pPr>
        <w:spacing w:after="120" w:line="264" w:lineRule="auto"/>
        <w:ind w:left="737" w:hanging="737"/>
        <w:jc w:val="both"/>
        <w:rPr>
          <w:sz w:val="18"/>
          <w:szCs w:val="18"/>
        </w:rPr>
      </w:pPr>
      <w:r w:rsidRPr="00671713">
        <w:rPr>
          <w:sz w:val="18"/>
          <w:szCs w:val="18"/>
        </w:rPr>
        <w:t>Technologické zařízení a Materiály určené pro dílo</w:t>
      </w:r>
      <w:r w:rsidRPr="00671713">
        <w:rPr>
          <w:b/>
          <w:sz w:val="18"/>
          <w:szCs w:val="18"/>
          <w:lang w:eastAsia="cs-CZ"/>
        </w:rPr>
        <w:t xml:space="preserve"> </w:t>
      </w:r>
      <w:r w:rsidRPr="00671713">
        <w:rPr>
          <w:rFonts w:eastAsia="Calibri" w:cs="Calibri"/>
          <w:sz w:val="18"/>
          <w:szCs w:val="18"/>
          <w:lang w:eastAsia="cs-CZ"/>
        </w:rPr>
        <w:t xml:space="preserve">k zaplacení po dodání na Staveniště dle pod-odstavce </w:t>
      </w:r>
      <w:r w:rsidRPr="00671713">
        <w:rPr>
          <w:sz w:val="18"/>
          <w:szCs w:val="18"/>
        </w:rPr>
        <w:t xml:space="preserve">14.5 </w:t>
      </w:r>
      <w:r w:rsidRPr="00671713">
        <w:rPr>
          <w:rFonts w:eastAsia="Calibri" w:cs="Calibri"/>
          <w:sz w:val="18"/>
          <w:szCs w:val="18"/>
          <w:lang w:eastAsia="cs-CZ"/>
        </w:rPr>
        <w:t>(c)</w:t>
      </w:r>
      <w:r w:rsidRPr="00671713">
        <w:rPr>
          <w:rFonts w:eastAsia="Calibri" w:cs="Calibri"/>
          <w:sz w:val="18"/>
          <w:szCs w:val="18"/>
        </w:rPr>
        <w:t>:</w:t>
      </w:r>
    </w:p>
    <w:p w14:paraId="102E48AB" w14:textId="77777777" w:rsidR="009B1163" w:rsidRDefault="009B1163" w:rsidP="009B1163">
      <w:pPr>
        <w:pStyle w:val="Textbezodsazen"/>
        <w:numPr>
          <w:ilvl w:val="0"/>
          <w:numId w:val="50"/>
        </w:numPr>
        <w:rPr>
          <w:i/>
          <w:iCs/>
        </w:rPr>
      </w:pPr>
      <w:r>
        <w:rPr>
          <w:i/>
          <w:iCs/>
        </w:rPr>
        <w:t>železniční svršek (části, které nejsou dodávané objednatelem z CNM, např. výhybky, výhybkové pražce, drobné kolejivo);</w:t>
      </w:r>
    </w:p>
    <w:p w14:paraId="5AA693F2" w14:textId="77777777" w:rsidR="009B1163" w:rsidRDefault="009B1163" w:rsidP="009B1163">
      <w:pPr>
        <w:pStyle w:val="Textbezodsazen"/>
        <w:numPr>
          <w:ilvl w:val="0"/>
          <w:numId w:val="50"/>
        </w:numPr>
        <w:rPr>
          <w:i/>
          <w:iCs/>
        </w:rPr>
      </w:pPr>
      <w:r>
        <w:rPr>
          <w:i/>
          <w:iCs/>
        </w:rPr>
        <w:t>železniční spodek (např. izolační systémy, prefabrikované konstrukce nástupišť);</w:t>
      </w:r>
    </w:p>
    <w:p w14:paraId="4386A439" w14:textId="77777777" w:rsidR="009B1163" w:rsidRDefault="009B1163" w:rsidP="009B1163">
      <w:pPr>
        <w:pStyle w:val="Textbezodsazen"/>
        <w:numPr>
          <w:ilvl w:val="0"/>
          <w:numId w:val="50"/>
        </w:numPr>
        <w:rPr>
          <w:i/>
          <w:iCs/>
        </w:rPr>
      </w:pPr>
      <w:proofErr w:type="spellStart"/>
      <w:r>
        <w:rPr>
          <w:i/>
          <w:iCs/>
        </w:rPr>
        <w:t>kabelovody</w:t>
      </w:r>
      <w:proofErr w:type="spellEnd"/>
      <w:r>
        <w:rPr>
          <w:i/>
          <w:iCs/>
        </w:rPr>
        <w:t xml:space="preserve"> (např. komponenty kabelových tras, multikanálové dílce, izolační systémy);</w:t>
      </w:r>
    </w:p>
    <w:p w14:paraId="1F56FB78" w14:textId="77777777" w:rsidR="009B1163" w:rsidRDefault="009B1163" w:rsidP="009B1163">
      <w:pPr>
        <w:pStyle w:val="Textbezodsazen"/>
        <w:numPr>
          <w:ilvl w:val="0"/>
          <w:numId w:val="50"/>
        </w:numPr>
        <w:rPr>
          <w:i/>
          <w:iCs/>
        </w:rPr>
      </w:pPr>
      <w:r>
        <w:rPr>
          <w:i/>
          <w:iCs/>
        </w:rPr>
        <w:t>mosty, propustky a zdi (materiálové části objektů, např. ocelové výztužné prvky nosných konstrukcí, prefabrikované konstrukce, vybavení mostních objektů, izolační systémy);</w:t>
      </w:r>
    </w:p>
    <w:p w14:paraId="66F9FF7C" w14:textId="77777777" w:rsidR="009B1163" w:rsidRDefault="009B1163" w:rsidP="009B1163">
      <w:pPr>
        <w:pStyle w:val="Textbezodsazen"/>
        <w:numPr>
          <w:ilvl w:val="0"/>
          <w:numId w:val="50"/>
        </w:numPr>
        <w:rPr>
          <w:i/>
          <w:iCs/>
        </w:rPr>
      </w:pPr>
      <w:r>
        <w:rPr>
          <w:i/>
          <w:iCs/>
        </w:rPr>
        <w:t xml:space="preserve">trakce (např. sloupy a stožáry TV, trolejové dráty, nosná lana, odpojovače, vodiče, </w:t>
      </w:r>
      <w:proofErr w:type="spellStart"/>
      <w:r>
        <w:rPr>
          <w:i/>
          <w:iCs/>
        </w:rPr>
        <w:t>ukolejnění</w:t>
      </w:r>
      <w:proofErr w:type="spellEnd"/>
      <w:r>
        <w:rPr>
          <w:i/>
          <w:iCs/>
        </w:rPr>
        <w:t>);</w:t>
      </w:r>
    </w:p>
    <w:p w14:paraId="1FCB3089" w14:textId="77777777" w:rsidR="009B1163" w:rsidRDefault="009B1163" w:rsidP="009B1163">
      <w:pPr>
        <w:pStyle w:val="Textbezodsazen"/>
        <w:numPr>
          <w:ilvl w:val="0"/>
          <w:numId w:val="50"/>
        </w:numPr>
        <w:rPr>
          <w:i/>
          <w:iCs/>
        </w:rPr>
      </w:pPr>
      <w:r>
        <w:rPr>
          <w:i/>
          <w:iCs/>
        </w:rPr>
        <w:t>elektro (např. rozvaděče, měnírny, transformátory, kabelové vedení, komponenty DDTS, materiál pro elektrické rozvody, zařízení EOV);</w:t>
      </w:r>
    </w:p>
    <w:p w14:paraId="5111AE3E" w14:textId="77777777" w:rsidR="009B1163" w:rsidRDefault="009B1163" w:rsidP="009B1163">
      <w:pPr>
        <w:pStyle w:val="Textbezodsazen"/>
        <w:numPr>
          <w:ilvl w:val="0"/>
          <w:numId w:val="50"/>
        </w:numPr>
        <w:rPr>
          <w:i/>
          <w:iCs/>
        </w:rPr>
      </w:pPr>
      <w:r>
        <w:rPr>
          <w:i/>
          <w:iCs/>
        </w:rPr>
        <w:t xml:space="preserve">zabezpečovací zařízení (např. skříně vnitřní výstroje elektronického stavědla, zařízení GTN, skříně DOZ, napájecí zdroje, elektromotorické přestavníky, návěstidla, venkovní výstroj KO a </w:t>
      </w:r>
      <w:proofErr w:type="spellStart"/>
      <w:r>
        <w:rPr>
          <w:i/>
          <w:iCs/>
        </w:rPr>
        <w:t>PčN</w:t>
      </w:r>
      <w:proofErr w:type="spellEnd"/>
      <w:r>
        <w:rPr>
          <w:i/>
          <w:iCs/>
        </w:rPr>
        <w:t>, kabelové vedení, snímače);</w:t>
      </w:r>
    </w:p>
    <w:p w14:paraId="2E565C63" w14:textId="77777777" w:rsidR="009B1163" w:rsidRDefault="009B1163" w:rsidP="009B1163">
      <w:pPr>
        <w:pStyle w:val="Textbezodsazen"/>
        <w:numPr>
          <w:ilvl w:val="0"/>
          <w:numId w:val="50"/>
        </w:numPr>
        <w:rPr>
          <w:i/>
          <w:iCs/>
        </w:rPr>
      </w:pPr>
      <w:r>
        <w:rPr>
          <w:i/>
          <w:iCs/>
        </w:rPr>
        <w:t>sdělovací zařízení (např. telefonní ústředny, rozhlasové ústředny, informační systémy, přenosový systém [</w:t>
      </w:r>
      <w:proofErr w:type="spellStart"/>
      <w:r>
        <w:rPr>
          <w:i/>
          <w:iCs/>
        </w:rPr>
        <w:t>switche</w:t>
      </w:r>
      <w:proofErr w:type="spellEnd"/>
      <w:r>
        <w:rPr>
          <w:i/>
          <w:iCs/>
        </w:rPr>
        <w:t xml:space="preserve">, </w:t>
      </w:r>
      <w:proofErr w:type="spellStart"/>
      <w:r>
        <w:rPr>
          <w:i/>
          <w:iCs/>
        </w:rPr>
        <w:t>routery</w:t>
      </w:r>
      <w:proofErr w:type="spellEnd"/>
      <w:r>
        <w:rPr>
          <w:i/>
          <w:iCs/>
        </w:rPr>
        <w:t>, převodníky], kamerový systém, ASHS, EZS, kabelové vedení);</w:t>
      </w:r>
    </w:p>
    <w:p w14:paraId="42230FF7" w14:textId="77777777" w:rsidR="009B1163" w:rsidRDefault="009B1163" w:rsidP="009B1163">
      <w:pPr>
        <w:pStyle w:val="Textbezodsazen"/>
        <w:numPr>
          <w:ilvl w:val="0"/>
          <w:numId w:val="50"/>
        </w:numPr>
        <w:rPr>
          <w:i/>
          <w:iCs/>
        </w:rPr>
      </w:pPr>
      <w:r>
        <w:rPr>
          <w:i/>
          <w:iCs/>
        </w:rPr>
        <w:t>železní přejezdy (např. výstražníky, sloupky, konstrukce vozovky);</w:t>
      </w:r>
    </w:p>
    <w:p w14:paraId="562853F1" w14:textId="77777777" w:rsidR="009B1163" w:rsidRDefault="009B1163" w:rsidP="009B1163">
      <w:pPr>
        <w:pStyle w:val="Textbezodsazen"/>
        <w:numPr>
          <w:ilvl w:val="0"/>
          <w:numId w:val="50"/>
        </w:numPr>
        <w:rPr>
          <w:i/>
          <w:iCs/>
        </w:rPr>
      </w:pPr>
      <w:r>
        <w:rPr>
          <w:i/>
          <w:iCs/>
        </w:rPr>
        <w:t>pozemní objekty (např. izolační systémy, materiál obvodových stěn, výplně otvorů, krytiny, vybavení objektů, klempířské konstrukce);</w:t>
      </w:r>
    </w:p>
    <w:p w14:paraId="18BFA5FA" w14:textId="77777777" w:rsidR="00884ADF" w:rsidRDefault="009B1163" w:rsidP="00884ADF">
      <w:pPr>
        <w:pStyle w:val="Textbezodsazen"/>
        <w:numPr>
          <w:ilvl w:val="0"/>
          <w:numId w:val="50"/>
        </w:numPr>
        <w:rPr>
          <w:i/>
          <w:iCs/>
        </w:rPr>
      </w:pPr>
      <w:r>
        <w:rPr>
          <w:i/>
          <w:iCs/>
        </w:rPr>
        <w:t xml:space="preserve">protihlukové objekty (např. části PHS jako sloupky, výplně, klempířské konstrukce, </w:t>
      </w:r>
      <w:proofErr w:type="spellStart"/>
      <w:r>
        <w:rPr>
          <w:i/>
          <w:iCs/>
        </w:rPr>
        <w:t>ukolejnění</w:t>
      </w:r>
      <w:proofErr w:type="spellEnd"/>
      <w:r>
        <w:rPr>
          <w:i/>
          <w:iCs/>
        </w:rPr>
        <w:t>);</w:t>
      </w:r>
    </w:p>
    <w:p w14:paraId="21EEFA5F" w14:textId="75F37AEC" w:rsidR="009B1163" w:rsidRPr="00884ADF" w:rsidRDefault="009B1163" w:rsidP="00884ADF">
      <w:pPr>
        <w:pStyle w:val="Textbezodsazen"/>
        <w:numPr>
          <w:ilvl w:val="0"/>
          <w:numId w:val="50"/>
        </w:numPr>
        <w:rPr>
          <w:i/>
          <w:iCs/>
        </w:rPr>
      </w:pPr>
      <w:r w:rsidRPr="00884ADF">
        <w:rPr>
          <w:i/>
          <w:iCs/>
        </w:rPr>
        <w:t>pozemní komunikace (např. části odvodnění, konstrukcí vrstvy, bezpečnostní prvky).</w:t>
      </w:r>
    </w:p>
    <w:p w14:paraId="3301BAB5" w14:textId="2E7F719F" w:rsidR="00BF5233" w:rsidRDefault="009B1163" w:rsidP="009B1163">
      <w:pPr>
        <w:pStyle w:val="Textbezodsazen"/>
        <w:rPr>
          <w:rFonts w:asciiTheme="minorHAnsi" w:eastAsia="Calibri" w:hAnsiTheme="minorHAnsi" w:cs="Calibri"/>
        </w:rPr>
      </w:pPr>
      <w:r w:rsidRPr="00671713">
        <w:rPr>
          <w:rFonts w:asciiTheme="minorHAnsi" w:eastAsia="Calibri" w:hAnsiTheme="minorHAnsi" w:cs="Calibri"/>
        </w:rPr>
        <w:t>Platbu za Technologická zařízení a Materiály v jednotlivých letech výstavby lze uplatnit pouze na Pokyn Správce stavby nebo s jeho souhlasem</w:t>
      </w:r>
      <w:r w:rsidR="00884ADF">
        <w:rPr>
          <w:rFonts w:asciiTheme="minorHAnsi" w:eastAsia="Calibri" w:hAnsiTheme="minorHAnsi" w:cs="Calibri"/>
        </w:rPr>
        <w:t>.</w:t>
      </w:r>
    </w:p>
    <w:p w14:paraId="6A36A89E" w14:textId="77777777" w:rsidR="003D38E7" w:rsidRPr="00C732F0" w:rsidRDefault="003D38E7" w:rsidP="009B1163">
      <w:pPr>
        <w:pStyle w:val="Textbezodsazen"/>
        <w:rPr>
          <w:highlight w:val="green"/>
        </w:rPr>
      </w:pP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799997F9" w:rsidR="00E30C41"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 šestého odstavce se za pododstavec </w:t>
      </w:r>
      <w:proofErr w:type="gramStart"/>
      <w:r w:rsidRPr="00A10EEB">
        <w:rPr>
          <w:rFonts w:asciiTheme="minorHAnsi" w:hAnsiTheme="minorHAnsi"/>
          <w:sz w:val="18"/>
          <w:szCs w:val="18"/>
        </w:rPr>
        <w:t>písm.(f) doplňuje</w:t>
      </w:r>
      <w:proofErr w:type="gramEnd"/>
      <w:r w:rsidRPr="00A10EEB">
        <w:rPr>
          <w:rFonts w:asciiTheme="minorHAnsi" w:hAnsiTheme="minorHAnsi"/>
          <w:sz w:val="18"/>
          <w:szCs w:val="18"/>
        </w:rPr>
        <w:t xml:space="preserve"> další pododstavec písm.(g):</w:t>
      </w:r>
    </w:p>
    <w:p w14:paraId="4C1FC98D" w14:textId="1AB2765B" w:rsidR="007701F5" w:rsidRPr="007701F5" w:rsidRDefault="007701F5" w:rsidP="007701F5">
      <w:pPr>
        <w:jc w:val="both"/>
        <w:rPr>
          <w:rFonts w:asciiTheme="minorHAnsi" w:hAnsiTheme="minorHAnsi"/>
          <w:sz w:val="18"/>
          <w:szCs w:val="18"/>
        </w:rPr>
      </w:pPr>
      <w:r w:rsidRPr="007701F5">
        <w:rPr>
          <w:rFonts w:asciiTheme="minorHAnsi" w:hAnsiTheme="minorHAnsi"/>
          <w:sz w:val="18"/>
          <w:szCs w:val="18"/>
        </w:rPr>
        <w:lastRenderedPageBreak/>
        <w:t xml:space="preserve">(g) neprokáže znovu splnění </w:t>
      </w:r>
      <w:r w:rsidRPr="0020527C">
        <w:rPr>
          <w:rFonts w:asciiTheme="minorHAnsi" w:hAnsiTheme="minorHAnsi"/>
          <w:sz w:val="18"/>
          <w:szCs w:val="18"/>
        </w:rPr>
        <w:t xml:space="preserve">kvalifikace po změně v osobě Zhotovitele podle </w:t>
      </w:r>
      <w:r w:rsidRPr="007701F5">
        <w:rPr>
          <w:rFonts w:asciiTheme="minorHAnsi" w:hAnsiTheme="minorHAnsi"/>
          <w:sz w:val="18"/>
          <w:szCs w:val="18"/>
        </w:rPr>
        <w:t>Pod-článku 1.7 [Postoupení],</w:t>
      </w:r>
    </w:p>
    <w:p w14:paraId="64647BDB" w14:textId="319F5C20" w:rsidR="00C96E7C" w:rsidRDefault="00E30C41" w:rsidP="005B7883">
      <w:pPr>
        <w:pStyle w:val="Nadpisbezsl1-2"/>
      </w:pPr>
      <w:proofErr w:type="gramStart"/>
      <w:r>
        <w:t>1</w:t>
      </w:r>
      <w:r w:rsidR="00C96E7C">
        <w:t>4.6  Částka</w:t>
      </w:r>
      <w:proofErr w:type="gramEnd"/>
      <w:r w:rsidR="00C96E7C">
        <w:t>,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52E0EB10" w14:textId="2B4E81A9" w:rsidR="00C96E7C" w:rsidRDefault="00C96E7C" w:rsidP="00582C15">
      <w:pPr>
        <w:pStyle w:val="Textbezodsazen"/>
      </w:pPr>
      <w:r>
        <w:t xml:space="preserve">Minimální částka Potvrzení průběžné platby není stanovena. </w:t>
      </w:r>
    </w:p>
    <w:p w14:paraId="19A6A22D"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41E9852D" w:rsidR="00E30C41"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 xml:space="preserve">Dosavadní text prvního odstavce v pododstavci </w:t>
      </w:r>
      <w:proofErr w:type="gramStart"/>
      <w:r w:rsidRPr="00A10EEB">
        <w:rPr>
          <w:rFonts w:asciiTheme="minorHAnsi" w:hAnsiTheme="minorHAnsi"/>
          <w:sz w:val="18"/>
          <w:szCs w:val="18"/>
        </w:rPr>
        <w:t>písm.(d) se</w:t>
      </w:r>
      <w:proofErr w:type="gramEnd"/>
      <w:r w:rsidRPr="00A10EEB">
        <w:rPr>
          <w:rFonts w:asciiTheme="minorHAnsi" w:hAnsiTheme="minorHAnsi"/>
          <w:sz w:val="18"/>
          <w:szCs w:val="18"/>
        </w:rPr>
        <w:t xml:space="preserve"> ruší a nahrazuje textem:</w:t>
      </w:r>
    </w:p>
    <w:p w14:paraId="54012B71" w14:textId="0DC5FBD7" w:rsidR="00E30C41" w:rsidRPr="00A10EEB" w:rsidRDefault="007701F5" w:rsidP="00E30C41">
      <w:pPr>
        <w:spacing w:after="240" w:line="264" w:lineRule="auto"/>
        <w:jc w:val="both"/>
        <w:rPr>
          <w:rFonts w:asciiTheme="minorHAnsi" w:hAnsiTheme="minorHAnsi"/>
          <w:sz w:val="18"/>
          <w:szCs w:val="18"/>
        </w:rPr>
      </w:pPr>
      <w:r w:rsidRPr="007701F5">
        <w:rPr>
          <w:rFonts w:asciiTheme="minorHAnsi" w:hAnsiTheme="minorHAnsi"/>
          <w:sz w:val="18"/>
          <w:szCs w:val="18"/>
        </w:rPr>
        <w:t xml:space="preserve">(d) zadá celé Dílo </w:t>
      </w:r>
      <w:proofErr w:type="spellStart"/>
      <w:r w:rsidRPr="007701F5">
        <w:rPr>
          <w:rFonts w:asciiTheme="minorHAnsi" w:hAnsiTheme="minorHAnsi"/>
          <w:sz w:val="18"/>
          <w:szCs w:val="18"/>
        </w:rPr>
        <w:t>podzhotoviteli</w:t>
      </w:r>
      <w:proofErr w:type="spellEnd"/>
      <w:r w:rsidRPr="007701F5">
        <w:rPr>
          <w:rFonts w:asciiTheme="minorHAnsi" w:hAnsiTheme="minorHAnsi"/>
          <w:sz w:val="18"/>
          <w:szCs w:val="18"/>
        </w:rPr>
        <w:t xml:space="preserve">, postoupí Smlouvu bez požadované dohody </w:t>
      </w:r>
      <w:r w:rsidRPr="00865726">
        <w:rPr>
          <w:rFonts w:asciiTheme="minorHAnsi" w:hAnsiTheme="minorHAnsi"/>
          <w:sz w:val="18"/>
          <w:szCs w:val="18"/>
        </w:rPr>
        <w:t>nebo v případě změny v osobě Zhotovitele nepředloží Objednateli dokumenty dle Pod-článku 1.7,</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49029" w14:textId="77777777" w:rsidR="00E80D05" w:rsidRDefault="00E80D05" w:rsidP="00962258">
      <w:pPr>
        <w:spacing w:after="0" w:line="240" w:lineRule="auto"/>
      </w:pPr>
      <w:r>
        <w:separator/>
      </w:r>
    </w:p>
  </w:endnote>
  <w:endnote w:type="continuationSeparator" w:id="0">
    <w:p w14:paraId="3F6B4ECC" w14:textId="77777777" w:rsidR="00E80D05" w:rsidRDefault="00E80D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D891215" w14:textId="77777777" w:rsidTr="00EC3D99">
      <w:tc>
        <w:tcPr>
          <w:tcW w:w="1021" w:type="dxa"/>
          <w:vAlign w:val="bottom"/>
        </w:tcPr>
        <w:p w14:paraId="744E1A63" w14:textId="533443AA"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F5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7F5C">
            <w:rPr>
              <w:rStyle w:val="slostrnky"/>
              <w:noProof/>
            </w:rPr>
            <w:t>10</w:t>
          </w:r>
          <w:r w:rsidRPr="00B8518B">
            <w:rPr>
              <w:rStyle w:val="slostrnky"/>
            </w:rPr>
            <w:fldChar w:fldCharType="end"/>
          </w:r>
        </w:p>
      </w:tc>
      <w:tc>
        <w:tcPr>
          <w:tcW w:w="0" w:type="auto"/>
          <w:vAlign w:val="bottom"/>
        </w:tcPr>
        <w:p w14:paraId="73574A90" w14:textId="77777777" w:rsidR="00967F7C" w:rsidRDefault="00967F7C" w:rsidP="00EC3D99">
          <w:pPr>
            <w:pStyle w:val="Zpatvlevo"/>
          </w:pPr>
          <w:r>
            <w:t>Příloha k a nabídce</w:t>
          </w:r>
        </w:p>
        <w:p w14:paraId="76D4673A" w14:textId="10573072"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837F5C">
            <w:rPr>
              <w:b/>
              <w:noProof/>
            </w:rPr>
            <w:t>„Dokončení I. žel. koridoru v trať. úseku Lanžhot (ČR) – Kúty (SR)“</w:t>
          </w:r>
          <w:r w:rsidRPr="00967F7C">
            <w:rPr>
              <w:b/>
              <w:noProof/>
            </w:rPr>
            <w:fldChar w:fldCharType="end"/>
          </w:r>
        </w:p>
      </w:tc>
    </w:tr>
  </w:tbl>
  <w:p w14:paraId="1E878CC4" w14:textId="77777777" w:rsidR="00AA7F27" w:rsidRPr="00967F7C" w:rsidRDefault="00AA7F2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2EDD8FC" w14:textId="77777777" w:rsidTr="00EC3D99">
      <w:tc>
        <w:tcPr>
          <w:tcW w:w="0" w:type="auto"/>
          <w:tcMar>
            <w:left w:w="0" w:type="dxa"/>
            <w:right w:w="0" w:type="dxa"/>
          </w:tcMar>
          <w:vAlign w:val="bottom"/>
        </w:tcPr>
        <w:p w14:paraId="3B5F4748" w14:textId="77777777" w:rsidR="00967F7C" w:rsidRDefault="00967F7C" w:rsidP="00EC3D99">
          <w:pPr>
            <w:pStyle w:val="Zpatvpravo"/>
          </w:pPr>
          <w:r>
            <w:t>Příloha k nabídce</w:t>
          </w:r>
        </w:p>
        <w:p w14:paraId="513E73DD" w14:textId="5FC95CD5"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837F5C">
            <w:rPr>
              <w:b/>
              <w:noProof/>
            </w:rPr>
            <w:t>„Dokončení I. žel. koridoru v trať. úseku Lanžhot (ČR) – Kúty (SR)“</w:t>
          </w:r>
          <w:r w:rsidRPr="00967F7C">
            <w:rPr>
              <w:b/>
              <w:noProof/>
            </w:rPr>
            <w:fldChar w:fldCharType="end"/>
          </w:r>
        </w:p>
      </w:tc>
      <w:tc>
        <w:tcPr>
          <w:tcW w:w="1021" w:type="dxa"/>
          <w:vAlign w:val="bottom"/>
        </w:tcPr>
        <w:p w14:paraId="63EFD5E7" w14:textId="409D79CE"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F5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7F5C">
            <w:rPr>
              <w:rStyle w:val="slostrnky"/>
              <w:noProof/>
            </w:rPr>
            <w:t>10</w:t>
          </w:r>
          <w:r w:rsidRPr="00B8518B">
            <w:rPr>
              <w:rStyle w:val="slostrnky"/>
            </w:rPr>
            <w:fldChar w:fldCharType="end"/>
          </w:r>
        </w:p>
      </w:tc>
    </w:tr>
  </w:tbl>
  <w:p w14:paraId="79A9FBC2"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D2AC" w14:textId="3106F820" w:rsidR="00240ED7" w:rsidRDefault="00837F5C" w:rsidP="00967F7C">
    <w:pPr>
      <w:pStyle w:val="Zpat"/>
      <w:rPr>
        <w:rFonts w:cs="Calibri"/>
        <w:sz w:val="12"/>
        <w:szCs w:val="12"/>
      </w:rPr>
    </w:pPr>
    <w:r>
      <w:rPr>
        <w:rFonts w:cs="Calibri"/>
        <w:noProof/>
        <w:sz w:val="12"/>
        <w:szCs w:val="12"/>
        <w:lang w:eastAsia="cs-CZ"/>
      </w:rPr>
      <w:object w:dxaOrig="1440" w:dyaOrig="1440" w14:anchorId="685C1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8.75pt;margin-top:-47.35pt;width:335.55pt;height:36.7pt;z-index:251673600;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85781297" r:id="rId2"/>
      </w:object>
    </w:r>
    <w:r w:rsidR="00920DC8" w:rsidRPr="00967F7C">
      <w:rPr>
        <w:rFonts w:cs="Calibri"/>
        <w:sz w:val="12"/>
        <w:szCs w:val="12"/>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6D2C4" w14:textId="77777777" w:rsidR="00E80D05" w:rsidRDefault="00E80D05" w:rsidP="00962258">
      <w:pPr>
        <w:spacing w:after="0" w:line="240" w:lineRule="auto"/>
      </w:pPr>
      <w:r>
        <w:separator/>
      </w:r>
    </w:p>
  </w:footnote>
  <w:footnote w:type="continuationSeparator" w:id="0">
    <w:p w14:paraId="45479A91" w14:textId="77777777" w:rsidR="00E80D05" w:rsidRDefault="00E80D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30951EC" w14:textId="77777777" w:rsidTr="00B22106">
      <w:trPr>
        <w:trHeight w:hRule="exact" w:val="936"/>
      </w:trPr>
      <w:tc>
        <w:tcPr>
          <w:tcW w:w="1361" w:type="dxa"/>
          <w:tcMar>
            <w:left w:w="0" w:type="dxa"/>
            <w:right w:w="0" w:type="dxa"/>
          </w:tcMar>
        </w:tcPr>
        <w:p w14:paraId="7FF50F1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7750315A"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582C15" w:rsidRPr="00D6163D" w:rsidRDefault="00582C15" w:rsidP="00FC6389">
          <w:pPr>
            <w:pStyle w:val="Druhdokumentu"/>
          </w:pPr>
        </w:p>
      </w:tc>
    </w:tr>
    <w:tr w:rsidR="00582C15" w14:paraId="1204CCED" w14:textId="77777777" w:rsidTr="00B22106">
      <w:trPr>
        <w:trHeight w:hRule="exact" w:val="936"/>
      </w:trPr>
      <w:tc>
        <w:tcPr>
          <w:tcW w:w="1361" w:type="dxa"/>
          <w:tcMar>
            <w:left w:w="0" w:type="dxa"/>
            <w:right w:w="0" w:type="dxa"/>
          </w:tcMar>
        </w:tcPr>
        <w:p w14:paraId="2798AB6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6F4014F" w14:textId="77777777" w:rsidR="00582C15" w:rsidRDefault="00582C15" w:rsidP="00FC6389">
          <w:pPr>
            <w:pStyle w:val="Zpat"/>
          </w:pPr>
        </w:p>
      </w:tc>
      <w:tc>
        <w:tcPr>
          <w:tcW w:w="5756" w:type="dxa"/>
          <w:shd w:val="clear" w:color="auto" w:fill="auto"/>
          <w:tcMar>
            <w:left w:w="0" w:type="dxa"/>
            <w:right w:w="0" w:type="dxa"/>
          </w:tcMar>
        </w:tcPr>
        <w:p w14:paraId="79E2EF57" w14:textId="77777777" w:rsidR="00582C15" w:rsidRPr="00D6163D" w:rsidRDefault="00582C15" w:rsidP="00FC6389">
          <w:pPr>
            <w:pStyle w:val="Druhdokumentu"/>
          </w:pPr>
        </w:p>
      </w:tc>
    </w:tr>
  </w:tbl>
  <w:p w14:paraId="5D365E5D" w14:textId="77777777" w:rsidR="00582C15" w:rsidRPr="00D6163D" w:rsidRDefault="00582C15" w:rsidP="00FC6389">
    <w:pPr>
      <w:pStyle w:val="Zhlav"/>
      <w:rPr>
        <w:sz w:val="8"/>
        <w:szCs w:val="8"/>
      </w:rPr>
    </w:pPr>
  </w:p>
  <w:p w14:paraId="09CEED7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4F03376"/>
    <w:multiLevelType w:val="hybridMultilevel"/>
    <w:tmpl w:val="C49062CE"/>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1"/>
  </w:num>
  <w:num w:numId="9">
    <w:abstractNumId w:val="0"/>
  </w:num>
  <w:num w:numId="10">
    <w:abstractNumId w:val="2"/>
  </w:num>
  <w:num w:numId="11">
    <w:abstractNumId w:val="13"/>
  </w:num>
  <w:num w:numId="12">
    <w:abstractNumId w:val="0"/>
  </w:num>
  <w:num w:numId="13">
    <w:abstractNumId w:val="2"/>
  </w:num>
  <w:num w:numId="14">
    <w:abstractNumId w:val="2"/>
  </w:num>
  <w:num w:numId="15">
    <w:abstractNumId w:val="5"/>
  </w:num>
  <w:num w:numId="16">
    <w:abstractNumId w:val="5"/>
  </w:num>
  <w:num w:numId="17">
    <w:abstractNumId w:val="5"/>
  </w:num>
  <w:num w:numId="18">
    <w:abstractNumId w:val="8"/>
  </w:num>
  <w:num w:numId="19">
    <w:abstractNumId w:val="8"/>
  </w:num>
  <w:num w:numId="20">
    <w:abstractNumId w:val="8"/>
  </w:num>
  <w:num w:numId="21">
    <w:abstractNumId w:val="11"/>
  </w:num>
  <w:num w:numId="22">
    <w:abstractNumId w:val="0"/>
  </w:num>
  <w:num w:numId="23">
    <w:abstractNumId w:val="0"/>
  </w:num>
  <w:num w:numId="24">
    <w:abstractNumId w:val="2"/>
  </w:num>
  <w:num w:numId="25">
    <w:abstractNumId w:val="2"/>
  </w:num>
  <w:num w:numId="26">
    <w:abstractNumId w:val="13"/>
  </w:num>
  <w:num w:numId="27">
    <w:abstractNumId w:val="10"/>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8"/>
  </w:num>
  <w:num w:numId="36">
    <w:abstractNumId w:val="8"/>
  </w:num>
  <w:num w:numId="37">
    <w:abstractNumId w:val="8"/>
  </w:num>
  <w:num w:numId="38">
    <w:abstractNumId w:val="8"/>
  </w:num>
  <w:num w:numId="39">
    <w:abstractNumId w:val="11"/>
  </w:num>
  <w:num w:numId="40">
    <w:abstractNumId w:val="0"/>
  </w:num>
  <w:num w:numId="41">
    <w:abstractNumId w:val="0"/>
  </w:num>
  <w:num w:numId="42">
    <w:abstractNumId w:val="2"/>
  </w:num>
  <w:num w:numId="43">
    <w:abstractNumId w:val="2"/>
  </w:num>
  <w:num w:numId="44">
    <w:abstractNumId w:val="13"/>
  </w:num>
  <w:num w:numId="45">
    <w:abstractNumId w:val="13"/>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9"/>
  </w:num>
  <w:num w:numId="5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41EC8"/>
    <w:rsid w:val="00044C35"/>
    <w:rsid w:val="00051E97"/>
    <w:rsid w:val="000543DB"/>
    <w:rsid w:val="0006588D"/>
    <w:rsid w:val="00067A5E"/>
    <w:rsid w:val="000719BB"/>
    <w:rsid w:val="00071A0E"/>
    <w:rsid w:val="00072A65"/>
    <w:rsid w:val="00072C1E"/>
    <w:rsid w:val="00073857"/>
    <w:rsid w:val="00080EC0"/>
    <w:rsid w:val="00094B99"/>
    <w:rsid w:val="000B4EB8"/>
    <w:rsid w:val="000C40E5"/>
    <w:rsid w:val="000C41F2"/>
    <w:rsid w:val="000C755C"/>
    <w:rsid w:val="000D22C4"/>
    <w:rsid w:val="000D27D1"/>
    <w:rsid w:val="000E0B11"/>
    <w:rsid w:val="000E1A7F"/>
    <w:rsid w:val="000F4591"/>
    <w:rsid w:val="00103BEA"/>
    <w:rsid w:val="00112864"/>
    <w:rsid w:val="00114472"/>
    <w:rsid w:val="00114988"/>
    <w:rsid w:val="001149ED"/>
    <w:rsid w:val="00115069"/>
    <w:rsid w:val="001150F2"/>
    <w:rsid w:val="001174DF"/>
    <w:rsid w:val="0012024F"/>
    <w:rsid w:val="00145961"/>
    <w:rsid w:val="00146747"/>
    <w:rsid w:val="00146DA1"/>
    <w:rsid w:val="00152473"/>
    <w:rsid w:val="00152D40"/>
    <w:rsid w:val="00154E06"/>
    <w:rsid w:val="001656A2"/>
    <w:rsid w:val="00170EC5"/>
    <w:rsid w:val="001747C1"/>
    <w:rsid w:val="00174FB5"/>
    <w:rsid w:val="00176D4F"/>
    <w:rsid w:val="00177D6B"/>
    <w:rsid w:val="00191F90"/>
    <w:rsid w:val="001965E6"/>
    <w:rsid w:val="001B022A"/>
    <w:rsid w:val="001B4E74"/>
    <w:rsid w:val="001C645F"/>
    <w:rsid w:val="001E3C56"/>
    <w:rsid w:val="001E678E"/>
    <w:rsid w:val="0020527C"/>
    <w:rsid w:val="002071BB"/>
    <w:rsid w:val="00207DF5"/>
    <w:rsid w:val="0021172F"/>
    <w:rsid w:val="0023464E"/>
    <w:rsid w:val="0023471E"/>
    <w:rsid w:val="00235D7C"/>
    <w:rsid w:val="00240B81"/>
    <w:rsid w:val="00240ED7"/>
    <w:rsid w:val="00244767"/>
    <w:rsid w:val="00247D01"/>
    <w:rsid w:val="00250FC0"/>
    <w:rsid w:val="002548CF"/>
    <w:rsid w:val="00257B54"/>
    <w:rsid w:val="00260D49"/>
    <w:rsid w:val="00261A5B"/>
    <w:rsid w:val="00262E5B"/>
    <w:rsid w:val="00276AFE"/>
    <w:rsid w:val="00291225"/>
    <w:rsid w:val="002925BB"/>
    <w:rsid w:val="002A01E5"/>
    <w:rsid w:val="002A3B57"/>
    <w:rsid w:val="002B67EF"/>
    <w:rsid w:val="002C31BF"/>
    <w:rsid w:val="002D7FD6"/>
    <w:rsid w:val="002E0CD7"/>
    <w:rsid w:val="002E0CFB"/>
    <w:rsid w:val="002E1D03"/>
    <w:rsid w:val="002E3A3F"/>
    <w:rsid w:val="002E3D9F"/>
    <w:rsid w:val="002E5C7B"/>
    <w:rsid w:val="002F0F70"/>
    <w:rsid w:val="002F4333"/>
    <w:rsid w:val="00312736"/>
    <w:rsid w:val="00322AA5"/>
    <w:rsid w:val="003259C2"/>
    <w:rsid w:val="00327EEF"/>
    <w:rsid w:val="0033239F"/>
    <w:rsid w:val="00333BF4"/>
    <w:rsid w:val="0034274B"/>
    <w:rsid w:val="00343481"/>
    <w:rsid w:val="00346C2C"/>
    <w:rsid w:val="00346D36"/>
    <w:rsid w:val="0034719F"/>
    <w:rsid w:val="00350A35"/>
    <w:rsid w:val="003571D8"/>
    <w:rsid w:val="00357BC6"/>
    <w:rsid w:val="00361422"/>
    <w:rsid w:val="00366226"/>
    <w:rsid w:val="00373532"/>
    <w:rsid w:val="0037545D"/>
    <w:rsid w:val="003878EC"/>
    <w:rsid w:val="003907DF"/>
    <w:rsid w:val="003910F9"/>
    <w:rsid w:val="0039276A"/>
    <w:rsid w:val="00392EB6"/>
    <w:rsid w:val="00394C56"/>
    <w:rsid w:val="003956C6"/>
    <w:rsid w:val="003A14A2"/>
    <w:rsid w:val="003B3E68"/>
    <w:rsid w:val="003B5CA9"/>
    <w:rsid w:val="003C33F2"/>
    <w:rsid w:val="003C5F1F"/>
    <w:rsid w:val="003D38E7"/>
    <w:rsid w:val="003D756E"/>
    <w:rsid w:val="003E1437"/>
    <w:rsid w:val="003E2E24"/>
    <w:rsid w:val="003E420D"/>
    <w:rsid w:val="003E4C13"/>
    <w:rsid w:val="004001A6"/>
    <w:rsid w:val="004078F3"/>
    <w:rsid w:val="004220DE"/>
    <w:rsid w:val="0042532F"/>
    <w:rsid w:val="00427794"/>
    <w:rsid w:val="004309EE"/>
    <w:rsid w:val="00441B4D"/>
    <w:rsid w:val="00450F07"/>
    <w:rsid w:val="00453CD3"/>
    <w:rsid w:val="00460660"/>
    <w:rsid w:val="00464BA9"/>
    <w:rsid w:val="00483969"/>
    <w:rsid w:val="00486107"/>
    <w:rsid w:val="00491827"/>
    <w:rsid w:val="004A7FEE"/>
    <w:rsid w:val="004C4399"/>
    <w:rsid w:val="004C4830"/>
    <w:rsid w:val="004C6F56"/>
    <w:rsid w:val="004C787C"/>
    <w:rsid w:val="004D4B84"/>
    <w:rsid w:val="004E0643"/>
    <w:rsid w:val="004E7A1F"/>
    <w:rsid w:val="004F4B9B"/>
    <w:rsid w:val="00500145"/>
    <w:rsid w:val="00500582"/>
    <w:rsid w:val="0050666E"/>
    <w:rsid w:val="005075E5"/>
    <w:rsid w:val="00511AB9"/>
    <w:rsid w:val="0051377C"/>
    <w:rsid w:val="00523BB5"/>
    <w:rsid w:val="00523EA7"/>
    <w:rsid w:val="005406EB"/>
    <w:rsid w:val="00553375"/>
    <w:rsid w:val="00555884"/>
    <w:rsid w:val="005571A2"/>
    <w:rsid w:val="005579CC"/>
    <w:rsid w:val="00561DB7"/>
    <w:rsid w:val="00570EA4"/>
    <w:rsid w:val="005736B7"/>
    <w:rsid w:val="00575E5A"/>
    <w:rsid w:val="00580245"/>
    <w:rsid w:val="00580905"/>
    <w:rsid w:val="00582C15"/>
    <w:rsid w:val="005A1F44"/>
    <w:rsid w:val="005B7883"/>
    <w:rsid w:val="005C4979"/>
    <w:rsid w:val="005C50A5"/>
    <w:rsid w:val="005C6607"/>
    <w:rsid w:val="005D168C"/>
    <w:rsid w:val="005D2F3D"/>
    <w:rsid w:val="005D3C39"/>
    <w:rsid w:val="005D6C32"/>
    <w:rsid w:val="005E00AD"/>
    <w:rsid w:val="005F3A96"/>
    <w:rsid w:val="005F3E29"/>
    <w:rsid w:val="005F74DD"/>
    <w:rsid w:val="00601A8C"/>
    <w:rsid w:val="00605DD8"/>
    <w:rsid w:val="0061012B"/>
    <w:rsid w:val="0061068E"/>
    <w:rsid w:val="006115D3"/>
    <w:rsid w:val="00612096"/>
    <w:rsid w:val="00617585"/>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1BB8"/>
    <w:rsid w:val="006C2343"/>
    <w:rsid w:val="006C442A"/>
    <w:rsid w:val="006C5D15"/>
    <w:rsid w:val="006E0578"/>
    <w:rsid w:val="006E13F8"/>
    <w:rsid w:val="006E314D"/>
    <w:rsid w:val="00710723"/>
    <w:rsid w:val="00723ED1"/>
    <w:rsid w:val="00726A41"/>
    <w:rsid w:val="00726AFE"/>
    <w:rsid w:val="00740AF5"/>
    <w:rsid w:val="00743525"/>
    <w:rsid w:val="00752D81"/>
    <w:rsid w:val="007541A2"/>
    <w:rsid w:val="00755818"/>
    <w:rsid w:val="00760F84"/>
    <w:rsid w:val="0076286B"/>
    <w:rsid w:val="00766846"/>
    <w:rsid w:val="007701F5"/>
    <w:rsid w:val="0077673A"/>
    <w:rsid w:val="007846E1"/>
    <w:rsid w:val="007847D6"/>
    <w:rsid w:val="00785285"/>
    <w:rsid w:val="00791F16"/>
    <w:rsid w:val="007A172F"/>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6293"/>
    <w:rsid w:val="00807DD0"/>
    <w:rsid w:val="008123B6"/>
    <w:rsid w:val="00821D01"/>
    <w:rsid w:val="00824DF9"/>
    <w:rsid w:val="00826B7B"/>
    <w:rsid w:val="008326B8"/>
    <w:rsid w:val="00837F5C"/>
    <w:rsid w:val="008406F7"/>
    <w:rsid w:val="00846789"/>
    <w:rsid w:val="00846A4F"/>
    <w:rsid w:val="008477AD"/>
    <w:rsid w:val="00852020"/>
    <w:rsid w:val="00855807"/>
    <w:rsid w:val="00857A77"/>
    <w:rsid w:val="008602BD"/>
    <w:rsid w:val="00865726"/>
    <w:rsid w:val="00870145"/>
    <w:rsid w:val="008825B2"/>
    <w:rsid w:val="008842C9"/>
    <w:rsid w:val="00884ADF"/>
    <w:rsid w:val="008A3568"/>
    <w:rsid w:val="008A6120"/>
    <w:rsid w:val="008A7B4E"/>
    <w:rsid w:val="008B01FE"/>
    <w:rsid w:val="008B0618"/>
    <w:rsid w:val="008B6FA1"/>
    <w:rsid w:val="008B7754"/>
    <w:rsid w:val="008C1A5C"/>
    <w:rsid w:val="008C45C2"/>
    <w:rsid w:val="008C50F3"/>
    <w:rsid w:val="008C6302"/>
    <w:rsid w:val="008C7C22"/>
    <w:rsid w:val="008C7EFE"/>
    <w:rsid w:val="008D03B9"/>
    <w:rsid w:val="008D10F5"/>
    <w:rsid w:val="008D13CD"/>
    <w:rsid w:val="008D30C7"/>
    <w:rsid w:val="008F18D6"/>
    <w:rsid w:val="008F2C9B"/>
    <w:rsid w:val="008F4AEA"/>
    <w:rsid w:val="008F6D6C"/>
    <w:rsid w:val="008F797B"/>
    <w:rsid w:val="00904780"/>
    <w:rsid w:val="0090635B"/>
    <w:rsid w:val="00906C36"/>
    <w:rsid w:val="009162F5"/>
    <w:rsid w:val="00920DC8"/>
    <w:rsid w:val="00922385"/>
    <w:rsid w:val="009223DF"/>
    <w:rsid w:val="0092771B"/>
    <w:rsid w:val="00927B47"/>
    <w:rsid w:val="00936091"/>
    <w:rsid w:val="00940D8A"/>
    <w:rsid w:val="00953532"/>
    <w:rsid w:val="00954E99"/>
    <w:rsid w:val="009605E3"/>
    <w:rsid w:val="00962258"/>
    <w:rsid w:val="009678B7"/>
    <w:rsid w:val="00967F7C"/>
    <w:rsid w:val="00992D9C"/>
    <w:rsid w:val="00996496"/>
    <w:rsid w:val="00996CB8"/>
    <w:rsid w:val="009A06AE"/>
    <w:rsid w:val="009B0F8A"/>
    <w:rsid w:val="009B1163"/>
    <w:rsid w:val="009B1A24"/>
    <w:rsid w:val="009B2E97"/>
    <w:rsid w:val="009B3AC4"/>
    <w:rsid w:val="009B5146"/>
    <w:rsid w:val="009B641A"/>
    <w:rsid w:val="009C1450"/>
    <w:rsid w:val="009C386C"/>
    <w:rsid w:val="009C418E"/>
    <w:rsid w:val="009C442C"/>
    <w:rsid w:val="009D1439"/>
    <w:rsid w:val="009E07F4"/>
    <w:rsid w:val="009F0BC6"/>
    <w:rsid w:val="009F309B"/>
    <w:rsid w:val="009F392E"/>
    <w:rsid w:val="009F4424"/>
    <w:rsid w:val="009F53C5"/>
    <w:rsid w:val="00A05305"/>
    <w:rsid w:val="00A0740E"/>
    <w:rsid w:val="00A10A3F"/>
    <w:rsid w:val="00A10EEB"/>
    <w:rsid w:val="00A12973"/>
    <w:rsid w:val="00A13BDF"/>
    <w:rsid w:val="00A14CEF"/>
    <w:rsid w:val="00A1518B"/>
    <w:rsid w:val="00A174BC"/>
    <w:rsid w:val="00A318A8"/>
    <w:rsid w:val="00A50641"/>
    <w:rsid w:val="00A530BF"/>
    <w:rsid w:val="00A6177B"/>
    <w:rsid w:val="00A66136"/>
    <w:rsid w:val="00A71189"/>
    <w:rsid w:val="00A7196E"/>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AF3955"/>
    <w:rsid w:val="00B008D5"/>
    <w:rsid w:val="00B01A2A"/>
    <w:rsid w:val="00B02F73"/>
    <w:rsid w:val="00B0619F"/>
    <w:rsid w:val="00B12F2D"/>
    <w:rsid w:val="00B13A26"/>
    <w:rsid w:val="00B15D0D"/>
    <w:rsid w:val="00B22106"/>
    <w:rsid w:val="00B222FB"/>
    <w:rsid w:val="00B26D5E"/>
    <w:rsid w:val="00B40591"/>
    <w:rsid w:val="00B5431A"/>
    <w:rsid w:val="00B61935"/>
    <w:rsid w:val="00B6270B"/>
    <w:rsid w:val="00B756A9"/>
    <w:rsid w:val="00B75EE1"/>
    <w:rsid w:val="00B77481"/>
    <w:rsid w:val="00B8518B"/>
    <w:rsid w:val="00B97CC3"/>
    <w:rsid w:val="00BA0EBA"/>
    <w:rsid w:val="00BA7C1F"/>
    <w:rsid w:val="00BB1D19"/>
    <w:rsid w:val="00BB79E8"/>
    <w:rsid w:val="00BC05F2"/>
    <w:rsid w:val="00BC06C4"/>
    <w:rsid w:val="00BD7E91"/>
    <w:rsid w:val="00BD7F0D"/>
    <w:rsid w:val="00BF5233"/>
    <w:rsid w:val="00C02D0A"/>
    <w:rsid w:val="00C038BD"/>
    <w:rsid w:val="00C03A6E"/>
    <w:rsid w:val="00C12C1E"/>
    <w:rsid w:val="00C1755A"/>
    <w:rsid w:val="00C21179"/>
    <w:rsid w:val="00C226C0"/>
    <w:rsid w:val="00C2298F"/>
    <w:rsid w:val="00C25AE7"/>
    <w:rsid w:val="00C33406"/>
    <w:rsid w:val="00C42FE6"/>
    <w:rsid w:val="00C44F6A"/>
    <w:rsid w:val="00C45177"/>
    <w:rsid w:val="00C6198E"/>
    <w:rsid w:val="00C708EA"/>
    <w:rsid w:val="00C732F0"/>
    <w:rsid w:val="00C778A5"/>
    <w:rsid w:val="00C81FA5"/>
    <w:rsid w:val="00C83340"/>
    <w:rsid w:val="00C8675B"/>
    <w:rsid w:val="00C95162"/>
    <w:rsid w:val="00C968A1"/>
    <w:rsid w:val="00C96E7C"/>
    <w:rsid w:val="00CA42A7"/>
    <w:rsid w:val="00CA4600"/>
    <w:rsid w:val="00CA5A14"/>
    <w:rsid w:val="00CB4B11"/>
    <w:rsid w:val="00CB6A37"/>
    <w:rsid w:val="00CB7684"/>
    <w:rsid w:val="00CC7C8F"/>
    <w:rsid w:val="00CD1FC4"/>
    <w:rsid w:val="00CE1DA0"/>
    <w:rsid w:val="00CF2351"/>
    <w:rsid w:val="00CF4255"/>
    <w:rsid w:val="00CF5E49"/>
    <w:rsid w:val="00D034A0"/>
    <w:rsid w:val="00D1661F"/>
    <w:rsid w:val="00D21061"/>
    <w:rsid w:val="00D246FC"/>
    <w:rsid w:val="00D30D72"/>
    <w:rsid w:val="00D36BD5"/>
    <w:rsid w:val="00D36EA0"/>
    <w:rsid w:val="00D4108E"/>
    <w:rsid w:val="00D435C3"/>
    <w:rsid w:val="00D45E4C"/>
    <w:rsid w:val="00D54131"/>
    <w:rsid w:val="00D6163D"/>
    <w:rsid w:val="00D81A0E"/>
    <w:rsid w:val="00D828B2"/>
    <w:rsid w:val="00D831A3"/>
    <w:rsid w:val="00D83E52"/>
    <w:rsid w:val="00D90D67"/>
    <w:rsid w:val="00D975AB"/>
    <w:rsid w:val="00D97BE3"/>
    <w:rsid w:val="00DA3711"/>
    <w:rsid w:val="00DA47EF"/>
    <w:rsid w:val="00DA53DF"/>
    <w:rsid w:val="00DB160C"/>
    <w:rsid w:val="00DC0FD9"/>
    <w:rsid w:val="00DD24AF"/>
    <w:rsid w:val="00DD46F3"/>
    <w:rsid w:val="00DE3D3E"/>
    <w:rsid w:val="00DE56F2"/>
    <w:rsid w:val="00DF116D"/>
    <w:rsid w:val="00DF70D9"/>
    <w:rsid w:val="00E06EDE"/>
    <w:rsid w:val="00E1344F"/>
    <w:rsid w:val="00E13658"/>
    <w:rsid w:val="00E154E3"/>
    <w:rsid w:val="00E16FF7"/>
    <w:rsid w:val="00E21F3F"/>
    <w:rsid w:val="00E26AD9"/>
    <w:rsid w:val="00E26D68"/>
    <w:rsid w:val="00E30C41"/>
    <w:rsid w:val="00E37BAF"/>
    <w:rsid w:val="00E41EEA"/>
    <w:rsid w:val="00E44045"/>
    <w:rsid w:val="00E45560"/>
    <w:rsid w:val="00E46253"/>
    <w:rsid w:val="00E55B33"/>
    <w:rsid w:val="00E61172"/>
    <w:rsid w:val="00E618C4"/>
    <w:rsid w:val="00E72324"/>
    <w:rsid w:val="00E76688"/>
    <w:rsid w:val="00E80D05"/>
    <w:rsid w:val="00E86852"/>
    <w:rsid w:val="00E878EE"/>
    <w:rsid w:val="00E91D47"/>
    <w:rsid w:val="00EA6EC7"/>
    <w:rsid w:val="00EB104F"/>
    <w:rsid w:val="00EB46E5"/>
    <w:rsid w:val="00EB6216"/>
    <w:rsid w:val="00EC13C6"/>
    <w:rsid w:val="00EC63FF"/>
    <w:rsid w:val="00EC6A2D"/>
    <w:rsid w:val="00EC7081"/>
    <w:rsid w:val="00ED0C1F"/>
    <w:rsid w:val="00ED14BD"/>
    <w:rsid w:val="00ED5EB7"/>
    <w:rsid w:val="00EF3412"/>
    <w:rsid w:val="00F016C7"/>
    <w:rsid w:val="00F03129"/>
    <w:rsid w:val="00F0427E"/>
    <w:rsid w:val="00F12DEC"/>
    <w:rsid w:val="00F14E8A"/>
    <w:rsid w:val="00F1586D"/>
    <w:rsid w:val="00F1715C"/>
    <w:rsid w:val="00F20959"/>
    <w:rsid w:val="00F26CFB"/>
    <w:rsid w:val="00F2704A"/>
    <w:rsid w:val="00F3058C"/>
    <w:rsid w:val="00F310F8"/>
    <w:rsid w:val="00F3215F"/>
    <w:rsid w:val="00F35939"/>
    <w:rsid w:val="00F3661D"/>
    <w:rsid w:val="00F45607"/>
    <w:rsid w:val="00F4722B"/>
    <w:rsid w:val="00F54432"/>
    <w:rsid w:val="00F56EF4"/>
    <w:rsid w:val="00F60351"/>
    <w:rsid w:val="00F659EB"/>
    <w:rsid w:val="00F86BA6"/>
    <w:rsid w:val="00F95494"/>
    <w:rsid w:val="00F95772"/>
    <w:rsid w:val="00FA401F"/>
    <w:rsid w:val="00FB1DD4"/>
    <w:rsid w:val="00FB6342"/>
    <w:rsid w:val="00FC6389"/>
    <w:rsid w:val="00FD5813"/>
    <w:rsid w:val="00FD6D3E"/>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slovenvdopisu">
    <w:name w:val="Oslovení v dopisu"/>
    <w:basedOn w:val="Bezmezer"/>
    <w:next w:val="Normln"/>
    <w:rsid w:val="006C1BB8"/>
    <w:pPr>
      <w:spacing w:line="264" w:lineRule="auto"/>
    </w:pPr>
    <w:rPr>
      <w:rFonts w:asciiTheme="minorHAnsi" w:hAnsiTheme="minorHAnsi"/>
      <w:sz w:val="18"/>
      <w:szCs w:val="18"/>
    </w:rPr>
  </w:style>
  <w:style w:type="paragraph" w:customStyle="1" w:styleId="Tabulka-9">
    <w:name w:val="_Tabulka-9"/>
    <w:basedOn w:val="Textbezodsazen"/>
    <w:qFormat/>
    <w:rsid w:val="00176D4F"/>
    <w:pPr>
      <w:spacing w:before="40" w:after="4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fova@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agner@spravazeleznic.cz" TargetMode="External"/><Relationship Id="rId5" Type="http://schemas.openxmlformats.org/officeDocument/2006/relationships/numbering" Target="numbering.xml"/><Relationship Id="rId15" Type="http://schemas.openxmlformats.org/officeDocument/2006/relationships/hyperlink" Target="mailto:Wagner@spravazelezni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20Dittmer@spravazeleznic.cz%20"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47665"/>
    <w:rsid w:val="00391652"/>
    <w:rsid w:val="003B7384"/>
    <w:rsid w:val="00403656"/>
    <w:rsid w:val="00532D4D"/>
    <w:rsid w:val="00546E40"/>
    <w:rsid w:val="005701B9"/>
    <w:rsid w:val="006527E6"/>
    <w:rsid w:val="00676F10"/>
    <w:rsid w:val="00714028"/>
    <w:rsid w:val="007E5187"/>
    <w:rsid w:val="00876B24"/>
    <w:rsid w:val="0096090C"/>
    <w:rsid w:val="009B79D6"/>
    <w:rsid w:val="00A61422"/>
    <w:rsid w:val="00BC6E2B"/>
    <w:rsid w:val="00CA70E8"/>
    <w:rsid w:val="00CF4DD3"/>
    <w:rsid w:val="00D34D92"/>
    <w:rsid w:val="00D36C36"/>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6CA3285-CC66-4E2F-94F0-4F10A2DB5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17</TotalTime>
  <Pages>10</Pages>
  <Words>3873</Words>
  <Characters>22853</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11</cp:revision>
  <cp:lastPrinted>2020-07-17T09:18:00Z</cp:lastPrinted>
  <dcterms:created xsi:type="dcterms:W3CDTF">2021-06-18T06:33:00Z</dcterms:created>
  <dcterms:modified xsi:type="dcterms:W3CDTF">2021-06-21T09:49:00Z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